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4B36" w14:textId="1CF739C1" w:rsidR="000A2A2B" w:rsidRPr="007C3060" w:rsidRDefault="007C3060" w:rsidP="006C194E">
      <w:pPr>
        <w:pStyle w:val="i-dep"/>
      </w:pPr>
      <w:r>
        <w:t>Finansdepartement</w:t>
      </w:r>
      <w:r w:rsidR="006C194E">
        <w:t>et</w:t>
      </w:r>
    </w:p>
    <w:p w14:paraId="533A255E" w14:textId="77777777" w:rsidR="000A2A2B" w:rsidRPr="007C3060" w:rsidRDefault="000A2A2B" w:rsidP="007C3060">
      <w:pPr>
        <w:pStyle w:val="i-hode"/>
      </w:pPr>
      <w:r w:rsidRPr="007C3060">
        <w:t>Prop. 146 S</w:t>
      </w:r>
    </w:p>
    <w:p w14:paraId="78B85D50" w14:textId="77777777" w:rsidR="000A2A2B" w:rsidRPr="007C3060" w:rsidRDefault="000A2A2B" w:rsidP="007C3060">
      <w:pPr>
        <w:pStyle w:val="i-sesjon"/>
      </w:pPr>
      <w:r w:rsidRPr="007C3060">
        <w:t>(2024–2025)</w:t>
      </w:r>
    </w:p>
    <w:p w14:paraId="53E0C1EB" w14:textId="77777777" w:rsidR="000A2A2B" w:rsidRPr="007C3060" w:rsidRDefault="000A2A2B" w:rsidP="007C3060">
      <w:pPr>
        <w:pStyle w:val="i-hode-tit"/>
      </w:pPr>
      <w:r w:rsidRPr="007C3060">
        <w:t>Proposisjon til Stortinget (forslag til stortingsvedtak)</w:t>
      </w:r>
    </w:p>
    <w:p w14:paraId="707C37F3" w14:textId="4FB1A838" w:rsidR="000A2A2B" w:rsidRPr="007C3060" w:rsidRDefault="000A2A2B" w:rsidP="007C3060">
      <w:pPr>
        <w:pStyle w:val="i-tit"/>
      </w:pPr>
      <w:r w:rsidRPr="007C3060">
        <w:t>Tilleggsbevilgninger og omprioriteringer i statsbudsjettet 2025</w:t>
      </w:r>
    </w:p>
    <w:p w14:paraId="6E51B5A0" w14:textId="25212223" w:rsidR="007C3060" w:rsidRPr="007C3060" w:rsidRDefault="007C3060" w:rsidP="006C194E">
      <w:pPr>
        <w:pStyle w:val="i-dep"/>
      </w:pPr>
      <w:r>
        <w:t>Finansdepartement</w:t>
      </w:r>
      <w:r w:rsidR="006C194E">
        <w:t>et</w:t>
      </w:r>
    </w:p>
    <w:p w14:paraId="5D7E790F" w14:textId="77777777" w:rsidR="000A2A2B" w:rsidRPr="007C3060" w:rsidRDefault="000A2A2B" w:rsidP="007C3060">
      <w:pPr>
        <w:pStyle w:val="i-hode"/>
      </w:pPr>
      <w:r w:rsidRPr="007C3060">
        <w:t>Prop. 146 S</w:t>
      </w:r>
    </w:p>
    <w:p w14:paraId="57F70D03" w14:textId="77777777" w:rsidR="000A2A2B" w:rsidRPr="007C3060" w:rsidRDefault="000A2A2B" w:rsidP="007C3060">
      <w:pPr>
        <w:pStyle w:val="i-sesjon"/>
      </w:pPr>
      <w:r w:rsidRPr="007C3060">
        <w:t>(2024–2025)</w:t>
      </w:r>
    </w:p>
    <w:p w14:paraId="3BBB20C1" w14:textId="77777777" w:rsidR="000A2A2B" w:rsidRPr="007C3060" w:rsidRDefault="000A2A2B" w:rsidP="00B136B2">
      <w:pPr>
        <w:pStyle w:val="i-hode-tit"/>
      </w:pPr>
      <w:r w:rsidRPr="007C3060">
        <w:t>Proposisjon til Stortinget (forslag til stortingsvedtak)</w:t>
      </w:r>
    </w:p>
    <w:p w14:paraId="14E45ED6" w14:textId="6D8F582A" w:rsidR="000A2A2B" w:rsidRPr="007C3060" w:rsidRDefault="000A2A2B" w:rsidP="007C3060">
      <w:pPr>
        <w:pStyle w:val="i-tit"/>
      </w:pPr>
      <w:r w:rsidRPr="007C3060">
        <w:t>Tilleggsbevilgninger og omprioriteringer i statsbudsjettet 2025</w:t>
      </w:r>
    </w:p>
    <w:p w14:paraId="1816FF9A" w14:textId="77777777" w:rsidR="000A2A2B" w:rsidRPr="007C3060" w:rsidRDefault="000A2A2B" w:rsidP="007C3060">
      <w:pPr>
        <w:pStyle w:val="i-statsrdato"/>
      </w:pPr>
      <w:r w:rsidRPr="007C3060">
        <w:t>Tilråding fra Finansdepartementet 15. mai 2025,</w:t>
      </w:r>
      <w:r w:rsidRPr="007C3060">
        <w:br/>
        <w:t>godkjent i statsråd samme dag.</w:t>
      </w:r>
      <w:r w:rsidRPr="007C3060">
        <w:br/>
        <w:t>(Regjeringen Støre)</w:t>
      </w:r>
    </w:p>
    <w:p w14:paraId="455871D7" w14:textId="77777777" w:rsidR="000A2A2B" w:rsidRPr="007C3060" w:rsidRDefault="000A2A2B" w:rsidP="007C3060">
      <w:pPr>
        <w:pStyle w:val="Overskrift1"/>
      </w:pPr>
      <w:r w:rsidRPr="007C3060">
        <w:t>Hovedinnholdet i proposisjonen</w:t>
      </w:r>
    </w:p>
    <w:p w14:paraId="6D14161A" w14:textId="77777777" w:rsidR="000A2A2B" w:rsidRPr="007C3060" w:rsidRDefault="000A2A2B" w:rsidP="007C3060">
      <w:pPr>
        <w:pStyle w:val="Overskrift2"/>
      </w:pPr>
      <w:r w:rsidRPr="007C3060">
        <w:t>Rammer for finanspolitikken</w:t>
      </w:r>
    </w:p>
    <w:p w14:paraId="36A0CAD9" w14:textId="77777777" w:rsidR="000A2A2B" w:rsidRPr="007C3060" w:rsidRDefault="000A2A2B" w:rsidP="007C3060">
      <w:r w:rsidRPr="007C3060">
        <w:t>Regjeringen legger vekt på trygg styring i en urolig tid. Handlingsregelen ligger til grunn for budsjettpolitikken. Finanspolitikken skal bidra til en stabil økonomisk utvikling, både på kort og lang sikt, og brukes til å jevne ut svingninger i økonomien. I lys av utsiktene for økonomien og renten har regjeringen lagt vekt på å unngå en mer ekspansiv finanspolitikk.</w:t>
      </w:r>
    </w:p>
    <w:p w14:paraId="5192B3C8" w14:textId="77777777" w:rsidR="000A2A2B" w:rsidRPr="007C3060" w:rsidRDefault="000A2A2B" w:rsidP="007C3060">
      <w:r w:rsidRPr="007C3060">
        <w:t xml:space="preserve">Samlet sett innebærer regjeringens forslag til revisjon av budsjettet for 2025 en økning i fondsuttaket, målt ved den strukturelle oljekorrigerte budsjettbalansen, på 50 mrd. kroner </w:t>
      </w:r>
      <w:r w:rsidRPr="007C3060">
        <w:lastRenderedPageBreak/>
        <w:t>sammenlignet med budsjettet Stortinget vedtok før jul. Økningen skyldes i sin helhet at Nansen-programmet er styrket med 50 mrd. kroner. Dette er midler som uavkortet går til internasjonale initiativer og kjøp fra ukrainsk forsvarsindustri.</w:t>
      </w:r>
    </w:p>
    <w:p w14:paraId="0407EE67" w14:textId="77777777" w:rsidR="000A2A2B" w:rsidRPr="007C3060" w:rsidRDefault="000A2A2B" w:rsidP="007C3060">
      <w:r w:rsidRPr="007C3060">
        <w:t>Regjeringens forslag til budsjettrevisjon innebærer et uttak fra Statens pensjonsfond utland på 2,7 pst. Det er uendret fra budsjettet Stortinget vedtok før jul, til tross for den økte støtten til Ukraina. Det må ses i lys av at fondsverdien ved inngangen til året ble høyere enn lagt til grunn i budsjettet i fjor høst. Fondet falt imidlertid markert i mars og april, særlig da USA økte toll-satsene kraftig. På det laveste var verdien under 18 000 mrd. kroner, nær 2 000 mrd. kroner lavere enn ved årsskiftet, men har i det siste steget noe igjen. Utslagene i fondsverdien gjennom våren viser at vi må være forberedt på å håndtere store og brå fall. Både hensynet til langsiktig bærekraft i statsfinansene og risikoen for et stort fall i fondsverdien taler for at fondsuttaket i normale tider bør ligge godt under 3 pst. av fondskapitalen.</w:t>
      </w:r>
    </w:p>
    <w:p w14:paraId="3F51AABA" w14:textId="77777777" w:rsidR="000A2A2B" w:rsidRPr="007C3060" w:rsidRDefault="000A2A2B" w:rsidP="007C3060">
      <w:r w:rsidRPr="007C3060">
        <w:t xml:space="preserve">I denne proposisjonen legger regjeringen frem oppdaterte anslag for utgifter og inntekter og foreslår nødvendige </w:t>
      </w:r>
      <w:proofErr w:type="spellStart"/>
      <w:r w:rsidRPr="007C3060">
        <w:t>utgiftsendringer</w:t>
      </w:r>
      <w:proofErr w:type="spellEnd"/>
      <w:r w:rsidRPr="007C3060">
        <w:t>, slik som nye anslag for folketrygden. Regjeringen foreslår også enkelte tilleggsbevilgninger som følger opp tidligere varslede og vedtatte saker, som økt støtte til Ukraina og Norgespris på strøm.</w:t>
      </w:r>
    </w:p>
    <w:p w14:paraId="3B0F7C16" w14:textId="77777777" w:rsidR="000A2A2B" w:rsidRPr="007C3060" w:rsidRDefault="000A2A2B" w:rsidP="007C3060">
      <w:r w:rsidRPr="007C3060">
        <w:t>For 2025 anslås bruken av fondsmidler å utgjøre 12,9 pst. av BNP for Fastlands-Norge, en økning fra 10,3 pst. i 2024. Sett utenom den økte støtten til Ukraina på 50 mrd. kroner er fondsuttaket som andel av BNP for Fastlands-Norge (trend) og budsjettimpulsen uendret fra budsjettet Stortinget vedtok før jul, på henholdsvis 11,7 pst. og 1,3 prosentenheter.</w:t>
      </w:r>
    </w:p>
    <w:p w14:paraId="5C181BA7" w14:textId="77777777" w:rsidR="000A2A2B" w:rsidRPr="007C3060" w:rsidRDefault="000A2A2B" w:rsidP="007C3060">
      <w:r w:rsidRPr="007C3060">
        <w:t>Ulike offentlige inntekter og utgifter har forskjellig virkning på aktiviteten i fastlandsøkonomien. Beregninger med de makroøkonomiske modellene Finansdepartementet benytter, tyder på at budsjettopplegget for 2025 øker BNP for fastlandsøkonomien med 0,5 pst. i år. Siden finans-politikken virker med et tidsetterslep, bidrar også tidligere års budsjetter ekspansivt på den økonomiske aktiviteten i år. Den vedtatte økningen i støtten til Ukraina vil uavkortet gå til internasjonale initiativer og kjøp fra ukrainsk forsvarsindustri, og ventes ikke å påvirke aktiviteten i norsk økonomi.</w:t>
      </w:r>
    </w:p>
    <w:p w14:paraId="23E9B055" w14:textId="77777777" w:rsidR="000A2A2B" w:rsidRPr="007C3060" w:rsidRDefault="000A2A2B" w:rsidP="007C3060">
      <w:r w:rsidRPr="007C3060">
        <w:t>Regjeringen foreslår å innføre en ordning for fastpris på strøm på 40 øre/kWh ekskl. merverdiavgift og andre avgifter fra 1. oktober 2025 (Norgespris), samt støtteordninger for fjernvarme. Regjeringen foreslår også lavere avgift på strøm, se omtale nedenfor. Forsvarsbudsjettet er økt vesentlig i 2025, og regjeringen foreslår en ytterligere økning til etablering av midlertidig luftoperasjonssenter for NATO. Regjeringen foreslår også å øke overføringene til kommunene for å dekke økte pensjonsutgifter som følge av ny offentlig AFP. Videre anslås økte utgifter under folketrygden, hvor det særlig er utgiftene til uføretrygd, sykepenger og arbeidsavklaringspenger som trekker opp. I motsatt retning er utgifter til mottak og integrering av flyktninger nedjustert fordi det antas å komme færre flyktninger til landet. Kostnadsanslaget for strømstøtteordningen er også nedjustert fordi strømprisene er lavere.</w:t>
      </w:r>
    </w:p>
    <w:p w14:paraId="571E7E7A" w14:textId="77777777" w:rsidR="000A2A2B" w:rsidRPr="007C3060" w:rsidRDefault="000A2A2B" w:rsidP="007C3060">
      <w:r w:rsidRPr="007C3060">
        <w:t xml:space="preserve">Det vises til Meld. St. 2 (2024–2025) </w:t>
      </w:r>
      <w:r w:rsidRPr="007C3060">
        <w:rPr>
          <w:rStyle w:val="kursiv"/>
        </w:rPr>
        <w:t>Revidert nasjonalbudsjett 2025</w:t>
      </w:r>
      <w:r w:rsidRPr="007C3060">
        <w:t xml:space="preserve"> for nærmere omtale av den økonomiske politikken og utsiktene for norsk økonomi. Skatte- og avgiftspolitikken er nærmere omtalt i </w:t>
      </w:r>
      <w:proofErr w:type="spellStart"/>
      <w:r w:rsidRPr="007C3060">
        <w:t>Prop</w:t>
      </w:r>
      <w:proofErr w:type="spellEnd"/>
      <w:r w:rsidRPr="007C3060">
        <w:t xml:space="preserve">. 145 LS (2024–2025) </w:t>
      </w:r>
      <w:proofErr w:type="spellStart"/>
      <w:r w:rsidRPr="007C3060">
        <w:rPr>
          <w:rStyle w:val="kursiv"/>
        </w:rPr>
        <w:t>Endringar</w:t>
      </w:r>
      <w:proofErr w:type="spellEnd"/>
      <w:r w:rsidRPr="007C3060">
        <w:rPr>
          <w:rStyle w:val="kursiv"/>
        </w:rPr>
        <w:t xml:space="preserve"> i skatte- og avgiftslovgivinga.</w:t>
      </w:r>
    </w:p>
    <w:p w14:paraId="47E6E0BE" w14:textId="77777777" w:rsidR="000A2A2B" w:rsidRPr="007C3060" w:rsidRDefault="000A2A2B" w:rsidP="007C3060">
      <w:pPr>
        <w:pStyle w:val="avsnitt-tittel"/>
      </w:pPr>
      <w:r w:rsidRPr="007C3060">
        <w:lastRenderedPageBreak/>
        <w:t>Det strukturelle oljekorrigerte budsjett-underskuddet</w:t>
      </w:r>
    </w:p>
    <w:p w14:paraId="7F48AB5E" w14:textId="77777777" w:rsidR="000A2A2B" w:rsidRPr="007C3060" w:rsidRDefault="000A2A2B" w:rsidP="007C3060">
      <w:r w:rsidRPr="007C3060">
        <w:t xml:space="preserve">Bruken av oljeinntekter over statsbudsjettet måles </w:t>
      </w:r>
      <w:r w:rsidRPr="007C3060">
        <w:rPr>
          <w:rStyle w:val="kursiv"/>
        </w:rPr>
        <w:t>ved det strukturelle oljekorrigerte</w:t>
      </w:r>
      <w:r w:rsidRPr="007C3060">
        <w:t xml:space="preserve"> </w:t>
      </w:r>
      <w:r w:rsidRPr="007C3060">
        <w:rPr>
          <w:rStyle w:val="kursiv"/>
        </w:rPr>
        <w:t>budsjettunderskuddet</w:t>
      </w:r>
      <w:r w:rsidRPr="007C3060">
        <w:t>. I beregningen korrigeres det blant annet for virkningene av økonomiske svingninger på skatter, avgifter, renter og dagpenger til arbeids-ledige.</w:t>
      </w:r>
    </w:p>
    <w:p w14:paraId="21E326E4" w14:textId="77777777" w:rsidR="000A2A2B" w:rsidRPr="007C3060" w:rsidRDefault="000A2A2B" w:rsidP="007C3060">
      <w:r w:rsidRPr="007C3060">
        <w:t>I Saldert budsjett 2025 utgjorde det strukturelle oljekorrigerte underskuddet 492,3 mrd. kroner. I regjeringens forslag til revisjon av 2025-budsjettet utgjør det strukturelle olje-korrigerte underskuddet 542,4 mrd. kroner. Det er 50,2 mrd. kroner høyere enn lagt til grunn i fjor høst.</w:t>
      </w:r>
    </w:p>
    <w:p w14:paraId="2257C87B" w14:textId="77777777" w:rsidR="000A2A2B" w:rsidRPr="007C3060" w:rsidRDefault="000A2A2B" w:rsidP="007C3060">
      <w:pPr>
        <w:rPr>
          <w:rStyle w:val="kursiv"/>
        </w:rPr>
      </w:pPr>
      <w:r w:rsidRPr="007C3060">
        <w:rPr>
          <w:rStyle w:val="kursiv"/>
        </w:rPr>
        <w:t>Budsjettimpulsen</w:t>
      </w:r>
      <w:r w:rsidRPr="007C3060">
        <w:t>, som måler endringen i det strukturelle oljekorrigerte underskuddet som andel av trend-BNP for fastlandsøkonomien, anslås nå til 2,5 pst. mot 1,3 pst. i saldert budsjett.</w:t>
      </w:r>
    </w:p>
    <w:p w14:paraId="1CB2CD62" w14:textId="77777777" w:rsidR="000A2A2B" w:rsidRPr="007C3060" w:rsidRDefault="000A2A2B" w:rsidP="007C3060">
      <w:r w:rsidRPr="007C3060">
        <w:t>Bruken av fondsmidler utgjør 2,7 pst. av kapitalen i Statens pensjonsfond utland ved inngangen til 2025, tilsvarende som i saldert budsjett.</w:t>
      </w:r>
    </w:p>
    <w:p w14:paraId="127DF302" w14:textId="77777777" w:rsidR="000A2A2B" w:rsidRPr="007C3060" w:rsidRDefault="000A2A2B" w:rsidP="007C3060">
      <w:pPr>
        <w:pStyle w:val="avsnitt-tittel"/>
      </w:pPr>
      <w:r w:rsidRPr="007C3060">
        <w:t>Det oljekorrigerte budsjettunderskuddet</w:t>
      </w:r>
    </w:p>
    <w:p w14:paraId="04E0555E" w14:textId="77777777" w:rsidR="000A2A2B" w:rsidRPr="007C3060" w:rsidRDefault="000A2A2B" w:rsidP="007C3060">
      <w:r w:rsidRPr="007C3060">
        <w:t xml:space="preserve">Det </w:t>
      </w:r>
      <w:r w:rsidRPr="007C3060">
        <w:rPr>
          <w:rStyle w:val="kursiv"/>
        </w:rPr>
        <w:t>oljekorrigerte budsjettunderskuddet</w:t>
      </w:r>
      <w:r w:rsidRPr="007C3060">
        <w:t xml:space="preserve"> i 2025 anslås nå til 493,8 mrd. kroner, mot 445,8 mrd. kroner i saldert budsjett. Dette underskuddet motsvares av en overføring fra Statens pensjonsfond utland, slik at statsbudsjettet er i balanse.</w:t>
      </w:r>
      <w:r w:rsidRPr="007C3060">
        <w:rPr>
          <w:rStyle w:val="Fotnotereferanse"/>
        </w:rPr>
        <w:footnoteReference w:id="1"/>
      </w:r>
    </w:p>
    <w:p w14:paraId="2D37AF1F" w14:textId="77777777" w:rsidR="000A2A2B" w:rsidRPr="007C3060" w:rsidRDefault="000A2A2B" w:rsidP="007C3060">
      <w:r w:rsidRPr="007C3060">
        <w:t>Sammenlignet med saldert budsjett øker utgiftene med til sammen 49,8 mrd. kroner. Samtidig øker inntektene med 1,8 mrd. kroner, hvorav anslag for faktiske skatte- og avgiftsinntekter reduseres med 5,9 mrd. kroner, mens inntektene utenom skatter og avgifter samlet sett anslås å øke med 7,7 mrd. kroner.</w:t>
      </w:r>
    </w:p>
    <w:p w14:paraId="4C460609" w14:textId="77777777" w:rsidR="000A2A2B" w:rsidRPr="007C3060" w:rsidRDefault="000A2A2B" w:rsidP="007C3060">
      <w:r w:rsidRPr="007C3060">
        <w:t>I anslaget for det oljekorrigerte budsjettunderskuddet inngår nye anslag for rentene på statens innskudd i Norges Bank mv. og statsgjelden. For disse størrelsene og overføringene til og fra Statens pensjonsfond utland vil det eventuelt bli fremmet forslag om endrede bevilgninger i nysalderingen.</w:t>
      </w:r>
    </w:p>
    <w:p w14:paraId="356275F1" w14:textId="77777777" w:rsidR="000A2A2B" w:rsidRPr="007C3060" w:rsidRDefault="000A2A2B" w:rsidP="007C3060">
      <w:pPr>
        <w:pStyle w:val="avsnitt-tittel"/>
      </w:pPr>
      <w:r w:rsidRPr="007C3060">
        <w:t>Veksten i statsbudsjettets utgifter</w:t>
      </w:r>
    </w:p>
    <w:p w14:paraId="1D535CE5" w14:textId="77777777" w:rsidR="000A2A2B" w:rsidRPr="007C3060" w:rsidRDefault="000A2A2B" w:rsidP="007C3060">
      <w:r w:rsidRPr="007C3060">
        <w:t xml:space="preserve">Den reelle, underliggende veksten i statsbudsjettets utgifter fra 2024 til 2025 anslås til 5,3 pst., mot 2,7 pst. i saldert budsjett og 1,0 pst. i Nasjonalbudsjettet 2025. </w:t>
      </w:r>
      <w:r w:rsidRPr="007C3060">
        <w:t> </w:t>
      </w:r>
    </w:p>
    <w:p w14:paraId="221F7577" w14:textId="77777777" w:rsidR="000A2A2B" w:rsidRPr="007C3060" w:rsidRDefault="000A2A2B" w:rsidP="007C3060">
      <w:pPr>
        <w:pStyle w:val="Overskrift2"/>
      </w:pPr>
      <w:r w:rsidRPr="007C3060">
        <w:t>Endringer på statsbudsjettet siden saldert budsjett</w:t>
      </w:r>
    </w:p>
    <w:p w14:paraId="2BEA1985" w14:textId="77777777" w:rsidR="000A2A2B" w:rsidRDefault="000A2A2B" w:rsidP="007C3060">
      <w:r w:rsidRPr="007C3060">
        <w:t xml:space="preserve">Det fremmes i denne proposisjonen forslag som øker utgiftene med 4,3 mrd. kroner og reduserer inntektene med 1,3 mrd. kroner. Da er petroleumsvirksomheten, lånetransaksjoner og enkelte endringer som inngår i korreksjonene ved beregningen av det strukturelle oljekorrigerte budsjettunderskuddet, holdt utenom. Budsjettsvekkelsen på 5,6 mrd. kroner som følger av disse forslagene, motsvares av at anslaget for strukturelle skatte- og avgiftsinntekter med videre øker </w:t>
      </w:r>
      <w:r w:rsidRPr="007C3060">
        <w:lastRenderedPageBreak/>
        <w:t>med 5,7 mrd. kroner. Det strukturelle oljekorrigerte underskuddet øker med 50,2 mrd. kroner fra saldert budsjett, tilsvarende endringene som er fremmet og vedtatt før revidert nasjonalbudsjett.</w:t>
      </w:r>
    </w:p>
    <w:p w14:paraId="0CBB000A" w14:textId="277E74C6" w:rsidR="00AC1986" w:rsidRPr="007C3060" w:rsidRDefault="00AC1986" w:rsidP="00530C99">
      <w:pPr>
        <w:pStyle w:val="tabell-tittel"/>
      </w:pPr>
      <w:r w:rsidRPr="007C3060">
        <w:t>Bevilgningsendringer</w:t>
      </w:r>
      <w:r w:rsidRPr="007C3060">
        <w:rPr>
          <w:rStyle w:val="skrift-hevet"/>
        </w:rPr>
        <w:t>1</w:t>
      </w:r>
      <w:r w:rsidRPr="007C3060">
        <w:t xml:space="preserve"> fremmet og vedtatt etter salderingen av statsbudsjettet for 2025 og anslagsendringer som inngår i den strukturelle oljekorrigerte budsjettbalansen</w:t>
      </w:r>
    </w:p>
    <w:p w14:paraId="4EE1BB23" w14:textId="77777777" w:rsidR="000A2A2B" w:rsidRPr="007C3060" w:rsidRDefault="000A2A2B" w:rsidP="007C3060">
      <w:pPr>
        <w:pStyle w:val="Tabellnavn"/>
      </w:pPr>
      <w:r w:rsidRPr="007C3060">
        <w:t>04J1xt2</w:t>
      </w:r>
    </w:p>
    <w:tbl>
      <w:tblPr>
        <w:tblW w:w="10730" w:type="dxa"/>
        <w:tblInd w:w="43" w:type="dxa"/>
        <w:tblLayout w:type="fixed"/>
        <w:tblCellMar>
          <w:top w:w="128" w:type="dxa"/>
          <w:left w:w="43" w:type="dxa"/>
          <w:bottom w:w="43" w:type="dxa"/>
          <w:right w:w="43" w:type="dxa"/>
        </w:tblCellMar>
        <w:tblLook w:val="0000" w:firstRow="0" w:lastRow="0" w:firstColumn="0" w:lastColumn="0" w:noHBand="0" w:noVBand="0"/>
      </w:tblPr>
      <w:tblGrid>
        <w:gridCol w:w="320"/>
        <w:gridCol w:w="7300"/>
        <w:gridCol w:w="1409"/>
        <w:gridCol w:w="1701"/>
      </w:tblGrid>
      <w:tr w:rsidR="004B729E" w:rsidRPr="007C3060" w14:paraId="628D5B07" w14:textId="77777777" w:rsidTr="007423F8">
        <w:trPr>
          <w:trHeight w:val="360"/>
        </w:trPr>
        <w:tc>
          <w:tcPr>
            <w:tcW w:w="320" w:type="dxa"/>
            <w:tcBorders>
              <w:top w:val="nil"/>
              <w:left w:val="nil"/>
              <w:bottom w:val="single" w:sz="4" w:space="0" w:color="000000"/>
              <w:right w:val="nil"/>
            </w:tcBorders>
            <w:tcMar>
              <w:top w:w="128" w:type="dxa"/>
              <w:left w:w="43" w:type="dxa"/>
              <w:bottom w:w="43" w:type="dxa"/>
              <w:right w:w="43" w:type="dxa"/>
            </w:tcMar>
            <w:vAlign w:val="bottom"/>
          </w:tcPr>
          <w:p w14:paraId="23FF9154" w14:textId="77777777" w:rsidR="000A2A2B" w:rsidRPr="007C3060" w:rsidRDefault="000A2A2B" w:rsidP="007C3060"/>
        </w:tc>
        <w:tc>
          <w:tcPr>
            <w:tcW w:w="7300" w:type="dxa"/>
            <w:tcBorders>
              <w:top w:val="nil"/>
              <w:left w:val="nil"/>
              <w:bottom w:val="single" w:sz="4" w:space="0" w:color="000000"/>
              <w:right w:val="nil"/>
            </w:tcBorders>
            <w:tcMar>
              <w:top w:w="128" w:type="dxa"/>
              <w:left w:w="43" w:type="dxa"/>
              <w:bottom w:w="43" w:type="dxa"/>
              <w:right w:w="43" w:type="dxa"/>
            </w:tcMar>
            <w:vAlign w:val="bottom"/>
          </w:tcPr>
          <w:p w14:paraId="1E7702D5" w14:textId="77777777" w:rsidR="000A2A2B" w:rsidRPr="007C3060" w:rsidRDefault="000A2A2B" w:rsidP="007C3060"/>
        </w:tc>
        <w:tc>
          <w:tcPr>
            <w:tcW w:w="3110" w:type="dxa"/>
            <w:gridSpan w:val="2"/>
            <w:tcBorders>
              <w:top w:val="nil"/>
              <w:left w:val="nil"/>
              <w:bottom w:val="single" w:sz="4" w:space="0" w:color="000000"/>
              <w:right w:val="nil"/>
            </w:tcBorders>
            <w:tcMar>
              <w:top w:w="128" w:type="dxa"/>
              <w:left w:w="43" w:type="dxa"/>
              <w:bottom w:w="43" w:type="dxa"/>
              <w:right w:w="43" w:type="dxa"/>
            </w:tcMar>
            <w:vAlign w:val="bottom"/>
          </w:tcPr>
          <w:p w14:paraId="56B46B83" w14:textId="77777777" w:rsidR="000A2A2B" w:rsidRPr="007C3060" w:rsidRDefault="000A2A2B" w:rsidP="007C3060">
            <w:r w:rsidRPr="007C3060">
              <w:t>Mill. kroner</w:t>
            </w:r>
          </w:p>
        </w:tc>
      </w:tr>
      <w:tr w:rsidR="004B729E" w:rsidRPr="007C3060" w14:paraId="10978C2C" w14:textId="77777777" w:rsidTr="007423F8">
        <w:trPr>
          <w:trHeight w:val="640"/>
        </w:trPr>
        <w:tc>
          <w:tcPr>
            <w:tcW w:w="320" w:type="dxa"/>
            <w:tcBorders>
              <w:top w:val="single" w:sz="4" w:space="0" w:color="000000"/>
              <w:left w:val="nil"/>
              <w:bottom w:val="nil"/>
              <w:right w:val="nil"/>
            </w:tcBorders>
            <w:tcMar>
              <w:top w:w="128" w:type="dxa"/>
              <w:left w:w="43" w:type="dxa"/>
              <w:bottom w:w="43" w:type="dxa"/>
              <w:right w:w="43" w:type="dxa"/>
            </w:tcMar>
          </w:tcPr>
          <w:p w14:paraId="63E9FE99" w14:textId="77777777" w:rsidR="000A2A2B" w:rsidRPr="007C3060" w:rsidRDefault="000A2A2B" w:rsidP="007C3060"/>
        </w:tc>
        <w:tc>
          <w:tcPr>
            <w:tcW w:w="7300" w:type="dxa"/>
            <w:tcBorders>
              <w:top w:val="single" w:sz="4" w:space="0" w:color="000000"/>
              <w:left w:val="nil"/>
              <w:bottom w:val="nil"/>
              <w:right w:val="nil"/>
            </w:tcBorders>
            <w:tcMar>
              <w:top w:w="128" w:type="dxa"/>
              <w:left w:w="43" w:type="dxa"/>
              <w:bottom w:w="43" w:type="dxa"/>
              <w:right w:w="43" w:type="dxa"/>
            </w:tcMar>
            <w:vAlign w:val="bottom"/>
          </w:tcPr>
          <w:p w14:paraId="22D9125E" w14:textId="2414C46B" w:rsidR="000A2A2B" w:rsidRPr="007C3060" w:rsidRDefault="000A2A2B" w:rsidP="007C3060">
            <w:r w:rsidRPr="007C3060">
              <w:rPr>
                <w:rStyle w:val="kursiv"/>
              </w:rPr>
              <w:t>Endrede utgifter og inntekter utenom skatt mv. fremmet og vedtatt siden Saldert budsjett 2025</w:t>
            </w:r>
          </w:p>
        </w:tc>
        <w:tc>
          <w:tcPr>
            <w:tcW w:w="1409" w:type="dxa"/>
            <w:tcBorders>
              <w:top w:val="single" w:sz="4" w:space="0" w:color="000000"/>
              <w:left w:val="nil"/>
              <w:bottom w:val="nil"/>
              <w:right w:val="nil"/>
            </w:tcBorders>
            <w:tcMar>
              <w:top w:w="128" w:type="dxa"/>
              <w:left w:w="43" w:type="dxa"/>
              <w:bottom w:w="43" w:type="dxa"/>
              <w:right w:w="43" w:type="dxa"/>
            </w:tcMar>
            <w:vAlign w:val="bottom"/>
          </w:tcPr>
          <w:p w14:paraId="7CA2715E" w14:textId="77777777" w:rsidR="000A2A2B" w:rsidRPr="007C3060" w:rsidRDefault="000A2A2B" w:rsidP="007C3060"/>
        </w:tc>
        <w:tc>
          <w:tcPr>
            <w:tcW w:w="1701" w:type="dxa"/>
            <w:tcBorders>
              <w:top w:val="single" w:sz="4" w:space="0" w:color="000000"/>
              <w:left w:val="nil"/>
              <w:bottom w:val="nil"/>
              <w:right w:val="nil"/>
            </w:tcBorders>
            <w:tcMar>
              <w:top w:w="128" w:type="dxa"/>
              <w:left w:w="43" w:type="dxa"/>
              <w:bottom w:w="43" w:type="dxa"/>
              <w:right w:w="43" w:type="dxa"/>
            </w:tcMar>
            <w:vAlign w:val="bottom"/>
          </w:tcPr>
          <w:p w14:paraId="7EE41F73" w14:textId="77777777" w:rsidR="000A2A2B" w:rsidRPr="007C3060" w:rsidRDefault="000A2A2B" w:rsidP="007C3060">
            <w:r w:rsidRPr="007C3060">
              <w:rPr>
                <w:rStyle w:val="kursiv"/>
              </w:rPr>
              <w:t xml:space="preserve">50 227 </w:t>
            </w:r>
          </w:p>
        </w:tc>
      </w:tr>
      <w:tr w:rsidR="004B729E" w:rsidRPr="007C3060" w14:paraId="5165AE47"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20E91E2C"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2A373B94" w14:textId="77777777" w:rsidR="000A2A2B" w:rsidRPr="007C3060" w:rsidRDefault="000A2A2B" w:rsidP="007C3060">
            <w:r w:rsidRPr="007C3060">
              <w:t>Økt militær støtte til Ukraina (</w:t>
            </w:r>
            <w:proofErr w:type="spellStart"/>
            <w:r w:rsidRPr="007C3060">
              <w:t>Prop</w:t>
            </w:r>
            <w:proofErr w:type="spellEnd"/>
            <w:r w:rsidRPr="007C3060">
              <w:t>. 107 S)</w:t>
            </w:r>
          </w:p>
        </w:tc>
        <w:tc>
          <w:tcPr>
            <w:tcW w:w="1409" w:type="dxa"/>
            <w:tcBorders>
              <w:top w:val="nil"/>
              <w:left w:val="nil"/>
              <w:bottom w:val="nil"/>
              <w:right w:val="nil"/>
            </w:tcBorders>
            <w:tcMar>
              <w:top w:w="128" w:type="dxa"/>
              <w:left w:w="43" w:type="dxa"/>
              <w:bottom w:w="43" w:type="dxa"/>
              <w:right w:w="43" w:type="dxa"/>
            </w:tcMar>
            <w:vAlign w:val="bottom"/>
          </w:tcPr>
          <w:p w14:paraId="23F55C15" w14:textId="77777777" w:rsidR="000A2A2B" w:rsidRPr="007C3060" w:rsidRDefault="000A2A2B" w:rsidP="007C3060">
            <w:r w:rsidRPr="007C3060">
              <w:t>50 000</w:t>
            </w:r>
          </w:p>
        </w:tc>
        <w:tc>
          <w:tcPr>
            <w:tcW w:w="1701" w:type="dxa"/>
            <w:tcBorders>
              <w:top w:val="nil"/>
              <w:left w:val="nil"/>
              <w:bottom w:val="nil"/>
              <w:right w:val="nil"/>
            </w:tcBorders>
            <w:tcMar>
              <w:top w:w="128" w:type="dxa"/>
              <w:left w:w="43" w:type="dxa"/>
              <w:bottom w:w="43" w:type="dxa"/>
              <w:right w:w="43" w:type="dxa"/>
            </w:tcMar>
            <w:vAlign w:val="bottom"/>
          </w:tcPr>
          <w:p w14:paraId="16DA57C4" w14:textId="77777777" w:rsidR="000A2A2B" w:rsidRPr="007C3060" w:rsidRDefault="000A2A2B" w:rsidP="007C3060"/>
        </w:tc>
      </w:tr>
      <w:tr w:rsidR="004B729E" w:rsidRPr="007C3060" w14:paraId="617F9E57"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44DBBCD9"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3CE8AF9E" w14:textId="77777777" w:rsidR="000A2A2B" w:rsidRPr="007C3060" w:rsidRDefault="000A2A2B" w:rsidP="007C3060">
            <w:r w:rsidRPr="007C3060">
              <w:t>Nytt sjøfibersamband til Svalbard og Jan Mayen (</w:t>
            </w:r>
            <w:proofErr w:type="spellStart"/>
            <w:r w:rsidRPr="007C3060">
              <w:t>Prop</w:t>
            </w:r>
            <w:proofErr w:type="spellEnd"/>
            <w:r w:rsidRPr="007C3060">
              <w:t>. 47 S)</w:t>
            </w:r>
          </w:p>
        </w:tc>
        <w:tc>
          <w:tcPr>
            <w:tcW w:w="1409" w:type="dxa"/>
            <w:tcBorders>
              <w:top w:val="nil"/>
              <w:left w:val="nil"/>
              <w:bottom w:val="nil"/>
              <w:right w:val="nil"/>
            </w:tcBorders>
            <w:tcMar>
              <w:top w:w="128" w:type="dxa"/>
              <w:left w:w="43" w:type="dxa"/>
              <w:bottom w:w="43" w:type="dxa"/>
              <w:right w:w="43" w:type="dxa"/>
            </w:tcMar>
            <w:vAlign w:val="bottom"/>
          </w:tcPr>
          <w:p w14:paraId="45A6119F" w14:textId="77777777" w:rsidR="000A2A2B" w:rsidRPr="007C3060" w:rsidRDefault="000A2A2B" w:rsidP="007C3060">
            <w:r w:rsidRPr="007C3060">
              <w:t>227</w:t>
            </w:r>
          </w:p>
        </w:tc>
        <w:tc>
          <w:tcPr>
            <w:tcW w:w="1701" w:type="dxa"/>
            <w:tcBorders>
              <w:top w:val="nil"/>
              <w:left w:val="nil"/>
              <w:bottom w:val="nil"/>
              <w:right w:val="nil"/>
            </w:tcBorders>
            <w:tcMar>
              <w:top w:w="128" w:type="dxa"/>
              <w:left w:w="43" w:type="dxa"/>
              <w:bottom w:w="43" w:type="dxa"/>
              <w:right w:w="43" w:type="dxa"/>
            </w:tcMar>
            <w:vAlign w:val="bottom"/>
          </w:tcPr>
          <w:p w14:paraId="0EFED6B5" w14:textId="77777777" w:rsidR="000A2A2B" w:rsidRPr="007C3060" w:rsidRDefault="000A2A2B" w:rsidP="007C3060"/>
        </w:tc>
      </w:tr>
      <w:tr w:rsidR="004B729E" w:rsidRPr="007C3060" w14:paraId="7E21591F"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77EA5F78" w14:textId="77777777" w:rsidR="000A2A2B" w:rsidRPr="007C3060" w:rsidRDefault="000A2A2B" w:rsidP="007C3060">
            <w:r w:rsidRPr="007C3060">
              <w:rPr>
                <w:rStyle w:val="kursiv"/>
              </w:rPr>
              <w:t>+</w:t>
            </w:r>
          </w:p>
        </w:tc>
        <w:tc>
          <w:tcPr>
            <w:tcW w:w="7300" w:type="dxa"/>
            <w:tcBorders>
              <w:top w:val="nil"/>
              <w:left w:val="nil"/>
              <w:bottom w:val="nil"/>
              <w:right w:val="nil"/>
            </w:tcBorders>
            <w:tcMar>
              <w:top w:w="128" w:type="dxa"/>
              <w:left w:w="43" w:type="dxa"/>
              <w:bottom w:w="43" w:type="dxa"/>
              <w:right w:w="43" w:type="dxa"/>
            </w:tcMar>
            <w:vAlign w:val="bottom"/>
          </w:tcPr>
          <w:p w14:paraId="755D8610" w14:textId="77777777" w:rsidR="000A2A2B" w:rsidRPr="007C3060" w:rsidRDefault="000A2A2B" w:rsidP="007C3060">
            <w:r w:rsidRPr="007C3060">
              <w:rPr>
                <w:rStyle w:val="kursiv"/>
              </w:rPr>
              <w:t>Utgiftsforslag som fremmes i denne proposisjonen</w:t>
            </w:r>
          </w:p>
        </w:tc>
        <w:tc>
          <w:tcPr>
            <w:tcW w:w="1409" w:type="dxa"/>
            <w:tcBorders>
              <w:top w:val="nil"/>
              <w:left w:val="nil"/>
              <w:bottom w:val="nil"/>
              <w:right w:val="nil"/>
            </w:tcBorders>
            <w:tcMar>
              <w:top w:w="128" w:type="dxa"/>
              <w:left w:w="43" w:type="dxa"/>
              <w:bottom w:w="43" w:type="dxa"/>
              <w:right w:w="43" w:type="dxa"/>
            </w:tcMar>
            <w:vAlign w:val="bottom"/>
          </w:tcPr>
          <w:p w14:paraId="1FECFD3D" w14:textId="77777777" w:rsidR="000A2A2B" w:rsidRPr="007C3060" w:rsidRDefault="000A2A2B" w:rsidP="007C3060"/>
        </w:tc>
        <w:tc>
          <w:tcPr>
            <w:tcW w:w="1701" w:type="dxa"/>
            <w:tcBorders>
              <w:top w:val="nil"/>
              <w:left w:val="nil"/>
              <w:bottom w:val="nil"/>
              <w:right w:val="nil"/>
            </w:tcBorders>
            <w:tcMar>
              <w:top w:w="128" w:type="dxa"/>
              <w:left w:w="43" w:type="dxa"/>
              <w:bottom w:w="43" w:type="dxa"/>
              <w:right w:w="43" w:type="dxa"/>
            </w:tcMar>
            <w:vAlign w:val="bottom"/>
          </w:tcPr>
          <w:p w14:paraId="61BBD683" w14:textId="77777777" w:rsidR="000A2A2B" w:rsidRPr="007C3060" w:rsidRDefault="000A2A2B" w:rsidP="007C3060">
            <w:r w:rsidRPr="007C3060">
              <w:rPr>
                <w:rStyle w:val="kursiv"/>
              </w:rPr>
              <w:t>4 347</w:t>
            </w:r>
          </w:p>
        </w:tc>
      </w:tr>
      <w:tr w:rsidR="004B729E" w:rsidRPr="007C3060" w14:paraId="2353C578"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6064EBED"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1ABBD212" w14:textId="77777777" w:rsidR="000A2A2B" w:rsidRPr="007C3060" w:rsidRDefault="000A2A2B" w:rsidP="007C3060">
            <w:r w:rsidRPr="007C3060">
              <w:t>Merkostnader i kommunesektoren ifm. ny offentlig AFP</w:t>
            </w:r>
          </w:p>
        </w:tc>
        <w:tc>
          <w:tcPr>
            <w:tcW w:w="1409" w:type="dxa"/>
            <w:tcBorders>
              <w:top w:val="nil"/>
              <w:left w:val="nil"/>
              <w:bottom w:val="nil"/>
              <w:right w:val="nil"/>
            </w:tcBorders>
            <w:tcMar>
              <w:top w:w="128" w:type="dxa"/>
              <w:left w:w="43" w:type="dxa"/>
              <w:bottom w:w="43" w:type="dxa"/>
              <w:right w:w="43" w:type="dxa"/>
            </w:tcMar>
            <w:vAlign w:val="bottom"/>
          </w:tcPr>
          <w:p w14:paraId="3276B064" w14:textId="77777777" w:rsidR="000A2A2B" w:rsidRPr="007C3060" w:rsidRDefault="000A2A2B" w:rsidP="007C3060">
            <w:r w:rsidRPr="007C3060">
              <w:t>4 100</w:t>
            </w:r>
          </w:p>
        </w:tc>
        <w:tc>
          <w:tcPr>
            <w:tcW w:w="1701" w:type="dxa"/>
            <w:tcBorders>
              <w:top w:val="nil"/>
              <w:left w:val="nil"/>
              <w:bottom w:val="nil"/>
              <w:right w:val="nil"/>
            </w:tcBorders>
            <w:tcMar>
              <w:top w:w="128" w:type="dxa"/>
              <w:left w:w="43" w:type="dxa"/>
              <w:bottom w:w="43" w:type="dxa"/>
              <w:right w:w="43" w:type="dxa"/>
            </w:tcMar>
            <w:vAlign w:val="bottom"/>
          </w:tcPr>
          <w:p w14:paraId="0E59BA7B" w14:textId="77777777" w:rsidR="000A2A2B" w:rsidRPr="007C3060" w:rsidRDefault="000A2A2B" w:rsidP="007C3060"/>
        </w:tc>
      </w:tr>
      <w:tr w:rsidR="004B729E" w:rsidRPr="007C3060" w14:paraId="3B4C3A5A"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5FCB5CB1"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17AFD2D0" w14:textId="77777777" w:rsidR="000A2A2B" w:rsidRPr="007C3060" w:rsidRDefault="000A2A2B" w:rsidP="007C3060">
            <w:r w:rsidRPr="007C3060">
              <w:t>Anslagsendringer i folketrygden, ekskl. dagpenger mv.</w:t>
            </w:r>
          </w:p>
        </w:tc>
        <w:tc>
          <w:tcPr>
            <w:tcW w:w="1409" w:type="dxa"/>
            <w:tcBorders>
              <w:top w:val="nil"/>
              <w:left w:val="nil"/>
              <w:bottom w:val="nil"/>
              <w:right w:val="nil"/>
            </w:tcBorders>
            <w:tcMar>
              <w:top w:w="128" w:type="dxa"/>
              <w:left w:w="43" w:type="dxa"/>
              <w:bottom w:w="43" w:type="dxa"/>
              <w:right w:w="43" w:type="dxa"/>
            </w:tcMar>
            <w:vAlign w:val="bottom"/>
          </w:tcPr>
          <w:p w14:paraId="4F37273D" w14:textId="77777777" w:rsidR="000A2A2B" w:rsidRPr="007C3060" w:rsidRDefault="000A2A2B" w:rsidP="007C3060">
            <w:r w:rsidRPr="007C3060">
              <w:t>2 881</w:t>
            </w:r>
          </w:p>
        </w:tc>
        <w:tc>
          <w:tcPr>
            <w:tcW w:w="1701" w:type="dxa"/>
            <w:tcBorders>
              <w:top w:val="nil"/>
              <w:left w:val="nil"/>
              <w:bottom w:val="nil"/>
              <w:right w:val="nil"/>
            </w:tcBorders>
            <w:tcMar>
              <w:top w:w="128" w:type="dxa"/>
              <w:left w:w="43" w:type="dxa"/>
              <w:bottom w:w="43" w:type="dxa"/>
              <w:right w:w="43" w:type="dxa"/>
            </w:tcMar>
            <w:vAlign w:val="bottom"/>
          </w:tcPr>
          <w:p w14:paraId="11E93969" w14:textId="77777777" w:rsidR="000A2A2B" w:rsidRPr="007C3060" w:rsidRDefault="000A2A2B" w:rsidP="007C3060"/>
        </w:tc>
      </w:tr>
      <w:tr w:rsidR="004B729E" w:rsidRPr="007C3060" w14:paraId="62F1B4D5" w14:textId="77777777" w:rsidTr="007423F8">
        <w:trPr>
          <w:trHeight w:val="640"/>
        </w:trPr>
        <w:tc>
          <w:tcPr>
            <w:tcW w:w="320" w:type="dxa"/>
            <w:tcBorders>
              <w:top w:val="nil"/>
              <w:left w:val="nil"/>
              <w:bottom w:val="nil"/>
              <w:right w:val="nil"/>
            </w:tcBorders>
            <w:tcMar>
              <w:top w:w="128" w:type="dxa"/>
              <w:left w:w="43" w:type="dxa"/>
              <w:bottom w:w="43" w:type="dxa"/>
              <w:right w:w="43" w:type="dxa"/>
            </w:tcMar>
          </w:tcPr>
          <w:p w14:paraId="766753ED"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750BA501" w14:textId="77777777" w:rsidR="000A2A2B" w:rsidRPr="007C3060" w:rsidRDefault="000A2A2B" w:rsidP="007C3060">
            <w:r w:rsidRPr="007C3060">
              <w:t>Laboratorie- og radiologiske undersøkelser ved offentlige helseinstitusjoner – anslagsendringer</w:t>
            </w:r>
          </w:p>
        </w:tc>
        <w:tc>
          <w:tcPr>
            <w:tcW w:w="1409" w:type="dxa"/>
            <w:tcBorders>
              <w:top w:val="nil"/>
              <w:left w:val="nil"/>
              <w:bottom w:val="nil"/>
              <w:right w:val="nil"/>
            </w:tcBorders>
            <w:tcMar>
              <w:top w:w="128" w:type="dxa"/>
              <w:left w:w="43" w:type="dxa"/>
              <w:bottom w:w="43" w:type="dxa"/>
              <w:right w:w="43" w:type="dxa"/>
            </w:tcMar>
            <w:vAlign w:val="bottom"/>
          </w:tcPr>
          <w:p w14:paraId="5AC60595" w14:textId="77777777" w:rsidR="000A2A2B" w:rsidRPr="007C3060" w:rsidRDefault="000A2A2B" w:rsidP="007C3060">
            <w:r w:rsidRPr="007C3060">
              <w:t>867</w:t>
            </w:r>
          </w:p>
        </w:tc>
        <w:tc>
          <w:tcPr>
            <w:tcW w:w="1701" w:type="dxa"/>
            <w:tcBorders>
              <w:top w:val="nil"/>
              <w:left w:val="nil"/>
              <w:bottom w:val="nil"/>
              <w:right w:val="nil"/>
            </w:tcBorders>
            <w:tcMar>
              <w:top w:w="128" w:type="dxa"/>
              <w:left w:w="43" w:type="dxa"/>
              <w:bottom w:w="43" w:type="dxa"/>
              <w:right w:w="43" w:type="dxa"/>
            </w:tcMar>
            <w:vAlign w:val="bottom"/>
          </w:tcPr>
          <w:p w14:paraId="79D10675" w14:textId="77777777" w:rsidR="000A2A2B" w:rsidRPr="007C3060" w:rsidRDefault="000A2A2B" w:rsidP="007C3060"/>
        </w:tc>
      </w:tr>
      <w:tr w:rsidR="004B729E" w:rsidRPr="007C3060" w14:paraId="7527006D"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6DB332CE"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0EB10A77" w14:textId="77777777" w:rsidR="000A2A2B" w:rsidRPr="007C3060" w:rsidRDefault="000A2A2B" w:rsidP="007C3060">
            <w:r w:rsidRPr="007C3060">
              <w:t>Innføring av Norgespris for strøm</w:t>
            </w:r>
          </w:p>
        </w:tc>
        <w:tc>
          <w:tcPr>
            <w:tcW w:w="1409" w:type="dxa"/>
            <w:tcBorders>
              <w:top w:val="nil"/>
              <w:left w:val="nil"/>
              <w:bottom w:val="nil"/>
              <w:right w:val="nil"/>
            </w:tcBorders>
            <w:tcMar>
              <w:top w:w="128" w:type="dxa"/>
              <w:left w:w="43" w:type="dxa"/>
              <w:bottom w:w="43" w:type="dxa"/>
              <w:right w:w="43" w:type="dxa"/>
            </w:tcMar>
            <w:vAlign w:val="bottom"/>
          </w:tcPr>
          <w:p w14:paraId="38EB3400" w14:textId="77777777" w:rsidR="000A2A2B" w:rsidRPr="007C3060" w:rsidRDefault="000A2A2B" w:rsidP="007C3060">
            <w:r w:rsidRPr="007C3060">
              <w:t>800</w:t>
            </w:r>
          </w:p>
        </w:tc>
        <w:tc>
          <w:tcPr>
            <w:tcW w:w="1701" w:type="dxa"/>
            <w:tcBorders>
              <w:top w:val="nil"/>
              <w:left w:val="nil"/>
              <w:bottom w:val="nil"/>
              <w:right w:val="nil"/>
            </w:tcBorders>
            <w:tcMar>
              <w:top w:w="128" w:type="dxa"/>
              <w:left w:w="43" w:type="dxa"/>
              <w:bottom w:w="43" w:type="dxa"/>
              <w:right w:w="43" w:type="dxa"/>
            </w:tcMar>
            <w:vAlign w:val="bottom"/>
          </w:tcPr>
          <w:p w14:paraId="3236A364" w14:textId="77777777" w:rsidR="000A2A2B" w:rsidRPr="007C3060" w:rsidRDefault="000A2A2B" w:rsidP="007C3060"/>
        </w:tc>
      </w:tr>
      <w:tr w:rsidR="004B729E" w:rsidRPr="007C3060" w14:paraId="38C6B59C"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74485247"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1589513A" w14:textId="77777777" w:rsidR="000A2A2B" w:rsidRPr="007C3060" w:rsidRDefault="000A2A2B" w:rsidP="007C3060">
            <w:r w:rsidRPr="007C3060">
              <w:t>Institusjonsbarnevernet</w:t>
            </w:r>
          </w:p>
        </w:tc>
        <w:tc>
          <w:tcPr>
            <w:tcW w:w="1409" w:type="dxa"/>
            <w:tcBorders>
              <w:top w:val="nil"/>
              <w:left w:val="nil"/>
              <w:bottom w:val="nil"/>
              <w:right w:val="nil"/>
            </w:tcBorders>
            <w:tcMar>
              <w:top w:w="128" w:type="dxa"/>
              <w:left w:w="43" w:type="dxa"/>
              <w:bottom w:w="43" w:type="dxa"/>
              <w:right w:w="43" w:type="dxa"/>
            </w:tcMar>
            <w:vAlign w:val="bottom"/>
          </w:tcPr>
          <w:p w14:paraId="4FFDD30B" w14:textId="77777777" w:rsidR="000A2A2B" w:rsidRPr="007C3060" w:rsidRDefault="000A2A2B" w:rsidP="007C3060">
            <w:r w:rsidRPr="007C3060">
              <w:t>585</w:t>
            </w:r>
          </w:p>
        </w:tc>
        <w:tc>
          <w:tcPr>
            <w:tcW w:w="1701" w:type="dxa"/>
            <w:tcBorders>
              <w:top w:val="nil"/>
              <w:left w:val="nil"/>
              <w:bottom w:val="nil"/>
              <w:right w:val="nil"/>
            </w:tcBorders>
            <w:tcMar>
              <w:top w:w="128" w:type="dxa"/>
              <w:left w:w="43" w:type="dxa"/>
              <w:bottom w:w="43" w:type="dxa"/>
              <w:right w:w="43" w:type="dxa"/>
            </w:tcMar>
            <w:vAlign w:val="bottom"/>
          </w:tcPr>
          <w:p w14:paraId="579636F2" w14:textId="77777777" w:rsidR="000A2A2B" w:rsidRPr="007C3060" w:rsidRDefault="000A2A2B" w:rsidP="007C3060"/>
        </w:tc>
      </w:tr>
      <w:tr w:rsidR="004B729E" w:rsidRPr="007C3060" w14:paraId="4CA6146D"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3A31F764"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29EC8960" w14:textId="77777777" w:rsidR="000A2A2B" w:rsidRPr="007C3060" w:rsidRDefault="000A2A2B" w:rsidP="007C3060">
            <w:r w:rsidRPr="007C3060">
              <w:t>Sikker teknisk infrastruktur i tilknytning til Regjeringskvartalet</w:t>
            </w:r>
          </w:p>
        </w:tc>
        <w:tc>
          <w:tcPr>
            <w:tcW w:w="1409" w:type="dxa"/>
            <w:tcBorders>
              <w:top w:val="nil"/>
              <w:left w:val="nil"/>
              <w:bottom w:val="nil"/>
              <w:right w:val="nil"/>
            </w:tcBorders>
            <w:tcMar>
              <w:top w:w="128" w:type="dxa"/>
              <w:left w:w="43" w:type="dxa"/>
              <w:bottom w:w="43" w:type="dxa"/>
              <w:right w:w="43" w:type="dxa"/>
            </w:tcMar>
            <w:vAlign w:val="bottom"/>
          </w:tcPr>
          <w:p w14:paraId="725EFDBD" w14:textId="77777777" w:rsidR="000A2A2B" w:rsidRPr="007C3060" w:rsidRDefault="000A2A2B" w:rsidP="007C3060">
            <w:r w:rsidRPr="007C3060">
              <w:t>492</w:t>
            </w:r>
          </w:p>
        </w:tc>
        <w:tc>
          <w:tcPr>
            <w:tcW w:w="1701" w:type="dxa"/>
            <w:tcBorders>
              <w:top w:val="nil"/>
              <w:left w:val="nil"/>
              <w:bottom w:val="nil"/>
              <w:right w:val="nil"/>
            </w:tcBorders>
            <w:tcMar>
              <w:top w:w="128" w:type="dxa"/>
              <w:left w:w="43" w:type="dxa"/>
              <w:bottom w:w="43" w:type="dxa"/>
              <w:right w:w="43" w:type="dxa"/>
            </w:tcMar>
            <w:vAlign w:val="bottom"/>
          </w:tcPr>
          <w:p w14:paraId="41394202" w14:textId="77777777" w:rsidR="000A2A2B" w:rsidRPr="007C3060" w:rsidRDefault="000A2A2B" w:rsidP="007C3060"/>
        </w:tc>
      </w:tr>
      <w:tr w:rsidR="004B729E" w:rsidRPr="007C3060" w14:paraId="75EA5766"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1A6A814D"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02EF2970" w14:textId="77777777" w:rsidR="000A2A2B" w:rsidRPr="007C3060" w:rsidRDefault="000A2A2B" w:rsidP="007C3060">
            <w:r w:rsidRPr="007C3060">
              <w:t>Ny finansieringsmodell for Norske tog AS</w:t>
            </w:r>
          </w:p>
        </w:tc>
        <w:tc>
          <w:tcPr>
            <w:tcW w:w="1409" w:type="dxa"/>
            <w:tcBorders>
              <w:top w:val="nil"/>
              <w:left w:val="nil"/>
              <w:bottom w:val="nil"/>
              <w:right w:val="nil"/>
            </w:tcBorders>
            <w:tcMar>
              <w:top w:w="128" w:type="dxa"/>
              <w:left w:w="43" w:type="dxa"/>
              <w:bottom w:w="43" w:type="dxa"/>
              <w:right w:w="43" w:type="dxa"/>
            </w:tcMar>
            <w:vAlign w:val="bottom"/>
          </w:tcPr>
          <w:p w14:paraId="2C156596" w14:textId="77777777" w:rsidR="000A2A2B" w:rsidRPr="007C3060" w:rsidRDefault="000A2A2B" w:rsidP="007C3060">
            <w:r w:rsidRPr="007C3060">
              <w:t>487</w:t>
            </w:r>
          </w:p>
        </w:tc>
        <w:tc>
          <w:tcPr>
            <w:tcW w:w="1701" w:type="dxa"/>
            <w:tcBorders>
              <w:top w:val="nil"/>
              <w:left w:val="nil"/>
              <w:bottom w:val="nil"/>
              <w:right w:val="nil"/>
            </w:tcBorders>
            <w:tcMar>
              <w:top w:w="128" w:type="dxa"/>
              <w:left w:w="43" w:type="dxa"/>
              <w:bottom w:w="43" w:type="dxa"/>
              <w:right w:w="43" w:type="dxa"/>
            </w:tcMar>
            <w:vAlign w:val="bottom"/>
          </w:tcPr>
          <w:p w14:paraId="4BE6F24D" w14:textId="77777777" w:rsidR="000A2A2B" w:rsidRPr="007C3060" w:rsidRDefault="000A2A2B" w:rsidP="007C3060"/>
        </w:tc>
      </w:tr>
      <w:tr w:rsidR="004B729E" w:rsidRPr="007C3060" w14:paraId="0584D300"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3A27E5AE"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27A32758" w14:textId="77777777" w:rsidR="000A2A2B" w:rsidRPr="007C3060" w:rsidRDefault="000A2A2B" w:rsidP="007C3060">
            <w:r w:rsidRPr="007C3060">
              <w:t>Etablering av midlertidig luftoperasjonssenter (CAOC)</w:t>
            </w:r>
          </w:p>
        </w:tc>
        <w:tc>
          <w:tcPr>
            <w:tcW w:w="1409" w:type="dxa"/>
            <w:tcBorders>
              <w:top w:val="nil"/>
              <w:left w:val="nil"/>
              <w:bottom w:val="nil"/>
              <w:right w:val="nil"/>
            </w:tcBorders>
            <w:tcMar>
              <w:top w:w="128" w:type="dxa"/>
              <w:left w:w="43" w:type="dxa"/>
              <w:bottom w:w="43" w:type="dxa"/>
              <w:right w:w="43" w:type="dxa"/>
            </w:tcMar>
            <w:vAlign w:val="bottom"/>
          </w:tcPr>
          <w:p w14:paraId="39291A5C" w14:textId="77777777" w:rsidR="000A2A2B" w:rsidRPr="007C3060" w:rsidRDefault="000A2A2B" w:rsidP="007C3060">
            <w:r w:rsidRPr="007C3060">
              <w:t>438</w:t>
            </w:r>
          </w:p>
        </w:tc>
        <w:tc>
          <w:tcPr>
            <w:tcW w:w="1701" w:type="dxa"/>
            <w:tcBorders>
              <w:top w:val="nil"/>
              <w:left w:val="nil"/>
              <w:bottom w:val="nil"/>
              <w:right w:val="nil"/>
            </w:tcBorders>
            <w:tcMar>
              <w:top w:w="128" w:type="dxa"/>
              <w:left w:w="43" w:type="dxa"/>
              <w:bottom w:w="43" w:type="dxa"/>
              <w:right w:w="43" w:type="dxa"/>
            </w:tcMar>
            <w:vAlign w:val="bottom"/>
          </w:tcPr>
          <w:p w14:paraId="78E50885" w14:textId="77777777" w:rsidR="000A2A2B" w:rsidRPr="007C3060" w:rsidRDefault="000A2A2B" w:rsidP="007C3060"/>
        </w:tc>
      </w:tr>
      <w:tr w:rsidR="004B729E" w:rsidRPr="007C3060" w14:paraId="4F7FF188"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539F6411"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24CEBB71" w14:textId="77777777" w:rsidR="000A2A2B" w:rsidRPr="007C3060" w:rsidRDefault="000A2A2B" w:rsidP="007C3060">
            <w:r w:rsidRPr="007C3060">
              <w:t>Anskaffelse redningshelikopter – periodisering innenfor styringsrammen</w:t>
            </w:r>
          </w:p>
        </w:tc>
        <w:tc>
          <w:tcPr>
            <w:tcW w:w="1409" w:type="dxa"/>
            <w:tcBorders>
              <w:top w:val="nil"/>
              <w:left w:val="nil"/>
              <w:bottom w:val="nil"/>
              <w:right w:val="nil"/>
            </w:tcBorders>
            <w:tcMar>
              <w:top w:w="128" w:type="dxa"/>
              <w:left w:w="43" w:type="dxa"/>
              <w:bottom w:w="43" w:type="dxa"/>
              <w:right w:w="43" w:type="dxa"/>
            </w:tcMar>
            <w:vAlign w:val="bottom"/>
          </w:tcPr>
          <w:p w14:paraId="29F99AAB" w14:textId="77777777" w:rsidR="000A2A2B" w:rsidRPr="007C3060" w:rsidRDefault="000A2A2B" w:rsidP="007C3060">
            <w:r w:rsidRPr="007C3060">
              <w:t>418</w:t>
            </w:r>
          </w:p>
        </w:tc>
        <w:tc>
          <w:tcPr>
            <w:tcW w:w="1701" w:type="dxa"/>
            <w:tcBorders>
              <w:top w:val="nil"/>
              <w:left w:val="nil"/>
              <w:bottom w:val="nil"/>
              <w:right w:val="nil"/>
            </w:tcBorders>
            <w:tcMar>
              <w:top w:w="128" w:type="dxa"/>
              <w:left w:w="43" w:type="dxa"/>
              <w:bottom w:w="43" w:type="dxa"/>
              <w:right w:w="43" w:type="dxa"/>
            </w:tcMar>
            <w:vAlign w:val="bottom"/>
          </w:tcPr>
          <w:p w14:paraId="67AF69EF" w14:textId="77777777" w:rsidR="000A2A2B" w:rsidRPr="007C3060" w:rsidRDefault="000A2A2B" w:rsidP="007C3060"/>
        </w:tc>
      </w:tr>
      <w:tr w:rsidR="004B729E" w:rsidRPr="007C3060" w14:paraId="659098FD"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7A61C3F9"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13A811EF" w14:textId="77777777" w:rsidR="000A2A2B" w:rsidRPr="007C3060" w:rsidRDefault="000A2A2B" w:rsidP="007C3060">
            <w:r w:rsidRPr="007C3060">
              <w:t>Anslagsendring EØS-finansieringsordningene</w:t>
            </w:r>
          </w:p>
        </w:tc>
        <w:tc>
          <w:tcPr>
            <w:tcW w:w="1409" w:type="dxa"/>
            <w:tcBorders>
              <w:top w:val="nil"/>
              <w:left w:val="nil"/>
              <w:bottom w:val="nil"/>
              <w:right w:val="nil"/>
            </w:tcBorders>
            <w:tcMar>
              <w:top w:w="128" w:type="dxa"/>
              <w:left w:w="43" w:type="dxa"/>
              <w:bottom w:w="43" w:type="dxa"/>
              <w:right w:w="43" w:type="dxa"/>
            </w:tcMar>
            <w:vAlign w:val="bottom"/>
          </w:tcPr>
          <w:p w14:paraId="31C4B5A6" w14:textId="77777777" w:rsidR="000A2A2B" w:rsidRPr="007C3060" w:rsidRDefault="000A2A2B" w:rsidP="007C3060">
            <w:r w:rsidRPr="007C3060">
              <w:t>372</w:t>
            </w:r>
          </w:p>
        </w:tc>
        <w:tc>
          <w:tcPr>
            <w:tcW w:w="1701" w:type="dxa"/>
            <w:tcBorders>
              <w:top w:val="nil"/>
              <w:left w:val="nil"/>
              <w:bottom w:val="nil"/>
              <w:right w:val="nil"/>
            </w:tcBorders>
            <w:tcMar>
              <w:top w:w="128" w:type="dxa"/>
              <w:left w:w="43" w:type="dxa"/>
              <w:bottom w:w="43" w:type="dxa"/>
              <w:right w:w="43" w:type="dxa"/>
            </w:tcMar>
            <w:vAlign w:val="bottom"/>
          </w:tcPr>
          <w:p w14:paraId="62796124" w14:textId="77777777" w:rsidR="000A2A2B" w:rsidRPr="007C3060" w:rsidRDefault="000A2A2B" w:rsidP="007C3060"/>
        </w:tc>
      </w:tr>
      <w:tr w:rsidR="004B729E" w:rsidRPr="007C3060" w14:paraId="0D1FF307"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774A05DD"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6DCFD4F6" w14:textId="77777777" w:rsidR="000A2A2B" w:rsidRPr="007C3060" w:rsidRDefault="000A2A2B" w:rsidP="007C3060">
            <w:r w:rsidRPr="007C3060">
              <w:t>Anslagsendring Norsk havteknologisenter – forsinkelser i prosjektet</w:t>
            </w:r>
          </w:p>
        </w:tc>
        <w:tc>
          <w:tcPr>
            <w:tcW w:w="1409" w:type="dxa"/>
            <w:tcBorders>
              <w:top w:val="nil"/>
              <w:left w:val="nil"/>
              <w:bottom w:val="nil"/>
              <w:right w:val="nil"/>
            </w:tcBorders>
            <w:tcMar>
              <w:top w:w="128" w:type="dxa"/>
              <w:left w:w="43" w:type="dxa"/>
              <w:bottom w:w="43" w:type="dxa"/>
              <w:right w:w="43" w:type="dxa"/>
            </w:tcMar>
            <w:vAlign w:val="bottom"/>
          </w:tcPr>
          <w:p w14:paraId="5929CDF0" w14:textId="77777777" w:rsidR="000A2A2B" w:rsidRPr="007C3060" w:rsidRDefault="000A2A2B" w:rsidP="007C3060">
            <w:r w:rsidRPr="007C3060">
              <w:t>-600</w:t>
            </w:r>
          </w:p>
        </w:tc>
        <w:tc>
          <w:tcPr>
            <w:tcW w:w="1701" w:type="dxa"/>
            <w:tcBorders>
              <w:top w:val="nil"/>
              <w:left w:val="nil"/>
              <w:bottom w:val="nil"/>
              <w:right w:val="nil"/>
            </w:tcBorders>
            <w:tcMar>
              <w:top w:w="128" w:type="dxa"/>
              <w:left w:w="43" w:type="dxa"/>
              <w:bottom w:w="43" w:type="dxa"/>
              <w:right w:w="43" w:type="dxa"/>
            </w:tcMar>
            <w:vAlign w:val="bottom"/>
          </w:tcPr>
          <w:p w14:paraId="33CE51AC" w14:textId="77777777" w:rsidR="000A2A2B" w:rsidRPr="007C3060" w:rsidRDefault="000A2A2B" w:rsidP="007C3060"/>
        </w:tc>
      </w:tr>
      <w:tr w:rsidR="004B729E" w:rsidRPr="007C3060" w14:paraId="6B0582AE"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1DBB0838"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2B371A6C" w14:textId="77777777" w:rsidR="000A2A2B" w:rsidRPr="007C3060" w:rsidRDefault="000A2A2B" w:rsidP="007C3060">
            <w:r w:rsidRPr="007C3060">
              <w:t>Anslagsendring strømstønadsordningen</w:t>
            </w:r>
          </w:p>
        </w:tc>
        <w:tc>
          <w:tcPr>
            <w:tcW w:w="1409" w:type="dxa"/>
            <w:tcBorders>
              <w:top w:val="nil"/>
              <w:left w:val="nil"/>
              <w:bottom w:val="nil"/>
              <w:right w:val="nil"/>
            </w:tcBorders>
            <w:tcMar>
              <w:top w:w="128" w:type="dxa"/>
              <w:left w:w="43" w:type="dxa"/>
              <w:bottom w:w="43" w:type="dxa"/>
              <w:right w:w="43" w:type="dxa"/>
            </w:tcMar>
            <w:vAlign w:val="bottom"/>
          </w:tcPr>
          <w:p w14:paraId="7BFD5F0C" w14:textId="77777777" w:rsidR="000A2A2B" w:rsidRPr="007C3060" w:rsidRDefault="000A2A2B" w:rsidP="007C3060">
            <w:r w:rsidRPr="007C3060">
              <w:t>-1 000</w:t>
            </w:r>
          </w:p>
        </w:tc>
        <w:tc>
          <w:tcPr>
            <w:tcW w:w="1701" w:type="dxa"/>
            <w:tcBorders>
              <w:top w:val="nil"/>
              <w:left w:val="nil"/>
              <w:bottom w:val="nil"/>
              <w:right w:val="nil"/>
            </w:tcBorders>
            <w:tcMar>
              <w:top w:w="128" w:type="dxa"/>
              <w:left w:w="43" w:type="dxa"/>
              <w:bottom w:w="43" w:type="dxa"/>
              <w:right w:w="43" w:type="dxa"/>
            </w:tcMar>
            <w:vAlign w:val="bottom"/>
          </w:tcPr>
          <w:p w14:paraId="423449F1" w14:textId="77777777" w:rsidR="000A2A2B" w:rsidRPr="007C3060" w:rsidRDefault="000A2A2B" w:rsidP="007C3060"/>
        </w:tc>
      </w:tr>
      <w:tr w:rsidR="004B729E" w:rsidRPr="007C3060" w14:paraId="30E82222"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4D734F23"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5BAFCA5B" w14:textId="77777777" w:rsidR="000A2A2B" w:rsidRPr="007C3060" w:rsidRDefault="000A2A2B" w:rsidP="007C3060">
            <w:r w:rsidRPr="007C3060">
              <w:t>Mottak og integrering av flyktninger – volumjusterte utgifter</w:t>
            </w:r>
          </w:p>
        </w:tc>
        <w:tc>
          <w:tcPr>
            <w:tcW w:w="1409" w:type="dxa"/>
            <w:tcBorders>
              <w:top w:val="nil"/>
              <w:left w:val="nil"/>
              <w:bottom w:val="nil"/>
              <w:right w:val="nil"/>
            </w:tcBorders>
            <w:tcMar>
              <w:top w:w="128" w:type="dxa"/>
              <w:left w:w="43" w:type="dxa"/>
              <w:bottom w:w="43" w:type="dxa"/>
              <w:right w:w="43" w:type="dxa"/>
            </w:tcMar>
            <w:vAlign w:val="bottom"/>
          </w:tcPr>
          <w:p w14:paraId="01F2DA55" w14:textId="77777777" w:rsidR="000A2A2B" w:rsidRPr="007C3060" w:rsidRDefault="000A2A2B" w:rsidP="007C3060">
            <w:r w:rsidRPr="007C3060">
              <w:t>-2 459</w:t>
            </w:r>
          </w:p>
        </w:tc>
        <w:tc>
          <w:tcPr>
            <w:tcW w:w="1701" w:type="dxa"/>
            <w:tcBorders>
              <w:top w:val="nil"/>
              <w:left w:val="nil"/>
              <w:bottom w:val="nil"/>
              <w:right w:val="nil"/>
            </w:tcBorders>
            <w:tcMar>
              <w:top w:w="128" w:type="dxa"/>
              <w:left w:w="43" w:type="dxa"/>
              <w:bottom w:w="43" w:type="dxa"/>
              <w:right w:w="43" w:type="dxa"/>
            </w:tcMar>
            <w:vAlign w:val="bottom"/>
          </w:tcPr>
          <w:p w14:paraId="5CAE971D" w14:textId="77777777" w:rsidR="000A2A2B" w:rsidRPr="007C3060" w:rsidRDefault="000A2A2B" w:rsidP="007C3060"/>
        </w:tc>
      </w:tr>
      <w:tr w:rsidR="004B729E" w:rsidRPr="007C3060" w14:paraId="4ECB8252"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547240BA"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3E29F943" w14:textId="77777777" w:rsidR="000A2A2B" w:rsidRPr="007C3060" w:rsidRDefault="000A2A2B" w:rsidP="007C3060">
            <w:r w:rsidRPr="007C3060">
              <w:t>Bevilgningsreduksjon som følger av økte militære donasjoner til Ukraina</w:t>
            </w:r>
          </w:p>
        </w:tc>
        <w:tc>
          <w:tcPr>
            <w:tcW w:w="1409" w:type="dxa"/>
            <w:tcBorders>
              <w:top w:val="nil"/>
              <w:left w:val="nil"/>
              <w:bottom w:val="nil"/>
              <w:right w:val="nil"/>
            </w:tcBorders>
            <w:tcMar>
              <w:top w:w="128" w:type="dxa"/>
              <w:left w:w="43" w:type="dxa"/>
              <w:bottom w:w="43" w:type="dxa"/>
              <w:right w:w="43" w:type="dxa"/>
            </w:tcMar>
            <w:vAlign w:val="bottom"/>
          </w:tcPr>
          <w:p w14:paraId="6B4C4313" w14:textId="77777777" w:rsidR="000A2A2B" w:rsidRPr="007C3060" w:rsidRDefault="000A2A2B" w:rsidP="007C3060">
            <w:r w:rsidRPr="007C3060">
              <w:t>-4 090</w:t>
            </w:r>
          </w:p>
        </w:tc>
        <w:tc>
          <w:tcPr>
            <w:tcW w:w="1701" w:type="dxa"/>
            <w:tcBorders>
              <w:top w:val="nil"/>
              <w:left w:val="nil"/>
              <w:bottom w:val="nil"/>
              <w:right w:val="nil"/>
            </w:tcBorders>
            <w:tcMar>
              <w:top w:w="128" w:type="dxa"/>
              <w:left w:w="43" w:type="dxa"/>
              <w:bottom w:w="43" w:type="dxa"/>
              <w:right w:w="43" w:type="dxa"/>
            </w:tcMar>
            <w:vAlign w:val="bottom"/>
          </w:tcPr>
          <w:p w14:paraId="67B61188" w14:textId="77777777" w:rsidR="000A2A2B" w:rsidRPr="007C3060" w:rsidRDefault="000A2A2B" w:rsidP="007C3060"/>
        </w:tc>
      </w:tr>
      <w:tr w:rsidR="004B729E" w:rsidRPr="007C3060" w14:paraId="635518A9"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70535D8D"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4938DB4A" w14:textId="77777777" w:rsidR="000A2A2B" w:rsidRPr="007C3060" w:rsidRDefault="000A2A2B" w:rsidP="007C3060">
            <w:r w:rsidRPr="007C3060">
              <w:t>Andre forslag på utgiftssiden</w:t>
            </w:r>
          </w:p>
        </w:tc>
        <w:tc>
          <w:tcPr>
            <w:tcW w:w="1409" w:type="dxa"/>
            <w:tcBorders>
              <w:top w:val="nil"/>
              <w:left w:val="nil"/>
              <w:bottom w:val="nil"/>
              <w:right w:val="nil"/>
            </w:tcBorders>
            <w:tcMar>
              <w:top w:w="128" w:type="dxa"/>
              <w:left w:w="43" w:type="dxa"/>
              <w:bottom w:w="43" w:type="dxa"/>
              <w:right w:w="43" w:type="dxa"/>
            </w:tcMar>
            <w:vAlign w:val="bottom"/>
          </w:tcPr>
          <w:p w14:paraId="25418378" w14:textId="77777777" w:rsidR="000A2A2B" w:rsidRPr="007C3060" w:rsidRDefault="000A2A2B" w:rsidP="007C3060">
            <w:r w:rsidRPr="007C3060">
              <w:t>1 056</w:t>
            </w:r>
          </w:p>
        </w:tc>
        <w:tc>
          <w:tcPr>
            <w:tcW w:w="1701" w:type="dxa"/>
            <w:tcBorders>
              <w:top w:val="nil"/>
              <w:left w:val="nil"/>
              <w:bottom w:val="nil"/>
              <w:right w:val="nil"/>
            </w:tcBorders>
            <w:tcMar>
              <w:top w:w="128" w:type="dxa"/>
              <w:left w:w="43" w:type="dxa"/>
              <w:bottom w:w="43" w:type="dxa"/>
              <w:right w:w="43" w:type="dxa"/>
            </w:tcMar>
            <w:vAlign w:val="bottom"/>
          </w:tcPr>
          <w:p w14:paraId="5D5D6769" w14:textId="77777777" w:rsidR="000A2A2B" w:rsidRPr="007C3060" w:rsidRDefault="000A2A2B" w:rsidP="007C3060"/>
        </w:tc>
      </w:tr>
      <w:tr w:rsidR="004B729E" w:rsidRPr="007C3060" w14:paraId="454984BD"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529FEC5A" w14:textId="77777777" w:rsidR="000A2A2B" w:rsidRPr="007C3060" w:rsidRDefault="000A2A2B" w:rsidP="007C3060">
            <w:r w:rsidRPr="007C3060">
              <w:rPr>
                <w:rStyle w:val="kursiv"/>
              </w:rPr>
              <w:t>-</w:t>
            </w:r>
          </w:p>
        </w:tc>
        <w:tc>
          <w:tcPr>
            <w:tcW w:w="7300" w:type="dxa"/>
            <w:tcBorders>
              <w:top w:val="nil"/>
              <w:left w:val="nil"/>
              <w:bottom w:val="nil"/>
              <w:right w:val="nil"/>
            </w:tcBorders>
            <w:tcMar>
              <w:top w:w="128" w:type="dxa"/>
              <w:left w:w="43" w:type="dxa"/>
              <w:bottom w:w="43" w:type="dxa"/>
              <w:right w:w="43" w:type="dxa"/>
            </w:tcMar>
            <w:vAlign w:val="bottom"/>
          </w:tcPr>
          <w:p w14:paraId="5C3B142E" w14:textId="77777777" w:rsidR="000A2A2B" w:rsidRPr="007C3060" w:rsidRDefault="000A2A2B" w:rsidP="007C3060">
            <w:r w:rsidRPr="007C3060">
              <w:rPr>
                <w:rStyle w:val="kursiv"/>
              </w:rPr>
              <w:t>Inntektsforslag som fremmes i denne proposisjonen</w:t>
            </w:r>
          </w:p>
        </w:tc>
        <w:tc>
          <w:tcPr>
            <w:tcW w:w="1409" w:type="dxa"/>
            <w:tcBorders>
              <w:top w:val="nil"/>
              <w:left w:val="nil"/>
              <w:bottom w:val="nil"/>
              <w:right w:val="nil"/>
            </w:tcBorders>
            <w:tcMar>
              <w:top w:w="128" w:type="dxa"/>
              <w:left w:w="43" w:type="dxa"/>
              <w:bottom w:w="43" w:type="dxa"/>
              <w:right w:w="43" w:type="dxa"/>
            </w:tcMar>
            <w:vAlign w:val="bottom"/>
          </w:tcPr>
          <w:p w14:paraId="61822098" w14:textId="77777777" w:rsidR="000A2A2B" w:rsidRPr="007C3060" w:rsidRDefault="000A2A2B" w:rsidP="007C3060"/>
        </w:tc>
        <w:tc>
          <w:tcPr>
            <w:tcW w:w="1701" w:type="dxa"/>
            <w:tcBorders>
              <w:top w:val="nil"/>
              <w:left w:val="nil"/>
              <w:bottom w:val="nil"/>
              <w:right w:val="nil"/>
            </w:tcBorders>
            <w:tcMar>
              <w:top w:w="128" w:type="dxa"/>
              <w:left w:w="43" w:type="dxa"/>
              <w:bottom w:w="43" w:type="dxa"/>
              <w:right w:w="43" w:type="dxa"/>
            </w:tcMar>
            <w:vAlign w:val="bottom"/>
          </w:tcPr>
          <w:p w14:paraId="58295909" w14:textId="77777777" w:rsidR="000A2A2B" w:rsidRPr="007C3060" w:rsidRDefault="000A2A2B" w:rsidP="007C3060">
            <w:r w:rsidRPr="007C3060">
              <w:rPr>
                <w:rStyle w:val="kursiv"/>
              </w:rPr>
              <w:t xml:space="preserve"> -1 263</w:t>
            </w:r>
          </w:p>
        </w:tc>
      </w:tr>
      <w:tr w:rsidR="004B729E" w:rsidRPr="007C3060" w14:paraId="6771C422"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307611AA"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3C9079C7" w14:textId="77777777" w:rsidR="000A2A2B" w:rsidRPr="007C3060" w:rsidRDefault="000A2A2B" w:rsidP="007C3060">
            <w:r w:rsidRPr="007C3060">
              <w:t xml:space="preserve">Utbytter fra børsnoterte selskaper under </w:t>
            </w:r>
            <w:proofErr w:type="spellStart"/>
            <w:r w:rsidRPr="007C3060">
              <w:t>NFDs</w:t>
            </w:r>
            <w:proofErr w:type="spellEnd"/>
            <w:r w:rsidRPr="007C3060">
              <w:t xml:space="preserve"> forvaltning</w:t>
            </w:r>
          </w:p>
        </w:tc>
        <w:tc>
          <w:tcPr>
            <w:tcW w:w="1409" w:type="dxa"/>
            <w:tcBorders>
              <w:top w:val="nil"/>
              <w:left w:val="nil"/>
              <w:bottom w:val="nil"/>
              <w:right w:val="nil"/>
            </w:tcBorders>
            <w:tcMar>
              <w:top w:w="128" w:type="dxa"/>
              <w:left w:w="43" w:type="dxa"/>
              <w:bottom w:w="43" w:type="dxa"/>
              <w:right w:w="43" w:type="dxa"/>
            </w:tcMar>
            <w:vAlign w:val="bottom"/>
          </w:tcPr>
          <w:p w14:paraId="0D9CAB07" w14:textId="77777777" w:rsidR="000A2A2B" w:rsidRPr="007C3060" w:rsidRDefault="000A2A2B" w:rsidP="007C3060">
            <w:r w:rsidRPr="007C3060">
              <w:t>1 082</w:t>
            </w:r>
          </w:p>
        </w:tc>
        <w:tc>
          <w:tcPr>
            <w:tcW w:w="1701" w:type="dxa"/>
            <w:tcBorders>
              <w:top w:val="nil"/>
              <w:left w:val="nil"/>
              <w:bottom w:val="nil"/>
              <w:right w:val="nil"/>
            </w:tcBorders>
            <w:tcMar>
              <w:top w:w="128" w:type="dxa"/>
              <w:left w:w="43" w:type="dxa"/>
              <w:bottom w:w="43" w:type="dxa"/>
              <w:right w:w="43" w:type="dxa"/>
            </w:tcMar>
            <w:vAlign w:val="bottom"/>
          </w:tcPr>
          <w:p w14:paraId="4E59D5F4" w14:textId="77777777" w:rsidR="000A2A2B" w:rsidRPr="007C3060" w:rsidRDefault="000A2A2B" w:rsidP="007C3060"/>
        </w:tc>
      </w:tr>
      <w:tr w:rsidR="004B729E" w:rsidRPr="007C3060" w14:paraId="04980D20"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127E4C08"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1237962B" w14:textId="77777777" w:rsidR="000A2A2B" w:rsidRPr="007C3060" w:rsidRDefault="000A2A2B" w:rsidP="007C3060">
            <w:r w:rsidRPr="007C3060">
              <w:t>Eksfin – Tilbakeføring av inntekter fra avviklede ordninger</w:t>
            </w:r>
          </w:p>
        </w:tc>
        <w:tc>
          <w:tcPr>
            <w:tcW w:w="1409" w:type="dxa"/>
            <w:tcBorders>
              <w:top w:val="nil"/>
              <w:left w:val="nil"/>
              <w:bottom w:val="nil"/>
              <w:right w:val="nil"/>
            </w:tcBorders>
            <w:tcMar>
              <w:top w:w="128" w:type="dxa"/>
              <w:left w:w="43" w:type="dxa"/>
              <w:bottom w:w="43" w:type="dxa"/>
              <w:right w:w="43" w:type="dxa"/>
            </w:tcMar>
            <w:vAlign w:val="bottom"/>
          </w:tcPr>
          <w:p w14:paraId="79889921" w14:textId="77777777" w:rsidR="000A2A2B" w:rsidRPr="007C3060" w:rsidRDefault="000A2A2B" w:rsidP="007C3060">
            <w:r w:rsidRPr="007C3060">
              <w:t>463</w:t>
            </w:r>
          </w:p>
        </w:tc>
        <w:tc>
          <w:tcPr>
            <w:tcW w:w="1701" w:type="dxa"/>
            <w:tcBorders>
              <w:top w:val="nil"/>
              <w:left w:val="nil"/>
              <w:bottom w:val="nil"/>
              <w:right w:val="nil"/>
            </w:tcBorders>
            <w:tcMar>
              <w:top w:w="128" w:type="dxa"/>
              <w:left w:w="43" w:type="dxa"/>
              <w:bottom w:w="43" w:type="dxa"/>
              <w:right w:w="43" w:type="dxa"/>
            </w:tcMar>
            <w:vAlign w:val="bottom"/>
          </w:tcPr>
          <w:p w14:paraId="086778F5" w14:textId="77777777" w:rsidR="000A2A2B" w:rsidRPr="007C3060" w:rsidRDefault="000A2A2B" w:rsidP="007C3060"/>
        </w:tc>
      </w:tr>
      <w:tr w:rsidR="004B729E" w:rsidRPr="007C3060" w14:paraId="533BB197"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583C27FD"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16D70AED" w14:textId="77777777" w:rsidR="000A2A2B" w:rsidRPr="007C3060" w:rsidRDefault="000A2A2B" w:rsidP="007C3060">
            <w:r w:rsidRPr="007C3060">
              <w:t>UD – Tilbakeføringer ifm. avvikling av gjeldsbrevordningen</w:t>
            </w:r>
          </w:p>
        </w:tc>
        <w:tc>
          <w:tcPr>
            <w:tcW w:w="1409" w:type="dxa"/>
            <w:tcBorders>
              <w:top w:val="nil"/>
              <w:left w:val="nil"/>
              <w:bottom w:val="nil"/>
              <w:right w:val="nil"/>
            </w:tcBorders>
            <w:tcMar>
              <w:top w:w="128" w:type="dxa"/>
              <w:left w:w="43" w:type="dxa"/>
              <w:bottom w:w="43" w:type="dxa"/>
              <w:right w:w="43" w:type="dxa"/>
            </w:tcMar>
            <w:vAlign w:val="bottom"/>
          </w:tcPr>
          <w:p w14:paraId="52CADCCB" w14:textId="77777777" w:rsidR="000A2A2B" w:rsidRPr="007C3060" w:rsidRDefault="000A2A2B" w:rsidP="007C3060">
            <w:r w:rsidRPr="007C3060">
              <w:t>230</w:t>
            </w:r>
          </w:p>
        </w:tc>
        <w:tc>
          <w:tcPr>
            <w:tcW w:w="1701" w:type="dxa"/>
            <w:tcBorders>
              <w:top w:val="nil"/>
              <w:left w:val="nil"/>
              <w:bottom w:val="nil"/>
              <w:right w:val="nil"/>
            </w:tcBorders>
            <w:tcMar>
              <w:top w:w="128" w:type="dxa"/>
              <w:left w:w="43" w:type="dxa"/>
              <w:bottom w:w="43" w:type="dxa"/>
              <w:right w:w="43" w:type="dxa"/>
            </w:tcMar>
            <w:vAlign w:val="bottom"/>
          </w:tcPr>
          <w:p w14:paraId="4B854883" w14:textId="77777777" w:rsidR="000A2A2B" w:rsidRPr="007C3060" w:rsidRDefault="000A2A2B" w:rsidP="007C3060"/>
        </w:tc>
      </w:tr>
      <w:tr w:rsidR="004B729E" w:rsidRPr="007C3060" w14:paraId="2DDA6F29"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3418CC31"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365E4194" w14:textId="77777777" w:rsidR="000A2A2B" w:rsidRPr="007C3060" w:rsidRDefault="000A2A2B" w:rsidP="007C3060">
            <w:r w:rsidRPr="007C3060">
              <w:t>Salg av klimakvoter</w:t>
            </w:r>
          </w:p>
        </w:tc>
        <w:tc>
          <w:tcPr>
            <w:tcW w:w="1409" w:type="dxa"/>
            <w:tcBorders>
              <w:top w:val="nil"/>
              <w:left w:val="nil"/>
              <w:bottom w:val="nil"/>
              <w:right w:val="nil"/>
            </w:tcBorders>
            <w:tcMar>
              <w:top w:w="128" w:type="dxa"/>
              <w:left w:w="43" w:type="dxa"/>
              <w:bottom w:w="43" w:type="dxa"/>
              <w:right w:w="43" w:type="dxa"/>
            </w:tcMar>
            <w:vAlign w:val="bottom"/>
          </w:tcPr>
          <w:p w14:paraId="59069312" w14:textId="77777777" w:rsidR="000A2A2B" w:rsidRPr="007C3060" w:rsidRDefault="000A2A2B" w:rsidP="007C3060">
            <w:r w:rsidRPr="007C3060">
              <w:t>-777</w:t>
            </w:r>
          </w:p>
        </w:tc>
        <w:tc>
          <w:tcPr>
            <w:tcW w:w="1701" w:type="dxa"/>
            <w:tcBorders>
              <w:top w:val="nil"/>
              <w:left w:val="nil"/>
              <w:bottom w:val="nil"/>
              <w:right w:val="nil"/>
            </w:tcBorders>
            <w:tcMar>
              <w:top w:w="128" w:type="dxa"/>
              <w:left w:w="43" w:type="dxa"/>
              <w:bottom w:w="43" w:type="dxa"/>
              <w:right w:w="43" w:type="dxa"/>
            </w:tcMar>
            <w:vAlign w:val="bottom"/>
          </w:tcPr>
          <w:p w14:paraId="6C44FE3E" w14:textId="77777777" w:rsidR="000A2A2B" w:rsidRPr="007C3060" w:rsidRDefault="000A2A2B" w:rsidP="007C3060"/>
        </w:tc>
      </w:tr>
      <w:tr w:rsidR="004B729E" w:rsidRPr="007C3060" w14:paraId="3F144A7C"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2FE73B42"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54D911C4" w14:textId="77777777" w:rsidR="000A2A2B" w:rsidRPr="007C3060" w:rsidRDefault="000A2A2B" w:rsidP="007C3060">
            <w:r w:rsidRPr="007C3060">
              <w:t>Refusjon av ODA-godkjente flyktningutgifter</w:t>
            </w:r>
          </w:p>
        </w:tc>
        <w:tc>
          <w:tcPr>
            <w:tcW w:w="1409" w:type="dxa"/>
            <w:tcBorders>
              <w:top w:val="nil"/>
              <w:left w:val="nil"/>
              <w:bottom w:val="nil"/>
              <w:right w:val="nil"/>
            </w:tcBorders>
            <w:tcMar>
              <w:top w:w="128" w:type="dxa"/>
              <w:left w:w="43" w:type="dxa"/>
              <w:bottom w:w="43" w:type="dxa"/>
              <w:right w:w="43" w:type="dxa"/>
            </w:tcMar>
            <w:vAlign w:val="bottom"/>
          </w:tcPr>
          <w:p w14:paraId="268B6E49" w14:textId="77777777" w:rsidR="000A2A2B" w:rsidRPr="007C3060" w:rsidRDefault="000A2A2B" w:rsidP="007C3060">
            <w:r w:rsidRPr="007C3060">
              <w:t>-844</w:t>
            </w:r>
          </w:p>
        </w:tc>
        <w:tc>
          <w:tcPr>
            <w:tcW w:w="1701" w:type="dxa"/>
            <w:tcBorders>
              <w:top w:val="nil"/>
              <w:left w:val="nil"/>
              <w:bottom w:val="nil"/>
              <w:right w:val="nil"/>
            </w:tcBorders>
            <w:tcMar>
              <w:top w:w="128" w:type="dxa"/>
              <w:left w:w="43" w:type="dxa"/>
              <w:bottom w:w="43" w:type="dxa"/>
              <w:right w:w="43" w:type="dxa"/>
            </w:tcMar>
            <w:vAlign w:val="bottom"/>
          </w:tcPr>
          <w:p w14:paraId="4E12B771" w14:textId="77777777" w:rsidR="000A2A2B" w:rsidRPr="007C3060" w:rsidRDefault="000A2A2B" w:rsidP="007C3060"/>
        </w:tc>
      </w:tr>
      <w:tr w:rsidR="004B729E" w:rsidRPr="007C3060" w14:paraId="11193EDA"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087A481F"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562D9544" w14:textId="77777777" w:rsidR="000A2A2B" w:rsidRPr="007C3060" w:rsidRDefault="000A2A2B" w:rsidP="007C3060">
            <w:r w:rsidRPr="007C3060">
              <w:t xml:space="preserve">Utbytte fra unoterte selskaper under </w:t>
            </w:r>
            <w:proofErr w:type="spellStart"/>
            <w:r w:rsidRPr="007C3060">
              <w:t>NFDs</w:t>
            </w:r>
            <w:proofErr w:type="spellEnd"/>
            <w:r w:rsidRPr="007C3060">
              <w:t xml:space="preserve"> forvaltning</w:t>
            </w:r>
          </w:p>
        </w:tc>
        <w:tc>
          <w:tcPr>
            <w:tcW w:w="1409" w:type="dxa"/>
            <w:tcBorders>
              <w:top w:val="nil"/>
              <w:left w:val="nil"/>
              <w:bottom w:val="nil"/>
              <w:right w:val="nil"/>
            </w:tcBorders>
            <w:tcMar>
              <w:top w:w="128" w:type="dxa"/>
              <w:left w:w="43" w:type="dxa"/>
              <w:bottom w:w="43" w:type="dxa"/>
              <w:right w:w="43" w:type="dxa"/>
            </w:tcMar>
            <w:vAlign w:val="bottom"/>
          </w:tcPr>
          <w:p w14:paraId="2DC440E6" w14:textId="77777777" w:rsidR="000A2A2B" w:rsidRPr="007C3060" w:rsidRDefault="000A2A2B" w:rsidP="007C3060">
            <w:r w:rsidRPr="007C3060">
              <w:t>-1 001</w:t>
            </w:r>
          </w:p>
        </w:tc>
        <w:tc>
          <w:tcPr>
            <w:tcW w:w="1701" w:type="dxa"/>
            <w:tcBorders>
              <w:top w:val="nil"/>
              <w:left w:val="nil"/>
              <w:bottom w:val="nil"/>
              <w:right w:val="nil"/>
            </w:tcBorders>
            <w:tcMar>
              <w:top w:w="128" w:type="dxa"/>
              <w:left w:w="43" w:type="dxa"/>
              <w:bottom w:w="43" w:type="dxa"/>
              <w:right w:w="43" w:type="dxa"/>
            </w:tcMar>
            <w:vAlign w:val="bottom"/>
          </w:tcPr>
          <w:p w14:paraId="5CFA804F" w14:textId="77777777" w:rsidR="000A2A2B" w:rsidRPr="007C3060" w:rsidRDefault="000A2A2B" w:rsidP="007C3060"/>
        </w:tc>
      </w:tr>
      <w:tr w:rsidR="004B729E" w:rsidRPr="007C3060" w14:paraId="3D6B27E5"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108CF71B"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0AF08C58" w14:textId="77777777" w:rsidR="000A2A2B" w:rsidRPr="007C3060" w:rsidRDefault="000A2A2B" w:rsidP="007C3060">
            <w:r w:rsidRPr="007C3060">
              <w:t>Utbytte fra Statnett</w:t>
            </w:r>
          </w:p>
        </w:tc>
        <w:tc>
          <w:tcPr>
            <w:tcW w:w="1409" w:type="dxa"/>
            <w:tcBorders>
              <w:top w:val="nil"/>
              <w:left w:val="nil"/>
              <w:bottom w:val="nil"/>
              <w:right w:val="nil"/>
            </w:tcBorders>
            <w:tcMar>
              <w:top w:w="128" w:type="dxa"/>
              <w:left w:w="43" w:type="dxa"/>
              <w:bottom w:w="43" w:type="dxa"/>
              <w:right w:w="43" w:type="dxa"/>
            </w:tcMar>
            <w:vAlign w:val="bottom"/>
          </w:tcPr>
          <w:p w14:paraId="4944D506" w14:textId="77777777" w:rsidR="000A2A2B" w:rsidRPr="007C3060" w:rsidRDefault="000A2A2B" w:rsidP="007C3060">
            <w:r w:rsidRPr="007C3060">
              <w:t>-1 051</w:t>
            </w:r>
          </w:p>
        </w:tc>
        <w:tc>
          <w:tcPr>
            <w:tcW w:w="1701" w:type="dxa"/>
            <w:tcBorders>
              <w:top w:val="nil"/>
              <w:left w:val="nil"/>
              <w:bottom w:val="nil"/>
              <w:right w:val="nil"/>
            </w:tcBorders>
            <w:tcMar>
              <w:top w:w="128" w:type="dxa"/>
              <w:left w:w="43" w:type="dxa"/>
              <w:bottom w:w="43" w:type="dxa"/>
              <w:right w:w="43" w:type="dxa"/>
            </w:tcMar>
            <w:vAlign w:val="bottom"/>
          </w:tcPr>
          <w:p w14:paraId="70AD24D6" w14:textId="77777777" w:rsidR="000A2A2B" w:rsidRPr="007C3060" w:rsidRDefault="000A2A2B" w:rsidP="007C3060"/>
        </w:tc>
      </w:tr>
      <w:tr w:rsidR="004B729E" w:rsidRPr="007C3060" w14:paraId="06EB70FC" w14:textId="77777777" w:rsidTr="007423F8">
        <w:trPr>
          <w:trHeight w:val="380"/>
        </w:trPr>
        <w:tc>
          <w:tcPr>
            <w:tcW w:w="320" w:type="dxa"/>
            <w:tcBorders>
              <w:top w:val="nil"/>
              <w:left w:val="nil"/>
              <w:bottom w:val="nil"/>
              <w:right w:val="nil"/>
            </w:tcBorders>
            <w:tcMar>
              <w:top w:w="128" w:type="dxa"/>
              <w:left w:w="43" w:type="dxa"/>
              <w:bottom w:w="43" w:type="dxa"/>
              <w:right w:w="43" w:type="dxa"/>
            </w:tcMar>
          </w:tcPr>
          <w:p w14:paraId="52E6434C" w14:textId="77777777" w:rsidR="000A2A2B" w:rsidRPr="007C3060" w:rsidRDefault="000A2A2B" w:rsidP="007C3060"/>
        </w:tc>
        <w:tc>
          <w:tcPr>
            <w:tcW w:w="7300" w:type="dxa"/>
            <w:tcBorders>
              <w:top w:val="nil"/>
              <w:left w:val="nil"/>
              <w:bottom w:val="nil"/>
              <w:right w:val="nil"/>
            </w:tcBorders>
            <w:tcMar>
              <w:top w:w="128" w:type="dxa"/>
              <w:left w:w="43" w:type="dxa"/>
              <w:bottom w:w="43" w:type="dxa"/>
              <w:right w:w="43" w:type="dxa"/>
            </w:tcMar>
            <w:vAlign w:val="bottom"/>
          </w:tcPr>
          <w:p w14:paraId="66B0A2E8" w14:textId="77777777" w:rsidR="000A2A2B" w:rsidRPr="007C3060" w:rsidRDefault="000A2A2B" w:rsidP="007C3060">
            <w:r w:rsidRPr="007C3060">
              <w:t>Andre forslag på inntektssiden</w:t>
            </w:r>
          </w:p>
        </w:tc>
        <w:tc>
          <w:tcPr>
            <w:tcW w:w="1409" w:type="dxa"/>
            <w:tcBorders>
              <w:top w:val="nil"/>
              <w:left w:val="nil"/>
              <w:bottom w:val="nil"/>
              <w:right w:val="nil"/>
            </w:tcBorders>
            <w:tcMar>
              <w:top w:w="128" w:type="dxa"/>
              <w:left w:w="43" w:type="dxa"/>
              <w:bottom w:w="43" w:type="dxa"/>
              <w:right w:w="43" w:type="dxa"/>
            </w:tcMar>
            <w:vAlign w:val="bottom"/>
          </w:tcPr>
          <w:p w14:paraId="2166987E" w14:textId="77777777" w:rsidR="000A2A2B" w:rsidRPr="007C3060" w:rsidRDefault="000A2A2B" w:rsidP="007C3060">
            <w:r w:rsidRPr="007C3060">
              <w:t>635</w:t>
            </w:r>
          </w:p>
        </w:tc>
        <w:tc>
          <w:tcPr>
            <w:tcW w:w="1701" w:type="dxa"/>
            <w:tcBorders>
              <w:top w:val="nil"/>
              <w:left w:val="nil"/>
              <w:bottom w:val="nil"/>
              <w:right w:val="nil"/>
            </w:tcBorders>
            <w:tcMar>
              <w:top w:w="128" w:type="dxa"/>
              <w:left w:w="43" w:type="dxa"/>
              <w:bottom w:w="43" w:type="dxa"/>
              <w:right w:w="43" w:type="dxa"/>
            </w:tcMar>
            <w:vAlign w:val="bottom"/>
          </w:tcPr>
          <w:p w14:paraId="77F4D710" w14:textId="77777777" w:rsidR="000A2A2B" w:rsidRPr="007C3060" w:rsidRDefault="000A2A2B" w:rsidP="007C3060"/>
        </w:tc>
      </w:tr>
      <w:tr w:rsidR="004B729E" w:rsidRPr="007C3060" w14:paraId="6DFE3F19" w14:textId="77777777" w:rsidTr="007423F8">
        <w:trPr>
          <w:trHeight w:val="380"/>
        </w:trPr>
        <w:tc>
          <w:tcPr>
            <w:tcW w:w="320" w:type="dxa"/>
            <w:tcBorders>
              <w:top w:val="nil"/>
              <w:left w:val="nil"/>
              <w:bottom w:val="single" w:sz="4" w:space="0" w:color="000000"/>
              <w:right w:val="nil"/>
            </w:tcBorders>
            <w:tcMar>
              <w:top w:w="128" w:type="dxa"/>
              <w:left w:w="43" w:type="dxa"/>
              <w:bottom w:w="43" w:type="dxa"/>
              <w:right w:w="43" w:type="dxa"/>
            </w:tcMar>
          </w:tcPr>
          <w:p w14:paraId="115A23E1" w14:textId="77777777" w:rsidR="000A2A2B" w:rsidRPr="007C3060" w:rsidRDefault="000A2A2B" w:rsidP="007C3060">
            <w:r w:rsidRPr="007C3060">
              <w:rPr>
                <w:rStyle w:val="kursiv"/>
              </w:rPr>
              <w:t>-</w:t>
            </w:r>
          </w:p>
        </w:tc>
        <w:tc>
          <w:tcPr>
            <w:tcW w:w="7300" w:type="dxa"/>
            <w:tcBorders>
              <w:top w:val="nil"/>
              <w:left w:val="nil"/>
              <w:bottom w:val="single" w:sz="4" w:space="0" w:color="000000"/>
              <w:right w:val="nil"/>
            </w:tcBorders>
            <w:tcMar>
              <w:top w:w="128" w:type="dxa"/>
              <w:left w:w="43" w:type="dxa"/>
              <w:bottom w:w="43" w:type="dxa"/>
              <w:right w:w="43" w:type="dxa"/>
            </w:tcMar>
            <w:vAlign w:val="bottom"/>
          </w:tcPr>
          <w:p w14:paraId="4A1F2848" w14:textId="77777777" w:rsidR="000A2A2B" w:rsidRPr="007C3060" w:rsidRDefault="000A2A2B" w:rsidP="007C3060">
            <w:r w:rsidRPr="007C3060">
              <w:rPr>
                <w:rStyle w:val="kursiv"/>
              </w:rPr>
              <w:t>Anslag strukturelle skatte- og avgiftsinntekter fra Fastlands-Norge mv.</w:t>
            </w:r>
            <w:r w:rsidRPr="007C3060">
              <w:rPr>
                <w:rStyle w:val="skrift-hevet"/>
              </w:rPr>
              <w:t xml:space="preserve"> 2</w:t>
            </w:r>
          </w:p>
        </w:tc>
        <w:tc>
          <w:tcPr>
            <w:tcW w:w="1409" w:type="dxa"/>
            <w:tcBorders>
              <w:top w:val="nil"/>
              <w:left w:val="nil"/>
              <w:bottom w:val="single" w:sz="4" w:space="0" w:color="000000"/>
              <w:right w:val="nil"/>
            </w:tcBorders>
            <w:tcMar>
              <w:top w:w="128" w:type="dxa"/>
              <w:left w:w="43" w:type="dxa"/>
              <w:bottom w:w="43" w:type="dxa"/>
              <w:right w:w="43" w:type="dxa"/>
            </w:tcMar>
            <w:vAlign w:val="bottom"/>
          </w:tcPr>
          <w:p w14:paraId="28593F2E" w14:textId="77777777" w:rsidR="000A2A2B" w:rsidRPr="007C3060" w:rsidRDefault="000A2A2B" w:rsidP="007C3060"/>
        </w:tc>
        <w:tc>
          <w:tcPr>
            <w:tcW w:w="1701" w:type="dxa"/>
            <w:tcBorders>
              <w:top w:val="nil"/>
              <w:left w:val="nil"/>
              <w:bottom w:val="single" w:sz="4" w:space="0" w:color="000000"/>
              <w:right w:val="nil"/>
            </w:tcBorders>
            <w:tcMar>
              <w:top w:w="128" w:type="dxa"/>
              <w:left w:w="43" w:type="dxa"/>
              <w:bottom w:w="43" w:type="dxa"/>
              <w:right w:w="43" w:type="dxa"/>
            </w:tcMar>
            <w:vAlign w:val="bottom"/>
          </w:tcPr>
          <w:p w14:paraId="02D98635" w14:textId="77777777" w:rsidR="000A2A2B" w:rsidRPr="007C3060" w:rsidRDefault="000A2A2B" w:rsidP="007C3060">
            <w:r w:rsidRPr="007C3060">
              <w:rPr>
                <w:rStyle w:val="kursiv"/>
              </w:rPr>
              <w:t>5 675</w:t>
            </w:r>
          </w:p>
        </w:tc>
      </w:tr>
      <w:tr w:rsidR="004B729E" w:rsidRPr="007C3060" w14:paraId="0BD7A4D6" w14:textId="77777777" w:rsidTr="007423F8">
        <w:trPr>
          <w:trHeight w:val="380"/>
        </w:trPr>
        <w:tc>
          <w:tcPr>
            <w:tcW w:w="320" w:type="dxa"/>
            <w:tcBorders>
              <w:top w:val="single" w:sz="4" w:space="0" w:color="000000"/>
              <w:left w:val="nil"/>
              <w:bottom w:val="single" w:sz="4" w:space="0" w:color="000000"/>
              <w:right w:val="nil"/>
            </w:tcBorders>
            <w:tcMar>
              <w:top w:w="128" w:type="dxa"/>
              <w:left w:w="43" w:type="dxa"/>
              <w:bottom w:w="43" w:type="dxa"/>
              <w:right w:w="43" w:type="dxa"/>
            </w:tcMar>
          </w:tcPr>
          <w:p w14:paraId="4DC7837E" w14:textId="77777777" w:rsidR="000A2A2B" w:rsidRPr="007C3060" w:rsidRDefault="000A2A2B" w:rsidP="007C3060">
            <w:r w:rsidRPr="007C3060">
              <w:rPr>
                <w:rStyle w:val="kursiv"/>
              </w:rPr>
              <w:t>=</w:t>
            </w:r>
          </w:p>
        </w:tc>
        <w:tc>
          <w:tcPr>
            <w:tcW w:w="7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0C486B" w14:textId="77777777" w:rsidR="000A2A2B" w:rsidRPr="007C3060" w:rsidRDefault="000A2A2B" w:rsidP="007C3060">
            <w:r w:rsidRPr="007C3060">
              <w:rPr>
                <w:rStyle w:val="kursiv"/>
              </w:rPr>
              <w:t>Endring i det strukturelle oljekorrigerte budsjettunderskuddet</w:t>
            </w:r>
          </w:p>
        </w:tc>
        <w:tc>
          <w:tcPr>
            <w:tcW w:w="14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43344C" w14:textId="77777777" w:rsidR="000A2A2B" w:rsidRPr="007C3060" w:rsidRDefault="000A2A2B" w:rsidP="007C3060">
            <w:r w:rsidRPr="007C3060">
              <w:rPr>
                <w:rStyle w:val="kursiv"/>
              </w:rPr>
              <w:t xml:space="preserve"> </w:t>
            </w: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3A1229" w14:textId="77777777" w:rsidR="000A2A2B" w:rsidRPr="007C3060" w:rsidRDefault="000A2A2B" w:rsidP="007C3060">
            <w:r w:rsidRPr="007C3060">
              <w:rPr>
                <w:rStyle w:val="kursiv"/>
              </w:rPr>
              <w:t>50 162</w:t>
            </w:r>
          </w:p>
        </w:tc>
      </w:tr>
    </w:tbl>
    <w:p w14:paraId="7B6AD17B" w14:textId="77777777" w:rsidR="000A2A2B" w:rsidRPr="007C3060" w:rsidRDefault="000A2A2B" w:rsidP="007C3060">
      <w:pPr>
        <w:pStyle w:val="tabell-noter"/>
        <w:rPr>
          <w:rStyle w:val="skrift-hevet"/>
        </w:rPr>
      </w:pPr>
      <w:r w:rsidRPr="007C3060">
        <w:rPr>
          <w:rStyle w:val="skrift-hevet"/>
        </w:rPr>
        <w:t>1</w:t>
      </w:r>
      <w:r w:rsidRPr="007C3060">
        <w:tab/>
        <w:t>Petroleumsvirksomheten, lånetransaksjoner og endringer som inngår i korreksjonene ved beregningen av den strukturelle -oljekorrigerte budsjettbalansen, er holdt utenom.</w:t>
      </w:r>
    </w:p>
    <w:p w14:paraId="4BF3434F" w14:textId="77777777" w:rsidR="000A2A2B" w:rsidRPr="007C3060" w:rsidRDefault="000A2A2B" w:rsidP="007C3060">
      <w:pPr>
        <w:pStyle w:val="tabell-noter"/>
        <w:rPr>
          <w:rStyle w:val="skrift-hevet"/>
        </w:rPr>
      </w:pPr>
      <w:r w:rsidRPr="007C3060">
        <w:rPr>
          <w:rStyle w:val="skrift-hevet"/>
        </w:rPr>
        <w:t>2</w:t>
      </w:r>
      <w:r w:rsidRPr="007C3060">
        <w:tab/>
        <w:t xml:space="preserve">Medregnet forslag til skatte- og avgiftsendringer i forbindelse med RNB 2025, jf. omtale i kapittel 2 og </w:t>
      </w:r>
      <w:proofErr w:type="spellStart"/>
      <w:r w:rsidRPr="007C3060">
        <w:t>Prop</w:t>
      </w:r>
      <w:proofErr w:type="spellEnd"/>
      <w:r w:rsidRPr="007C3060">
        <w:t>. 145 LS.</w:t>
      </w:r>
    </w:p>
    <w:p w14:paraId="4E6A0FA1" w14:textId="77777777" w:rsidR="000A2A2B" w:rsidRPr="007C3060" w:rsidRDefault="000A2A2B" w:rsidP="007C3060">
      <w:pPr>
        <w:pStyle w:val="Kilde"/>
      </w:pPr>
      <w:r w:rsidRPr="007C3060">
        <w:t>Kilde: Finansdepartementet</w:t>
      </w:r>
    </w:p>
    <w:p w14:paraId="55E67CD6" w14:textId="77777777" w:rsidR="000A2A2B" w:rsidRPr="007C3060" w:rsidRDefault="000A2A2B" w:rsidP="007C3060">
      <w:r w:rsidRPr="007C3060">
        <w:t>Regjeringen foreslår å øke rammetilskuddet til kommunesektoren med 4,1 mrd. kroner for å dekke anslåtte merutgifter til pensjon som følge av Stortingets vedtak om ny offentlig AFP. Økningen fordeles med 3,7 mrd. kroner på kommunene og 0,4 mrd. kroner på fylkeskommunene.</w:t>
      </w:r>
    </w:p>
    <w:p w14:paraId="0650066C" w14:textId="77777777" w:rsidR="000A2A2B" w:rsidRPr="007C3060" w:rsidRDefault="000A2A2B" w:rsidP="007C3060">
      <w:r w:rsidRPr="007C3060">
        <w:t>Folketrygdens utgifter ekskludert dagpenger med videre, anslås å øke med til sammen 2,9 mrd. kroner fra saldert budsjett. Det er særlig utgiftene til sykepenger, pleiepenger, foreldrepenger ved fødsel, arbeidsavklaringspenger (AAP) og uføretrygd som øker. En betydelig del av denne veksten skyldes flere mottakere av ytelsene, samt et høyere nivå på sykefraværet enn ventet.</w:t>
      </w:r>
    </w:p>
    <w:p w14:paraId="47130732" w14:textId="77777777" w:rsidR="000A2A2B" w:rsidRPr="007C3060" w:rsidRDefault="000A2A2B" w:rsidP="007C3060">
      <w:r w:rsidRPr="007C3060">
        <w:lastRenderedPageBreak/>
        <w:t>Analyse av laboratorieprøver utføres både av private virksomheter og ved offentlige institusjoner. Staten finansierer slike undersøkelser gjennom refusjoner. Utgiftene til analyser gjennomført ved offentlige institusjoner forventes om lag 867 mrd. kroner høyere enn lagt til grunn i -saldert budsjett. Bakgrunnen er en forventning om økning i antall laboratorieundersøkelser utover høsten og vinteren. Det forventes også en økning i utgiftene til analyser gjennomført av -private.</w:t>
      </w:r>
    </w:p>
    <w:p w14:paraId="4007D837" w14:textId="77777777" w:rsidR="000A2A2B" w:rsidRPr="007C3060" w:rsidRDefault="000A2A2B" w:rsidP="007C3060">
      <w:r w:rsidRPr="007C3060">
        <w:t>Regjeringen foreslår å innføre Norgespris for strøm. Dette innebærer at bolig- og fritidsbolig-eiere vil kunne tegne avtale med nettselskapet om å betale en fast pris på 40 øre/kWh eksklusiv merverdiavgift og andre avgifter for strøm. Regjeringen foreslår å bevilge 1 200 mill. kroner til ordningen i 2025. For husholdninger vil Norgespris være et alternativ til dagens strømstønadsordning. Netto kostnadsøkning for innføring av Norgespris i 2025 er derfor anslått til 800 mill. kroner, ettersom bevilgningen for strømstønadsordningen reduseres med 400 mill. kroner. Videre anslås bevilgningsbehovet til strømstønadsordningen redusert med ytterligere 1 000 mill. kroner, som følge av oppdaterte terminpriser for strøm.</w:t>
      </w:r>
    </w:p>
    <w:p w14:paraId="07FE81A9" w14:textId="77777777" w:rsidR="000A2A2B" w:rsidRPr="007C3060" w:rsidRDefault="000A2A2B" w:rsidP="007C3060">
      <w:r w:rsidRPr="007C3060">
        <w:t>Som følge av flere barn med behov for en institusjonsplassering, økte priser og økt bemanning foreslår regjeringen å øke bevilgningen til institusjonsbarnevernet med 585 mill. kroner.</w:t>
      </w:r>
    </w:p>
    <w:p w14:paraId="49C0F567" w14:textId="77777777" w:rsidR="000A2A2B" w:rsidRPr="007C3060" w:rsidRDefault="000A2A2B" w:rsidP="007C3060">
      <w:r w:rsidRPr="007C3060">
        <w:t>Sikker teknisk infrastruktur er et anlegg som skal støtte statens evne til å håndtere kriser og uønskede hendelser. Prosjektet er forsinket, noe som innebærer økte kostnader. Regjeringen foreslår å øke kostnadsrammen for prosjektet, jf. forslag til romertallsvedtak. Samtidig foreslås bevilgningen økt med 492,2 mill. kroner i 2025.</w:t>
      </w:r>
    </w:p>
    <w:p w14:paraId="0A93556D" w14:textId="77777777" w:rsidR="000A2A2B" w:rsidRPr="007C3060" w:rsidRDefault="000A2A2B" w:rsidP="007C3060">
      <w:r w:rsidRPr="007C3060">
        <w:t>Regjeringen foreslår å legge om finansieringsmodellen for Norske tog AS. Omleggingen vil på sikt medføre besparelser for staten, anslått -til -1–2 mrd. kroner i perioden 2025–2036. Det foreslås 2,2 mrd. kroner på 90-post til tilbakekjøp av eksisterende lån og 2 mrd. kroner på 90-post til refinansiering av lån som forfaller i andre halvår 2025. I tillegg påløper det i 2025 utgifter på til sammen 487 mill. kroner «over streken», som inngår i beregningen av det strukturelle oljekorrigerte underskuddet. Midlene skal dekke nye statlige lån til selskapet, opprettelsen av en driftskreditt som skal gi selskapet tilstrekkelig fleksibilitet til å håndtere endringer i finansieringsbehovet gjennom året, egenkapitaltilskudd og transaksjonskostnader knytte til tilbakekjøp av eksisterende gjeld. Både nye lån, driftskreditt og egenkapitaltilskudd budsjetteres i tillegg med en andel på 90-post som summerer seg til 1,4 mrd. kroner.</w:t>
      </w:r>
    </w:p>
    <w:p w14:paraId="5140E461" w14:textId="77777777" w:rsidR="000A2A2B" w:rsidRPr="007C3060" w:rsidRDefault="000A2A2B" w:rsidP="007C3060">
      <w:r w:rsidRPr="007C3060">
        <w:t>Regjeringen foreslår en ekstraordinær tilleggsbevilgning på 428 mill. kroner, slik at man kan etablere et midlertidig luftoperasjonssenter (CAOC) i tilknytning til Bodø lufthavn, uten at det går på bekostning av det planlagte aktivitetsnivået i Forsvaret i 2025 eller andre satsinger i langtidsplanen for forsvarssektoren.</w:t>
      </w:r>
    </w:p>
    <w:p w14:paraId="41863667" w14:textId="77777777" w:rsidR="000A2A2B" w:rsidRPr="007C3060" w:rsidRDefault="000A2A2B" w:rsidP="007C3060">
      <w:r w:rsidRPr="007C3060">
        <w:t>Som følge av forsinkelser i prosjektet med anskaffelse av nye redningshelikoptre, er en rekke utgifter skjøvet fra 2024 til 2025. Holdt sammen med økte valutakostnader og inntekter fra dagbøter til leverandør, er den totale utgifts-økningen på om lag 418 mill. kroner i 2025.</w:t>
      </w:r>
    </w:p>
    <w:p w14:paraId="54E1ED1A" w14:textId="77777777" w:rsidR="000A2A2B" w:rsidRPr="007C3060" w:rsidRDefault="000A2A2B" w:rsidP="007C3060">
      <w:r w:rsidRPr="007C3060">
        <w:t>Regjeringen foreslår å øke bevilgningen til EØS-finansieringsordningene med 372 mill. kroner som følge av overgang til en ny finansieringsperiode.</w:t>
      </w:r>
    </w:p>
    <w:p w14:paraId="7A51D68F" w14:textId="77777777" w:rsidR="000A2A2B" w:rsidRPr="007C3060" w:rsidRDefault="000A2A2B" w:rsidP="007C3060">
      <w:r w:rsidRPr="007C3060">
        <w:lastRenderedPageBreak/>
        <w:t>På grunn av forsinkelser i byggingen av Norsk havteknologisenter anslås det et lavere likviditetsbehov i 2025 enn det som ble bevilget i saldert budsjett. Regjeringen foreslår derfor å redusere bevilgningen til prosjektet med til sammen 600 mill. kroner.</w:t>
      </w:r>
    </w:p>
    <w:p w14:paraId="30A11D2B" w14:textId="77777777" w:rsidR="000A2A2B" w:rsidRPr="007C3060" w:rsidRDefault="000A2A2B" w:rsidP="007C3060">
      <w:r w:rsidRPr="007C3060">
        <w:t>Nedgangen i prognosene for asylankomster tilsier at bevilgningen på de anslagsstyrte postene på statsbudsjettet kan reduseres med om lag 2,5 mrd. kroner sammenlignet med saldert budsjett, hvorav ODA-godkjente flyktningutgifter utgjør 844 mill. kroner.</w:t>
      </w:r>
    </w:p>
    <w:p w14:paraId="2FE8BFC8" w14:textId="77777777" w:rsidR="000A2A2B" w:rsidRPr="007C3060" w:rsidRDefault="000A2A2B" w:rsidP="007C3060">
      <w:r w:rsidRPr="007C3060">
        <w:t>I saldert budsjett ble det lagt til grunn donasjoner til Ukraina fra forsvarssektoren til en verdi av 2 mrd. kroner innenfor rammen av Nansen-programmet i 2025. Donasjonene foreslås økt med 4,1 mrd. kroner til 6,1 mrd. kroner blant annet for at Norge skal kunne donere materiell i forbindelse med oppbyggingen av en ukrainsk brigade, sammen med de andre nordiske og baltiske landene. Donasjoner inngår i den samlede rammen for Nansen-støtten, men trekkes fra bevilgningsbehovet.</w:t>
      </w:r>
    </w:p>
    <w:p w14:paraId="0F12283C" w14:textId="77777777" w:rsidR="000A2A2B" w:rsidRPr="007C3060" w:rsidRDefault="000A2A2B" w:rsidP="007C3060">
      <w:r w:rsidRPr="007C3060">
        <w:t>Inntektene fra avviklede midlertidige ordninger under Eksportfinansiering Norge foreslås økt med 463,2 mill. kroner. Inntektene kommer fra Luftgarantiordningen, Lånegarantiordningen for SMB, Re-forsikring av kortsiktig kredittforsikring, Reisegarantiordningen og Lånegarantiordningen i forbindelse med høye strømpriser.</w:t>
      </w:r>
    </w:p>
    <w:p w14:paraId="469E51B3" w14:textId="77777777" w:rsidR="000A2A2B" w:rsidRPr="007C3060" w:rsidRDefault="000A2A2B" w:rsidP="007C3060">
      <w:r w:rsidRPr="007C3060">
        <w:t>Avvikling av dagens gjeldsbrevordning for utviklingsbankene og overgang til kontantbidrag til fondene for de fattigste landene gir en midlertidig økt inntekt på bistandsbudsjettet på anslagsvis 230 mill. kroner i 2025.</w:t>
      </w:r>
    </w:p>
    <w:p w14:paraId="42B119F1" w14:textId="77777777" w:rsidR="000A2A2B" w:rsidRPr="007C3060" w:rsidRDefault="000A2A2B" w:rsidP="007C3060">
      <w:r w:rsidRPr="007C3060">
        <w:t>Regjeringen foreslår å redusere inntektene fra salg av kvoter fra EUs kvotesystem med 777 mill. kroner. Anslagsendringen skyldes i hovedsak en reduksjon i volum av kvoter Norge kan auksjonere ut, samt fall i kvoteprisen.</w:t>
      </w:r>
    </w:p>
    <w:p w14:paraId="1F3D0B31" w14:textId="77777777" w:rsidR="000A2A2B" w:rsidRPr="007C3060" w:rsidRDefault="000A2A2B" w:rsidP="007C3060">
      <w:r w:rsidRPr="007C3060">
        <w:t xml:space="preserve">Utbyttene fra de børsnoterte selskapene øker i sum med 1 082 mill. kroner. Den største endringen er utbyttet fra Kongsberg Gruppen ASA som øker med 1 320 mill. kroner. For de unoterte selskapene under </w:t>
      </w:r>
      <w:proofErr w:type="spellStart"/>
      <w:r w:rsidRPr="007C3060">
        <w:t>NFDs</w:t>
      </w:r>
      <w:proofErr w:type="spellEnd"/>
      <w:r w:rsidRPr="007C3060">
        <w:t xml:space="preserve"> forvaltning foreslår regjeringen å redusere utbyttene med 1 001 mill. kroner. Dette kommer i hovedsak av redusert utbytte fra Statkraft på 858 mill. kroner i tråd med gjeldende utbyttepolitikk. Utbyttet fra Statnett SF foreslås redusert med 1 051 mill. kroner, til 609 mill. kroner, i hovedsak som følge av økte -systemdriftskostnader.</w:t>
      </w:r>
    </w:p>
    <w:p w14:paraId="03E32C13" w14:textId="77777777" w:rsidR="000A2A2B" w:rsidRPr="007C3060" w:rsidRDefault="000A2A2B" w:rsidP="007C3060">
      <w:pPr>
        <w:pStyle w:val="Overskrift2"/>
      </w:pPr>
      <w:r w:rsidRPr="007C3060">
        <w:t>Statsbudsjettets stilling</w:t>
      </w:r>
    </w:p>
    <w:p w14:paraId="3D1E7D24" w14:textId="77777777" w:rsidR="000A2A2B" w:rsidRPr="007C3060" w:rsidRDefault="000A2A2B" w:rsidP="007C3060">
      <w:r w:rsidRPr="007C3060">
        <w:t>Det oljekorrigerte budsjettunderskuddet var 445,8 mrd. kroner i Saldert budsjett 2025. Nå anslås underskuddet til 493,8 mrd. kroner. Da inngår de samlede endringene i budsjettet så langt i år, nye anslag for skatter og avgifter og renter på statens gjeld og kontantbeholdning mv., og forslag om endrede bevilgninger i denne proposisjonen.</w:t>
      </w:r>
    </w:p>
    <w:p w14:paraId="55B3964F" w14:textId="77777777" w:rsidR="000A2A2B" w:rsidRDefault="000A2A2B" w:rsidP="007C3060">
      <w:r w:rsidRPr="007C3060">
        <w:t xml:space="preserve">Statsbudsjettets stilling </w:t>
      </w:r>
      <w:proofErr w:type="gramStart"/>
      <w:r w:rsidRPr="007C3060">
        <w:t>fremgår</w:t>
      </w:r>
      <w:proofErr w:type="gramEnd"/>
      <w:r w:rsidRPr="007C3060">
        <w:t xml:space="preserve"> av tabell 1.2 og 1.3.</w:t>
      </w:r>
    </w:p>
    <w:p w14:paraId="5E8B793D" w14:textId="0EDC7090" w:rsidR="00AC1986" w:rsidRPr="007C3060" w:rsidRDefault="00AC1986" w:rsidP="00530C99">
      <w:pPr>
        <w:pStyle w:val="tabell-tittel"/>
      </w:pPr>
      <w:r w:rsidRPr="007C3060">
        <w:t>Statsbudsjettets og Statens pensjonsfonds inntekter og utgifter utenom lånetransaksjoner</w:t>
      </w:r>
    </w:p>
    <w:p w14:paraId="659A326F" w14:textId="77777777" w:rsidR="000A2A2B" w:rsidRPr="007C3060" w:rsidRDefault="000A2A2B" w:rsidP="007C3060">
      <w:pPr>
        <w:pStyle w:val="Tabellnavn"/>
      </w:pPr>
      <w:r w:rsidRPr="007C3060">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00"/>
        <w:gridCol w:w="5200"/>
        <w:gridCol w:w="1320"/>
        <w:gridCol w:w="1260"/>
        <w:gridCol w:w="1160"/>
      </w:tblGrid>
      <w:tr w:rsidR="004B729E" w:rsidRPr="007C3060" w14:paraId="039ABBE8" w14:textId="77777777">
        <w:trPr>
          <w:trHeight w:val="360"/>
        </w:trPr>
        <w:tc>
          <w:tcPr>
            <w:tcW w:w="600" w:type="dxa"/>
            <w:tcBorders>
              <w:top w:val="nil"/>
              <w:left w:val="nil"/>
              <w:bottom w:val="single" w:sz="4" w:space="0" w:color="000000"/>
              <w:right w:val="nil"/>
            </w:tcBorders>
            <w:tcMar>
              <w:top w:w="128" w:type="dxa"/>
              <w:left w:w="43" w:type="dxa"/>
              <w:bottom w:w="43" w:type="dxa"/>
              <w:right w:w="43" w:type="dxa"/>
            </w:tcMar>
            <w:vAlign w:val="bottom"/>
          </w:tcPr>
          <w:p w14:paraId="45CA3ED7" w14:textId="77777777" w:rsidR="000A2A2B" w:rsidRPr="007C3060" w:rsidRDefault="000A2A2B" w:rsidP="007C3060"/>
        </w:tc>
        <w:tc>
          <w:tcPr>
            <w:tcW w:w="5200" w:type="dxa"/>
            <w:tcBorders>
              <w:top w:val="nil"/>
              <w:left w:val="nil"/>
              <w:bottom w:val="single" w:sz="4" w:space="0" w:color="000000"/>
              <w:right w:val="nil"/>
            </w:tcBorders>
            <w:tcMar>
              <w:top w:w="128" w:type="dxa"/>
              <w:left w:w="43" w:type="dxa"/>
              <w:bottom w:w="43" w:type="dxa"/>
              <w:right w:w="43" w:type="dxa"/>
            </w:tcMar>
            <w:vAlign w:val="bottom"/>
          </w:tcPr>
          <w:p w14:paraId="7AD9928C" w14:textId="77777777" w:rsidR="000A2A2B" w:rsidRPr="007C3060" w:rsidRDefault="000A2A2B" w:rsidP="007C3060"/>
        </w:tc>
        <w:tc>
          <w:tcPr>
            <w:tcW w:w="3740" w:type="dxa"/>
            <w:gridSpan w:val="3"/>
            <w:tcBorders>
              <w:top w:val="nil"/>
              <w:left w:val="nil"/>
              <w:bottom w:val="single" w:sz="4" w:space="0" w:color="000000"/>
              <w:right w:val="nil"/>
            </w:tcBorders>
            <w:tcMar>
              <w:top w:w="128" w:type="dxa"/>
              <w:left w:w="43" w:type="dxa"/>
              <w:bottom w:w="43" w:type="dxa"/>
              <w:right w:w="43" w:type="dxa"/>
            </w:tcMar>
            <w:vAlign w:val="bottom"/>
          </w:tcPr>
          <w:p w14:paraId="07D7F9E7" w14:textId="77777777" w:rsidR="000A2A2B" w:rsidRPr="007C3060" w:rsidRDefault="000A2A2B" w:rsidP="007C3060">
            <w:r w:rsidRPr="007C3060">
              <w:t>Mill. kroner</w:t>
            </w:r>
          </w:p>
        </w:tc>
      </w:tr>
      <w:tr w:rsidR="004B729E" w:rsidRPr="007C3060" w14:paraId="0642627D" w14:textId="77777777">
        <w:trPr>
          <w:trHeight w:val="600"/>
        </w:trPr>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277478" w14:textId="77777777" w:rsidR="000A2A2B" w:rsidRPr="007C3060" w:rsidRDefault="000A2A2B" w:rsidP="007C3060"/>
        </w:tc>
        <w:tc>
          <w:tcPr>
            <w:tcW w:w="5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ABFA7C" w14:textId="77777777" w:rsidR="000A2A2B" w:rsidRPr="007C3060" w:rsidRDefault="000A2A2B" w:rsidP="007C3060"/>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B5272F" w14:textId="4BBFF046" w:rsidR="000A2A2B" w:rsidRPr="007C3060" w:rsidRDefault="000A2A2B" w:rsidP="007C3060">
            <w:r w:rsidRPr="007C3060">
              <w:t>Regnskap 2024</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AD227F" w14:textId="1D717823" w:rsidR="000A2A2B" w:rsidRPr="007C3060" w:rsidRDefault="000A2A2B" w:rsidP="007C3060">
            <w:r w:rsidRPr="007C3060">
              <w:t>Saldert budsjett 2025</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11359B" w14:textId="251A8DDD" w:rsidR="000A2A2B" w:rsidRPr="007C3060" w:rsidRDefault="000A2A2B" w:rsidP="007C3060">
            <w:r w:rsidRPr="007C3060">
              <w:t>RNB 2025</w:t>
            </w:r>
          </w:p>
        </w:tc>
      </w:tr>
      <w:tr w:rsidR="004B729E" w:rsidRPr="007C3060" w14:paraId="46A7D473" w14:textId="77777777">
        <w:trPr>
          <w:trHeight w:val="380"/>
        </w:trPr>
        <w:tc>
          <w:tcPr>
            <w:tcW w:w="600" w:type="dxa"/>
            <w:tcBorders>
              <w:top w:val="single" w:sz="4" w:space="0" w:color="000000"/>
              <w:left w:val="nil"/>
              <w:bottom w:val="nil"/>
              <w:right w:val="nil"/>
            </w:tcBorders>
            <w:tcMar>
              <w:top w:w="128" w:type="dxa"/>
              <w:left w:w="43" w:type="dxa"/>
              <w:bottom w:w="43" w:type="dxa"/>
              <w:right w:w="43" w:type="dxa"/>
            </w:tcMar>
          </w:tcPr>
          <w:p w14:paraId="3BC90D75" w14:textId="77777777" w:rsidR="000A2A2B" w:rsidRPr="007C3060" w:rsidRDefault="000A2A2B" w:rsidP="007C3060">
            <w:r w:rsidRPr="007C3060">
              <w:t>A</w:t>
            </w:r>
          </w:p>
        </w:tc>
        <w:tc>
          <w:tcPr>
            <w:tcW w:w="5200" w:type="dxa"/>
            <w:tcBorders>
              <w:top w:val="single" w:sz="4" w:space="0" w:color="000000"/>
              <w:left w:val="nil"/>
              <w:bottom w:val="nil"/>
              <w:right w:val="nil"/>
            </w:tcBorders>
            <w:tcMar>
              <w:top w:w="128" w:type="dxa"/>
              <w:left w:w="43" w:type="dxa"/>
              <w:bottom w:w="43" w:type="dxa"/>
              <w:right w:w="43" w:type="dxa"/>
            </w:tcMar>
            <w:vAlign w:val="bottom"/>
          </w:tcPr>
          <w:p w14:paraId="2B161640" w14:textId="77777777" w:rsidR="000A2A2B" w:rsidRPr="007C3060" w:rsidRDefault="000A2A2B" w:rsidP="007C3060">
            <w:r w:rsidRPr="007C3060">
              <w:t>Statsbudsjettets inntekter i alt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09605970" w14:textId="77777777" w:rsidR="000A2A2B" w:rsidRPr="007C3060" w:rsidRDefault="000A2A2B" w:rsidP="007C3060">
            <w:r w:rsidRPr="007C3060">
              <w:t xml:space="preserve">2 323 787 </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5053DC67" w14:textId="77777777" w:rsidR="000A2A2B" w:rsidRPr="007C3060" w:rsidRDefault="000A2A2B" w:rsidP="007C3060">
            <w:r w:rsidRPr="007C3060">
              <w:t xml:space="preserve">2 249 918 </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3C3B3688" w14:textId="77777777" w:rsidR="000A2A2B" w:rsidRPr="007C3060" w:rsidRDefault="000A2A2B" w:rsidP="007C3060">
            <w:r w:rsidRPr="007C3060">
              <w:t xml:space="preserve">2 310 253 </w:t>
            </w:r>
          </w:p>
        </w:tc>
      </w:tr>
      <w:tr w:rsidR="004B729E" w:rsidRPr="007C3060" w14:paraId="3F456583" w14:textId="77777777">
        <w:trPr>
          <w:trHeight w:val="380"/>
        </w:trPr>
        <w:tc>
          <w:tcPr>
            <w:tcW w:w="600" w:type="dxa"/>
            <w:tcBorders>
              <w:top w:val="nil"/>
              <w:left w:val="nil"/>
              <w:bottom w:val="nil"/>
              <w:right w:val="nil"/>
            </w:tcBorders>
            <w:tcMar>
              <w:top w:w="128" w:type="dxa"/>
              <w:left w:w="43" w:type="dxa"/>
              <w:bottom w:w="43" w:type="dxa"/>
              <w:right w:w="43" w:type="dxa"/>
            </w:tcMar>
          </w:tcPr>
          <w:p w14:paraId="2F8E1FD6" w14:textId="77777777" w:rsidR="000A2A2B" w:rsidRPr="007C3060" w:rsidRDefault="000A2A2B" w:rsidP="007C3060">
            <w:r w:rsidRPr="007C3060">
              <w:t>A.1</w:t>
            </w:r>
          </w:p>
        </w:tc>
        <w:tc>
          <w:tcPr>
            <w:tcW w:w="5200" w:type="dxa"/>
            <w:tcBorders>
              <w:top w:val="nil"/>
              <w:left w:val="nil"/>
              <w:bottom w:val="nil"/>
              <w:right w:val="nil"/>
            </w:tcBorders>
            <w:tcMar>
              <w:top w:w="128" w:type="dxa"/>
              <w:left w:w="43" w:type="dxa"/>
              <w:bottom w:w="43" w:type="dxa"/>
              <w:right w:w="43" w:type="dxa"/>
            </w:tcMar>
            <w:vAlign w:val="bottom"/>
          </w:tcPr>
          <w:p w14:paraId="7A682955" w14:textId="77777777" w:rsidR="000A2A2B" w:rsidRPr="007C3060" w:rsidRDefault="000A2A2B" w:rsidP="007C3060">
            <w:r w:rsidRPr="007C3060">
              <w:t>Inntekter fra petroleumsvirksomhet</w:t>
            </w:r>
          </w:p>
        </w:tc>
        <w:tc>
          <w:tcPr>
            <w:tcW w:w="1320" w:type="dxa"/>
            <w:tcBorders>
              <w:top w:val="nil"/>
              <w:left w:val="nil"/>
              <w:bottom w:val="nil"/>
              <w:right w:val="nil"/>
            </w:tcBorders>
            <w:tcMar>
              <w:top w:w="128" w:type="dxa"/>
              <w:left w:w="43" w:type="dxa"/>
              <w:bottom w:w="43" w:type="dxa"/>
              <w:right w:w="43" w:type="dxa"/>
            </w:tcMar>
            <w:vAlign w:val="bottom"/>
          </w:tcPr>
          <w:p w14:paraId="0906A4DB" w14:textId="77777777" w:rsidR="000A2A2B" w:rsidRPr="007C3060" w:rsidRDefault="000A2A2B" w:rsidP="007C3060">
            <w:r w:rsidRPr="007C3060">
              <w:t xml:space="preserve">750 685 </w:t>
            </w:r>
          </w:p>
        </w:tc>
        <w:tc>
          <w:tcPr>
            <w:tcW w:w="1260" w:type="dxa"/>
            <w:tcBorders>
              <w:top w:val="nil"/>
              <w:left w:val="nil"/>
              <w:bottom w:val="nil"/>
              <w:right w:val="nil"/>
            </w:tcBorders>
            <w:tcMar>
              <w:top w:w="128" w:type="dxa"/>
              <w:left w:w="43" w:type="dxa"/>
              <w:bottom w:w="43" w:type="dxa"/>
              <w:right w:w="43" w:type="dxa"/>
            </w:tcMar>
            <w:vAlign w:val="bottom"/>
          </w:tcPr>
          <w:p w14:paraId="5EEF2C84" w14:textId="77777777" w:rsidR="000A2A2B" w:rsidRPr="007C3060" w:rsidRDefault="000A2A2B" w:rsidP="007C3060">
            <w:r w:rsidRPr="007C3060">
              <w:t xml:space="preserve">672 559 </w:t>
            </w:r>
          </w:p>
        </w:tc>
        <w:tc>
          <w:tcPr>
            <w:tcW w:w="1160" w:type="dxa"/>
            <w:tcBorders>
              <w:top w:val="nil"/>
              <w:left w:val="nil"/>
              <w:bottom w:val="nil"/>
              <w:right w:val="nil"/>
            </w:tcBorders>
            <w:tcMar>
              <w:top w:w="128" w:type="dxa"/>
              <w:left w:w="43" w:type="dxa"/>
              <w:bottom w:w="43" w:type="dxa"/>
              <w:right w:w="43" w:type="dxa"/>
            </w:tcMar>
            <w:vAlign w:val="bottom"/>
          </w:tcPr>
          <w:p w14:paraId="188B9E52" w14:textId="77777777" w:rsidR="000A2A2B" w:rsidRPr="007C3060" w:rsidRDefault="000A2A2B" w:rsidP="007C3060">
            <w:r w:rsidRPr="007C3060">
              <w:t xml:space="preserve">731 069 </w:t>
            </w:r>
          </w:p>
        </w:tc>
      </w:tr>
      <w:tr w:rsidR="004B729E" w:rsidRPr="007C3060" w14:paraId="69037E85" w14:textId="77777777">
        <w:trPr>
          <w:trHeight w:val="380"/>
        </w:trPr>
        <w:tc>
          <w:tcPr>
            <w:tcW w:w="600" w:type="dxa"/>
            <w:tcBorders>
              <w:top w:val="nil"/>
              <w:left w:val="nil"/>
              <w:bottom w:val="single" w:sz="4" w:space="0" w:color="000000"/>
              <w:right w:val="nil"/>
            </w:tcBorders>
            <w:tcMar>
              <w:top w:w="128" w:type="dxa"/>
              <w:left w:w="43" w:type="dxa"/>
              <w:bottom w:w="43" w:type="dxa"/>
              <w:right w:w="43" w:type="dxa"/>
            </w:tcMar>
          </w:tcPr>
          <w:p w14:paraId="6454357E" w14:textId="77777777" w:rsidR="000A2A2B" w:rsidRPr="007C3060" w:rsidRDefault="000A2A2B" w:rsidP="007C3060">
            <w:r w:rsidRPr="007C3060">
              <w:t>A.2</w:t>
            </w:r>
          </w:p>
        </w:tc>
        <w:tc>
          <w:tcPr>
            <w:tcW w:w="5200" w:type="dxa"/>
            <w:tcBorders>
              <w:top w:val="nil"/>
              <w:left w:val="nil"/>
              <w:bottom w:val="single" w:sz="4" w:space="0" w:color="000000"/>
              <w:right w:val="nil"/>
            </w:tcBorders>
            <w:tcMar>
              <w:top w:w="128" w:type="dxa"/>
              <w:left w:w="43" w:type="dxa"/>
              <w:bottom w:w="43" w:type="dxa"/>
              <w:right w:w="43" w:type="dxa"/>
            </w:tcMar>
            <w:vAlign w:val="bottom"/>
          </w:tcPr>
          <w:p w14:paraId="0D9519FD" w14:textId="77777777" w:rsidR="000A2A2B" w:rsidRPr="007C3060" w:rsidRDefault="000A2A2B" w:rsidP="007C3060">
            <w:r w:rsidRPr="007C3060">
              <w:t>Inntekter utenom petroleumsvirksomhet</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2C12B203" w14:textId="77777777" w:rsidR="000A2A2B" w:rsidRPr="007C3060" w:rsidRDefault="000A2A2B" w:rsidP="007C3060">
            <w:r w:rsidRPr="007C3060">
              <w:t xml:space="preserve">1 573 102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443F248" w14:textId="77777777" w:rsidR="000A2A2B" w:rsidRPr="007C3060" w:rsidRDefault="000A2A2B" w:rsidP="007C3060">
            <w:r w:rsidRPr="007C3060">
              <w:t xml:space="preserve">1 577 359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1DB2A227" w14:textId="77777777" w:rsidR="000A2A2B" w:rsidRPr="007C3060" w:rsidRDefault="000A2A2B" w:rsidP="007C3060">
            <w:r w:rsidRPr="007C3060">
              <w:t xml:space="preserve">1 579 184 </w:t>
            </w:r>
          </w:p>
        </w:tc>
      </w:tr>
      <w:tr w:rsidR="004B729E" w:rsidRPr="007C3060" w14:paraId="196038A4" w14:textId="77777777">
        <w:trPr>
          <w:trHeight w:val="380"/>
        </w:trPr>
        <w:tc>
          <w:tcPr>
            <w:tcW w:w="600" w:type="dxa"/>
            <w:tcBorders>
              <w:top w:val="nil"/>
              <w:left w:val="nil"/>
              <w:bottom w:val="nil"/>
              <w:right w:val="nil"/>
            </w:tcBorders>
            <w:tcMar>
              <w:top w:w="128" w:type="dxa"/>
              <w:left w:w="43" w:type="dxa"/>
              <w:bottom w:w="43" w:type="dxa"/>
              <w:right w:w="43" w:type="dxa"/>
            </w:tcMar>
          </w:tcPr>
          <w:p w14:paraId="461991AD" w14:textId="77777777" w:rsidR="000A2A2B" w:rsidRPr="007C3060" w:rsidRDefault="000A2A2B" w:rsidP="007C3060">
            <w:r w:rsidRPr="007C3060">
              <w:t>B</w:t>
            </w:r>
          </w:p>
        </w:tc>
        <w:tc>
          <w:tcPr>
            <w:tcW w:w="5200" w:type="dxa"/>
            <w:tcBorders>
              <w:top w:val="nil"/>
              <w:left w:val="nil"/>
              <w:bottom w:val="nil"/>
              <w:right w:val="nil"/>
            </w:tcBorders>
            <w:tcMar>
              <w:top w:w="128" w:type="dxa"/>
              <w:left w:w="43" w:type="dxa"/>
              <w:bottom w:w="43" w:type="dxa"/>
              <w:right w:w="43" w:type="dxa"/>
            </w:tcMar>
            <w:vAlign w:val="bottom"/>
          </w:tcPr>
          <w:p w14:paraId="5DF68020" w14:textId="77777777" w:rsidR="000A2A2B" w:rsidRPr="007C3060" w:rsidRDefault="000A2A2B" w:rsidP="007C3060">
            <w:r w:rsidRPr="007C3060">
              <w:t>Statsbudsjettets utgifter i alt</w:t>
            </w:r>
          </w:p>
        </w:tc>
        <w:tc>
          <w:tcPr>
            <w:tcW w:w="1320" w:type="dxa"/>
            <w:tcBorders>
              <w:top w:val="nil"/>
              <w:left w:val="nil"/>
              <w:bottom w:val="nil"/>
              <w:right w:val="nil"/>
            </w:tcBorders>
            <w:tcMar>
              <w:top w:w="128" w:type="dxa"/>
              <w:left w:w="43" w:type="dxa"/>
              <w:bottom w:w="43" w:type="dxa"/>
              <w:right w:w="43" w:type="dxa"/>
            </w:tcMar>
            <w:vAlign w:val="bottom"/>
          </w:tcPr>
          <w:p w14:paraId="549E2324" w14:textId="77777777" w:rsidR="000A2A2B" w:rsidRPr="007C3060" w:rsidRDefault="000A2A2B" w:rsidP="007C3060">
            <w:r w:rsidRPr="007C3060">
              <w:t xml:space="preserve">1 953 331 </w:t>
            </w:r>
          </w:p>
        </w:tc>
        <w:tc>
          <w:tcPr>
            <w:tcW w:w="1260" w:type="dxa"/>
            <w:tcBorders>
              <w:top w:val="nil"/>
              <w:left w:val="nil"/>
              <w:bottom w:val="nil"/>
              <w:right w:val="nil"/>
            </w:tcBorders>
            <w:tcMar>
              <w:top w:w="128" w:type="dxa"/>
              <w:left w:w="43" w:type="dxa"/>
              <w:bottom w:w="43" w:type="dxa"/>
              <w:right w:w="43" w:type="dxa"/>
            </w:tcMar>
            <w:vAlign w:val="bottom"/>
          </w:tcPr>
          <w:p w14:paraId="51B6FBE9" w14:textId="77777777" w:rsidR="000A2A2B" w:rsidRPr="007C3060" w:rsidRDefault="000A2A2B" w:rsidP="007C3060">
            <w:r w:rsidRPr="007C3060">
              <w:t xml:space="preserve">2 052 803 </w:t>
            </w:r>
          </w:p>
        </w:tc>
        <w:tc>
          <w:tcPr>
            <w:tcW w:w="1160" w:type="dxa"/>
            <w:tcBorders>
              <w:top w:val="nil"/>
              <w:left w:val="nil"/>
              <w:bottom w:val="nil"/>
              <w:right w:val="nil"/>
            </w:tcBorders>
            <w:tcMar>
              <w:top w:w="128" w:type="dxa"/>
              <w:left w:w="43" w:type="dxa"/>
              <w:bottom w:w="43" w:type="dxa"/>
              <w:right w:w="43" w:type="dxa"/>
            </w:tcMar>
            <w:vAlign w:val="bottom"/>
          </w:tcPr>
          <w:p w14:paraId="73EAFFB2" w14:textId="77777777" w:rsidR="000A2A2B" w:rsidRPr="007C3060" w:rsidRDefault="000A2A2B" w:rsidP="007C3060">
            <w:r w:rsidRPr="007C3060">
              <w:t xml:space="preserve">2 105 919 </w:t>
            </w:r>
          </w:p>
        </w:tc>
      </w:tr>
      <w:tr w:rsidR="004B729E" w:rsidRPr="007C3060" w14:paraId="0ABAC7F4" w14:textId="77777777">
        <w:trPr>
          <w:trHeight w:val="380"/>
        </w:trPr>
        <w:tc>
          <w:tcPr>
            <w:tcW w:w="600" w:type="dxa"/>
            <w:tcBorders>
              <w:top w:val="nil"/>
              <w:left w:val="nil"/>
              <w:bottom w:val="nil"/>
              <w:right w:val="nil"/>
            </w:tcBorders>
            <w:tcMar>
              <w:top w:w="128" w:type="dxa"/>
              <w:left w:w="43" w:type="dxa"/>
              <w:bottom w:w="43" w:type="dxa"/>
              <w:right w:w="43" w:type="dxa"/>
            </w:tcMar>
          </w:tcPr>
          <w:p w14:paraId="1B69B17D" w14:textId="77777777" w:rsidR="000A2A2B" w:rsidRPr="007C3060" w:rsidRDefault="000A2A2B" w:rsidP="007C3060">
            <w:r w:rsidRPr="007C3060">
              <w:t>B.1</w:t>
            </w:r>
          </w:p>
        </w:tc>
        <w:tc>
          <w:tcPr>
            <w:tcW w:w="5200" w:type="dxa"/>
            <w:tcBorders>
              <w:top w:val="nil"/>
              <w:left w:val="nil"/>
              <w:bottom w:val="nil"/>
              <w:right w:val="nil"/>
            </w:tcBorders>
            <w:tcMar>
              <w:top w:w="128" w:type="dxa"/>
              <w:left w:w="43" w:type="dxa"/>
              <w:bottom w:w="43" w:type="dxa"/>
              <w:right w:w="43" w:type="dxa"/>
            </w:tcMar>
            <w:vAlign w:val="bottom"/>
          </w:tcPr>
          <w:p w14:paraId="40CACDF2" w14:textId="77777777" w:rsidR="000A2A2B" w:rsidRPr="007C3060" w:rsidRDefault="000A2A2B" w:rsidP="007C3060">
            <w:r w:rsidRPr="007C3060">
              <w:t>Utgifter til petroleumsvirksomhet</w:t>
            </w:r>
          </w:p>
        </w:tc>
        <w:tc>
          <w:tcPr>
            <w:tcW w:w="1320" w:type="dxa"/>
            <w:tcBorders>
              <w:top w:val="nil"/>
              <w:left w:val="nil"/>
              <w:bottom w:val="nil"/>
              <w:right w:val="nil"/>
            </w:tcBorders>
            <w:tcMar>
              <w:top w:w="128" w:type="dxa"/>
              <w:left w:w="43" w:type="dxa"/>
              <w:bottom w:w="43" w:type="dxa"/>
              <w:right w:w="43" w:type="dxa"/>
            </w:tcMar>
            <w:vAlign w:val="bottom"/>
          </w:tcPr>
          <w:p w14:paraId="3F4B85F8" w14:textId="77777777" w:rsidR="000A2A2B" w:rsidRPr="007C3060" w:rsidRDefault="000A2A2B" w:rsidP="007C3060">
            <w:r w:rsidRPr="007C3060">
              <w:t xml:space="preserve">48 526 </w:t>
            </w:r>
          </w:p>
        </w:tc>
        <w:tc>
          <w:tcPr>
            <w:tcW w:w="1260" w:type="dxa"/>
            <w:tcBorders>
              <w:top w:val="nil"/>
              <w:left w:val="nil"/>
              <w:bottom w:val="nil"/>
              <w:right w:val="nil"/>
            </w:tcBorders>
            <w:tcMar>
              <w:top w:w="128" w:type="dxa"/>
              <w:left w:w="43" w:type="dxa"/>
              <w:bottom w:w="43" w:type="dxa"/>
              <w:right w:w="43" w:type="dxa"/>
            </w:tcMar>
            <w:vAlign w:val="bottom"/>
          </w:tcPr>
          <w:p w14:paraId="4F5F58C1" w14:textId="77777777" w:rsidR="000A2A2B" w:rsidRPr="007C3060" w:rsidRDefault="000A2A2B" w:rsidP="007C3060">
            <w:r w:rsidRPr="007C3060">
              <w:t xml:space="preserve">29 600 </w:t>
            </w:r>
          </w:p>
        </w:tc>
        <w:tc>
          <w:tcPr>
            <w:tcW w:w="1160" w:type="dxa"/>
            <w:tcBorders>
              <w:top w:val="nil"/>
              <w:left w:val="nil"/>
              <w:bottom w:val="nil"/>
              <w:right w:val="nil"/>
            </w:tcBorders>
            <w:tcMar>
              <w:top w:w="128" w:type="dxa"/>
              <w:left w:w="43" w:type="dxa"/>
              <w:bottom w:w="43" w:type="dxa"/>
              <w:right w:w="43" w:type="dxa"/>
            </w:tcMar>
            <w:vAlign w:val="bottom"/>
          </w:tcPr>
          <w:p w14:paraId="17DCBFE7" w14:textId="77777777" w:rsidR="000A2A2B" w:rsidRPr="007C3060" w:rsidRDefault="000A2A2B" w:rsidP="007C3060">
            <w:r w:rsidRPr="007C3060">
              <w:t xml:space="preserve">32 954 </w:t>
            </w:r>
          </w:p>
        </w:tc>
      </w:tr>
      <w:tr w:rsidR="004B729E" w:rsidRPr="007C3060" w14:paraId="1B419E80" w14:textId="77777777">
        <w:trPr>
          <w:trHeight w:val="380"/>
        </w:trPr>
        <w:tc>
          <w:tcPr>
            <w:tcW w:w="600" w:type="dxa"/>
            <w:tcBorders>
              <w:top w:val="nil"/>
              <w:left w:val="nil"/>
              <w:bottom w:val="single" w:sz="4" w:space="0" w:color="000000"/>
              <w:right w:val="nil"/>
            </w:tcBorders>
            <w:tcMar>
              <w:top w:w="128" w:type="dxa"/>
              <w:left w:w="43" w:type="dxa"/>
              <w:bottom w:w="43" w:type="dxa"/>
              <w:right w:w="43" w:type="dxa"/>
            </w:tcMar>
          </w:tcPr>
          <w:p w14:paraId="3A95969C" w14:textId="77777777" w:rsidR="000A2A2B" w:rsidRPr="007C3060" w:rsidRDefault="000A2A2B" w:rsidP="007C3060">
            <w:r w:rsidRPr="007C3060">
              <w:t>B.2</w:t>
            </w:r>
          </w:p>
        </w:tc>
        <w:tc>
          <w:tcPr>
            <w:tcW w:w="5200" w:type="dxa"/>
            <w:tcBorders>
              <w:top w:val="nil"/>
              <w:left w:val="nil"/>
              <w:bottom w:val="single" w:sz="4" w:space="0" w:color="000000"/>
              <w:right w:val="nil"/>
            </w:tcBorders>
            <w:tcMar>
              <w:top w:w="128" w:type="dxa"/>
              <w:left w:w="43" w:type="dxa"/>
              <w:bottom w:w="43" w:type="dxa"/>
              <w:right w:w="43" w:type="dxa"/>
            </w:tcMar>
            <w:vAlign w:val="bottom"/>
          </w:tcPr>
          <w:p w14:paraId="17BFB6A4" w14:textId="77777777" w:rsidR="000A2A2B" w:rsidRPr="007C3060" w:rsidRDefault="000A2A2B" w:rsidP="007C3060">
            <w:r w:rsidRPr="007C3060">
              <w:t>Utgifter utenom petroleumsvirksomhet</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0CE6E7F" w14:textId="77777777" w:rsidR="000A2A2B" w:rsidRPr="007C3060" w:rsidRDefault="000A2A2B" w:rsidP="007C3060">
            <w:r w:rsidRPr="007C3060">
              <w:t xml:space="preserve">1 904 804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A71CB76" w14:textId="77777777" w:rsidR="000A2A2B" w:rsidRPr="007C3060" w:rsidRDefault="000A2A2B" w:rsidP="007C3060">
            <w:r w:rsidRPr="007C3060">
              <w:t xml:space="preserve">2 023 203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A975916" w14:textId="77777777" w:rsidR="000A2A2B" w:rsidRPr="007C3060" w:rsidRDefault="000A2A2B" w:rsidP="007C3060">
            <w:r w:rsidRPr="007C3060">
              <w:t xml:space="preserve">2 072 965 </w:t>
            </w:r>
          </w:p>
        </w:tc>
      </w:tr>
      <w:tr w:rsidR="004B729E" w:rsidRPr="007C3060" w14:paraId="26F00D5E" w14:textId="77777777">
        <w:trPr>
          <w:trHeight w:val="640"/>
        </w:trPr>
        <w:tc>
          <w:tcPr>
            <w:tcW w:w="600" w:type="dxa"/>
            <w:tcBorders>
              <w:top w:val="nil"/>
              <w:left w:val="nil"/>
              <w:bottom w:val="nil"/>
              <w:right w:val="nil"/>
            </w:tcBorders>
            <w:tcMar>
              <w:top w:w="128" w:type="dxa"/>
              <w:left w:w="43" w:type="dxa"/>
              <w:bottom w:w="43" w:type="dxa"/>
              <w:right w:w="43" w:type="dxa"/>
            </w:tcMar>
          </w:tcPr>
          <w:p w14:paraId="3F6A5191" w14:textId="77777777" w:rsidR="000A2A2B" w:rsidRPr="007C3060" w:rsidRDefault="000A2A2B" w:rsidP="007C3060">
            <w:r w:rsidRPr="007C3060">
              <w:t>=</w:t>
            </w:r>
          </w:p>
        </w:tc>
        <w:tc>
          <w:tcPr>
            <w:tcW w:w="5200" w:type="dxa"/>
            <w:tcBorders>
              <w:top w:val="nil"/>
              <w:left w:val="nil"/>
              <w:bottom w:val="nil"/>
              <w:right w:val="nil"/>
            </w:tcBorders>
            <w:tcMar>
              <w:top w:w="128" w:type="dxa"/>
              <w:left w:w="43" w:type="dxa"/>
              <w:bottom w:w="43" w:type="dxa"/>
              <w:right w:w="43" w:type="dxa"/>
            </w:tcMar>
            <w:vAlign w:val="bottom"/>
          </w:tcPr>
          <w:p w14:paraId="6CC802F0" w14:textId="06C12524" w:rsidR="000A2A2B" w:rsidRPr="007C3060" w:rsidRDefault="000A2A2B" w:rsidP="007C3060">
            <w:r w:rsidRPr="007C3060">
              <w:t>Overskudd i statsbudsjettet før overføring til Statens pensjonsfond utland (A-B)</w:t>
            </w:r>
          </w:p>
        </w:tc>
        <w:tc>
          <w:tcPr>
            <w:tcW w:w="1320" w:type="dxa"/>
            <w:tcBorders>
              <w:top w:val="nil"/>
              <w:left w:val="nil"/>
              <w:bottom w:val="nil"/>
              <w:right w:val="nil"/>
            </w:tcBorders>
            <w:tcMar>
              <w:top w:w="128" w:type="dxa"/>
              <w:left w:w="43" w:type="dxa"/>
              <w:bottom w:w="43" w:type="dxa"/>
              <w:right w:w="43" w:type="dxa"/>
            </w:tcMar>
            <w:vAlign w:val="bottom"/>
          </w:tcPr>
          <w:p w14:paraId="5025942B" w14:textId="77777777" w:rsidR="000A2A2B" w:rsidRPr="007C3060" w:rsidRDefault="000A2A2B" w:rsidP="007C3060">
            <w:r w:rsidRPr="007C3060">
              <w:t xml:space="preserve">370 457 </w:t>
            </w:r>
          </w:p>
        </w:tc>
        <w:tc>
          <w:tcPr>
            <w:tcW w:w="1260" w:type="dxa"/>
            <w:tcBorders>
              <w:top w:val="nil"/>
              <w:left w:val="nil"/>
              <w:bottom w:val="nil"/>
              <w:right w:val="nil"/>
            </w:tcBorders>
            <w:tcMar>
              <w:top w:w="128" w:type="dxa"/>
              <w:left w:w="43" w:type="dxa"/>
              <w:bottom w:w="43" w:type="dxa"/>
              <w:right w:w="43" w:type="dxa"/>
            </w:tcMar>
            <w:vAlign w:val="bottom"/>
          </w:tcPr>
          <w:p w14:paraId="4CB20D83" w14:textId="77777777" w:rsidR="000A2A2B" w:rsidRPr="007C3060" w:rsidRDefault="000A2A2B" w:rsidP="007C3060">
            <w:r w:rsidRPr="007C3060">
              <w:t xml:space="preserve">197 115 </w:t>
            </w:r>
          </w:p>
        </w:tc>
        <w:tc>
          <w:tcPr>
            <w:tcW w:w="1160" w:type="dxa"/>
            <w:tcBorders>
              <w:top w:val="nil"/>
              <w:left w:val="nil"/>
              <w:bottom w:val="nil"/>
              <w:right w:val="nil"/>
            </w:tcBorders>
            <w:tcMar>
              <w:top w:w="128" w:type="dxa"/>
              <w:left w:w="43" w:type="dxa"/>
              <w:bottom w:w="43" w:type="dxa"/>
              <w:right w:w="43" w:type="dxa"/>
            </w:tcMar>
            <w:vAlign w:val="bottom"/>
          </w:tcPr>
          <w:p w14:paraId="65BD36E6" w14:textId="77777777" w:rsidR="000A2A2B" w:rsidRPr="007C3060" w:rsidRDefault="000A2A2B" w:rsidP="007C3060">
            <w:r w:rsidRPr="007C3060">
              <w:t xml:space="preserve">204 334 </w:t>
            </w:r>
          </w:p>
        </w:tc>
      </w:tr>
      <w:tr w:rsidR="004B729E" w:rsidRPr="007C3060" w14:paraId="17A8B6E5" w14:textId="77777777">
        <w:trPr>
          <w:trHeight w:val="880"/>
        </w:trPr>
        <w:tc>
          <w:tcPr>
            <w:tcW w:w="600" w:type="dxa"/>
            <w:tcBorders>
              <w:top w:val="nil"/>
              <w:left w:val="nil"/>
              <w:bottom w:val="single" w:sz="4" w:space="0" w:color="000000"/>
              <w:right w:val="nil"/>
            </w:tcBorders>
            <w:tcMar>
              <w:top w:w="128" w:type="dxa"/>
              <w:left w:w="43" w:type="dxa"/>
              <w:bottom w:w="43" w:type="dxa"/>
              <w:right w:w="43" w:type="dxa"/>
            </w:tcMar>
          </w:tcPr>
          <w:p w14:paraId="623D93A2" w14:textId="77777777" w:rsidR="000A2A2B" w:rsidRPr="007C3060" w:rsidRDefault="000A2A2B" w:rsidP="007C3060">
            <w:r w:rsidRPr="007C3060">
              <w:t>-</w:t>
            </w:r>
          </w:p>
        </w:tc>
        <w:tc>
          <w:tcPr>
            <w:tcW w:w="5200" w:type="dxa"/>
            <w:tcBorders>
              <w:top w:val="nil"/>
              <w:left w:val="nil"/>
              <w:bottom w:val="single" w:sz="4" w:space="0" w:color="000000"/>
              <w:right w:val="nil"/>
            </w:tcBorders>
            <w:tcMar>
              <w:top w:w="128" w:type="dxa"/>
              <w:left w:w="43" w:type="dxa"/>
              <w:bottom w:w="43" w:type="dxa"/>
              <w:right w:w="43" w:type="dxa"/>
            </w:tcMar>
            <w:vAlign w:val="bottom"/>
          </w:tcPr>
          <w:p w14:paraId="6F558870" w14:textId="459ADDAE" w:rsidR="000A2A2B" w:rsidRPr="007C3060" w:rsidRDefault="000A2A2B" w:rsidP="007C3060">
            <w:r w:rsidRPr="007C3060">
              <w:t>Statsbudsjettets netto kontantstrøm fra petroleums-virksomhet (A.1-B.1), overføres til Statens pensjonsfond utland</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F6021AE" w14:textId="77777777" w:rsidR="000A2A2B" w:rsidRPr="007C3060" w:rsidRDefault="000A2A2B" w:rsidP="007C3060">
            <w:r w:rsidRPr="007C3060">
              <w:t xml:space="preserve">702 159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5F8E6C0" w14:textId="77777777" w:rsidR="000A2A2B" w:rsidRPr="007C3060" w:rsidRDefault="000A2A2B" w:rsidP="007C3060">
            <w:r w:rsidRPr="007C3060">
              <w:t xml:space="preserve">642 959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18B94C16" w14:textId="77777777" w:rsidR="000A2A2B" w:rsidRPr="007C3060" w:rsidRDefault="000A2A2B" w:rsidP="007C3060">
            <w:r w:rsidRPr="007C3060">
              <w:t xml:space="preserve">698 116 </w:t>
            </w:r>
          </w:p>
        </w:tc>
      </w:tr>
      <w:tr w:rsidR="004B729E" w:rsidRPr="007C3060" w14:paraId="569E7AFF" w14:textId="77777777">
        <w:trPr>
          <w:trHeight w:val="380"/>
        </w:trPr>
        <w:tc>
          <w:tcPr>
            <w:tcW w:w="600" w:type="dxa"/>
            <w:tcBorders>
              <w:top w:val="single" w:sz="4" w:space="0" w:color="000000"/>
              <w:left w:val="nil"/>
              <w:bottom w:val="nil"/>
              <w:right w:val="nil"/>
            </w:tcBorders>
            <w:tcMar>
              <w:top w:w="128" w:type="dxa"/>
              <w:left w:w="43" w:type="dxa"/>
              <w:bottom w:w="43" w:type="dxa"/>
              <w:right w:w="43" w:type="dxa"/>
            </w:tcMar>
          </w:tcPr>
          <w:p w14:paraId="3E7D2CEF" w14:textId="77777777" w:rsidR="000A2A2B" w:rsidRPr="007C3060" w:rsidRDefault="000A2A2B" w:rsidP="007C3060">
            <w:r w:rsidRPr="007C3060">
              <w:t>=</w:t>
            </w:r>
          </w:p>
        </w:tc>
        <w:tc>
          <w:tcPr>
            <w:tcW w:w="5200" w:type="dxa"/>
            <w:tcBorders>
              <w:top w:val="single" w:sz="4" w:space="0" w:color="000000"/>
              <w:left w:val="nil"/>
              <w:bottom w:val="nil"/>
              <w:right w:val="nil"/>
            </w:tcBorders>
            <w:tcMar>
              <w:top w:w="128" w:type="dxa"/>
              <w:left w:w="43" w:type="dxa"/>
              <w:bottom w:w="43" w:type="dxa"/>
              <w:right w:w="43" w:type="dxa"/>
            </w:tcMar>
            <w:vAlign w:val="bottom"/>
          </w:tcPr>
          <w:p w14:paraId="63319A13" w14:textId="77777777" w:rsidR="000A2A2B" w:rsidRPr="007C3060" w:rsidRDefault="000A2A2B" w:rsidP="007C3060">
            <w:r w:rsidRPr="007C3060">
              <w:t>Statsbudsjettets oljekorrigerte overskudd (A.2-B.2)</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00F0AF29" w14:textId="77777777" w:rsidR="000A2A2B" w:rsidRPr="007C3060" w:rsidRDefault="000A2A2B" w:rsidP="007C3060">
            <w:r w:rsidRPr="007C3060">
              <w:t xml:space="preserve">-331 702 </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2C7C6CB8" w14:textId="77777777" w:rsidR="000A2A2B" w:rsidRPr="007C3060" w:rsidRDefault="000A2A2B" w:rsidP="007C3060">
            <w:r w:rsidRPr="007C3060">
              <w:t xml:space="preserve">-445 844 </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3C63AADB" w14:textId="77777777" w:rsidR="000A2A2B" w:rsidRPr="007C3060" w:rsidRDefault="000A2A2B" w:rsidP="007C3060">
            <w:r w:rsidRPr="007C3060">
              <w:t xml:space="preserve">-493 782 </w:t>
            </w:r>
          </w:p>
        </w:tc>
      </w:tr>
      <w:tr w:rsidR="004B729E" w:rsidRPr="007C3060" w14:paraId="5F95F4D8" w14:textId="77777777">
        <w:trPr>
          <w:trHeight w:val="380"/>
        </w:trPr>
        <w:tc>
          <w:tcPr>
            <w:tcW w:w="600" w:type="dxa"/>
            <w:tcBorders>
              <w:top w:val="nil"/>
              <w:left w:val="nil"/>
              <w:bottom w:val="single" w:sz="4" w:space="0" w:color="000000"/>
              <w:right w:val="nil"/>
            </w:tcBorders>
            <w:tcMar>
              <w:top w:w="128" w:type="dxa"/>
              <w:left w:w="43" w:type="dxa"/>
              <w:bottom w:w="43" w:type="dxa"/>
              <w:right w:w="43" w:type="dxa"/>
            </w:tcMar>
          </w:tcPr>
          <w:p w14:paraId="18E16C4B" w14:textId="77777777" w:rsidR="000A2A2B" w:rsidRPr="007C3060" w:rsidRDefault="000A2A2B" w:rsidP="007C3060">
            <w:r w:rsidRPr="007C3060">
              <w:t>+</w:t>
            </w:r>
          </w:p>
        </w:tc>
        <w:tc>
          <w:tcPr>
            <w:tcW w:w="5200" w:type="dxa"/>
            <w:tcBorders>
              <w:top w:val="nil"/>
              <w:left w:val="nil"/>
              <w:bottom w:val="single" w:sz="4" w:space="0" w:color="000000"/>
              <w:right w:val="nil"/>
            </w:tcBorders>
            <w:tcMar>
              <w:top w:w="128" w:type="dxa"/>
              <w:left w:w="43" w:type="dxa"/>
              <w:bottom w:w="43" w:type="dxa"/>
              <w:right w:w="43" w:type="dxa"/>
            </w:tcMar>
            <w:vAlign w:val="bottom"/>
          </w:tcPr>
          <w:p w14:paraId="1B04430E" w14:textId="77777777" w:rsidR="000A2A2B" w:rsidRPr="007C3060" w:rsidRDefault="000A2A2B" w:rsidP="007C3060">
            <w:r w:rsidRPr="007C3060">
              <w:t>Overført fra Statens pensjonsfond utland</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0D8D2058" w14:textId="77777777" w:rsidR="000A2A2B" w:rsidRPr="007C3060" w:rsidRDefault="000A2A2B" w:rsidP="007C3060">
            <w:r w:rsidRPr="007C3060">
              <w:t xml:space="preserve">346 451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A1E828B" w14:textId="77777777" w:rsidR="000A2A2B" w:rsidRPr="007C3060" w:rsidRDefault="000A2A2B" w:rsidP="007C3060">
            <w:r w:rsidRPr="007C3060">
              <w:t xml:space="preserve">445 844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F82FFA2" w14:textId="77777777" w:rsidR="000A2A2B" w:rsidRPr="007C3060" w:rsidRDefault="000A2A2B" w:rsidP="007C3060">
            <w:r w:rsidRPr="007C3060">
              <w:t xml:space="preserve">493 782 </w:t>
            </w:r>
          </w:p>
        </w:tc>
      </w:tr>
      <w:tr w:rsidR="004B729E" w:rsidRPr="007C3060" w14:paraId="034106A8" w14:textId="77777777">
        <w:trPr>
          <w:trHeight w:val="380"/>
        </w:trPr>
        <w:tc>
          <w:tcPr>
            <w:tcW w:w="600" w:type="dxa"/>
            <w:tcBorders>
              <w:top w:val="nil"/>
              <w:left w:val="nil"/>
              <w:bottom w:val="nil"/>
              <w:right w:val="nil"/>
            </w:tcBorders>
            <w:tcMar>
              <w:top w:w="128" w:type="dxa"/>
              <w:left w:w="43" w:type="dxa"/>
              <w:bottom w:w="43" w:type="dxa"/>
              <w:right w:w="43" w:type="dxa"/>
            </w:tcMar>
          </w:tcPr>
          <w:p w14:paraId="16DEDA36" w14:textId="77777777" w:rsidR="000A2A2B" w:rsidRPr="007C3060" w:rsidRDefault="000A2A2B" w:rsidP="007C3060">
            <w:r w:rsidRPr="007C3060">
              <w:t>=</w:t>
            </w:r>
          </w:p>
        </w:tc>
        <w:tc>
          <w:tcPr>
            <w:tcW w:w="5200" w:type="dxa"/>
            <w:tcBorders>
              <w:top w:val="nil"/>
              <w:left w:val="nil"/>
              <w:bottom w:val="nil"/>
              <w:right w:val="nil"/>
            </w:tcBorders>
            <w:tcMar>
              <w:top w:w="128" w:type="dxa"/>
              <w:left w:w="43" w:type="dxa"/>
              <w:bottom w:w="43" w:type="dxa"/>
              <w:right w:w="43" w:type="dxa"/>
            </w:tcMar>
            <w:vAlign w:val="bottom"/>
          </w:tcPr>
          <w:p w14:paraId="7E6617FD" w14:textId="77777777" w:rsidR="000A2A2B" w:rsidRPr="007C3060" w:rsidRDefault="000A2A2B" w:rsidP="007C3060">
            <w:r w:rsidRPr="007C3060">
              <w:t>Statsbudsjettets overskudd</w:t>
            </w:r>
          </w:p>
        </w:tc>
        <w:tc>
          <w:tcPr>
            <w:tcW w:w="1320" w:type="dxa"/>
            <w:tcBorders>
              <w:top w:val="nil"/>
              <w:left w:val="nil"/>
              <w:bottom w:val="nil"/>
              <w:right w:val="nil"/>
            </w:tcBorders>
            <w:tcMar>
              <w:top w:w="128" w:type="dxa"/>
              <w:left w:w="43" w:type="dxa"/>
              <w:bottom w:w="43" w:type="dxa"/>
              <w:right w:w="43" w:type="dxa"/>
            </w:tcMar>
            <w:vAlign w:val="bottom"/>
          </w:tcPr>
          <w:p w14:paraId="2DB344F7" w14:textId="77777777" w:rsidR="000A2A2B" w:rsidRPr="007C3060" w:rsidRDefault="000A2A2B" w:rsidP="007C3060">
            <w:r w:rsidRPr="007C3060">
              <w:t xml:space="preserve">14 748 </w:t>
            </w:r>
          </w:p>
        </w:tc>
        <w:tc>
          <w:tcPr>
            <w:tcW w:w="1260" w:type="dxa"/>
            <w:tcBorders>
              <w:top w:val="nil"/>
              <w:left w:val="nil"/>
              <w:bottom w:val="nil"/>
              <w:right w:val="nil"/>
            </w:tcBorders>
            <w:tcMar>
              <w:top w:w="128" w:type="dxa"/>
              <w:left w:w="43" w:type="dxa"/>
              <w:bottom w:w="43" w:type="dxa"/>
              <w:right w:w="43" w:type="dxa"/>
            </w:tcMar>
            <w:vAlign w:val="bottom"/>
          </w:tcPr>
          <w:p w14:paraId="51697B8A" w14:textId="77777777" w:rsidR="000A2A2B" w:rsidRPr="007C3060" w:rsidRDefault="000A2A2B" w:rsidP="007C3060">
            <w:r w:rsidRPr="007C3060">
              <w:t xml:space="preserve">0 </w:t>
            </w:r>
          </w:p>
        </w:tc>
        <w:tc>
          <w:tcPr>
            <w:tcW w:w="1160" w:type="dxa"/>
            <w:tcBorders>
              <w:top w:val="nil"/>
              <w:left w:val="nil"/>
              <w:bottom w:val="nil"/>
              <w:right w:val="nil"/>
            </w:tcBorders>
            <w:tcMar>
              <w:top w:w="128" w:type="dxa"/>
              <w:left w:w="43" w:type="dxa"/>
              <w:bottom w:w="43" w:type="dxa"/>
              <w:right w:w="43" w:type="dxa"/>
            </w:tcMar>
            <w:vAlign w:val="bottom"/>
          </w:tcPr>
          <w:p w14:paraId="56B545BB" w14:textId="77777777" w:rsidR="000A2A2B" w:rsidRPr="007C3060" w:rsidRDefault="000A2A2B" w:rsidP="007C3060">
            <w:r w:rsidRPr="007C3060">
              <w:t xml:space="preserve">0 </w:t>
            </w:r>
          </w:p>
        </w:tc>
      </w:tr>
      <w:tr w:rsidR="004B729E" w:rsidRPr="007C3060" w14:paraId="77D8C6EE" w14:textId="77777777">
        <w:trPr>
          <w:trHeight w:val="380"/>
        </w:trPr>
        <w:tc>
          <w:tcPr>
            <w:tcW w:w="600" w:type="dxa"/>
            <w:tcBorders>
              <w:top w:val="nil"/>
              <w:left w:val="nil"/>
              <w:bottom w:val="nil"/>
              <w:right w:val="nil"/>
            </w:tcBorders>
            <w:tcMar>
              <w:top w:w="128" w:type="dxa"/>
              <w:left w:w="43" w:type="dxa"/>
              <w:bottom w:w="43" w:type="dxa"/>
              <w:right w:w="43" w:type="dxa"/>
            </w:tcMar>
          </w:tcPr>
          <w:p w14:paraId="70A907D6" w14:textId="77777777" w:rsidR="000A2A2B" w:rsidRPr="007C3060" w:rsidRDefault="000A2A2B" w:rsidP="007C3060">
            <w:r w:rsidRPr="007C3060">
              <w:t>+</w:t>
            </w:r>
          </w:p>
        </w:tc>
        <w:tc>
          <w:tcPr>
            <w:tcW w:w="5200" w:type="dxa"/>
            <w:tcBorders>
              <w:top w:val="nil"/>
              <w:left w:val="nil"/>
              <w:bottom w:val="nil"/>
              <w:right w:val="nil"/>
            </w:tcBorders>
            <w:tcMar>
              <w:top w:w="128" w:type="dxa"/>
              <w:left w:w="43" w:type="dxa"/>
              <w:bottom w:w="43" w:type="dxa"/>
              <w:right w:w="43" w:type="dxa"/>
            </w:tcMar>
            <w:vAlign w:val="bottom"/>
          </w:tcPr>
          <w:p w14:paraId="1F9E8E6A" w14:textId="77777777" w:rsidR="000A2A2B" w:rsidRPr="007C3060" w:rsidRDefault="000A2A2B" w:rsidP="007C3060">
            <w:r w:rsidRPr="007C3060">
              <w:t>Netto avsatt i Statens pensjonsfond utland</w:t>
            </w:r>
          </w:p>
        </w:tc>
        <w:tc>
          <w:tcPr>
            <w:tcW w:w="1320" w:type="dxa"/>
            <w:tcBorders>
              <w:top w:val="nil"/>
              <w:left w:val="nil"/>
              <w:bottom w:val="nil"/>
              <w:right w:val="nil"/>
            </w:tcBorders>
            <w:tcMar>
              <w:top w:w="128" w:type="dxa"/>
              <w:left w:w="43" w:type="dxa"/>
              <w:bottom w:w="43" w:type="dxa"/>
              <w:right w:w="43" w:type="dxa"/>
            </w:tcMar>
            <w:vAlign w:val="bottom"/>
          </w:tcPr>
          <w:p w14:paraId="20CA31AE" w14:textId="77777777" w:rsidR="000A2A2B" w:rsidRPr="007C3060" w:rsidRDefault="000A2A2B" w:rsidP="007C3060">
            <w:r w:rsidRPr="007C3060">
              <w:t xml:space="preserve">355 708 </w:t>
            </w:r>
          </w:p>
        </w:tc>
        <w:tc>
          <w:tcPr>
            <w:tcW w:w="1260" w:type="dxa"/>
            <w:tcBorders>
              <w:top w:val="nil"/>
              <w:left w:val="nil"/>
              <w:bottom w:val="nil"/>
              <w:right w:val="nil"/>
            </w:tcBorders>
            <w:tcMar>
              <w:top w:w="128" w:type="dxa"/>
              <w:left w:w="43" w:type="dxa"/>
              <w:bottom w:w="43" w:type="dxa"/>
              <w:right w:w="43" w:type="dxa"/>
            </w:tcMar>
            <w:vAlign w:val="bottom"/>
          </w:tcPr>
          <w:p w14:paraId="07E0AA65" w14:textId="77777777" w:rsidR="000A2A2B" w:rsidRPr="007C3060" w:rsidRDefault="000A2A2B" w:rsidP="007C3060">
            <w:r w:rsidRPr="007C3060">
              <w:t xml:space="preserve">197 115 </w:t>
            </w:r>
          </w:p>
        </w:tc>
        <w:tc>
          <w:tcPr>
            <w:tcW w:w="1160" w:type="dxa"/>
            <w:tcBorders>
              <w:top w:val="nil"/>
              <w:left w:val="nil"/>
              <w:bottom w:val="nil"/>
              <w:right w:val="nil"/>
            </w:tcBorders>
            <w:tcMar>
              <w:top w:w="128" w:type="dxa"/>
              <w:left w:w="43" w:type="dxa"/>
              <w:bottom w:w="43" w:type="dxa"/>
              <w:right w:w="43" w:type="dxa"/>
            </w:tcMar>
            <w:vAlign w:val="bottom"/>
          </w:tcPr>
          <w:p w14:paraId="50F5916C" w14:textId="77777777" w:rsidR="000A2A2B" w:rsidRPr="007C3060" w:rsidRDefault="000A2A2B" w:rsidP="007C3060">
            <w:r w:rsidRPr="007C3060">
              <w:t xml:space="preserve">204 334 </w:t>
            </w:r>
          </w:p>
        </w:tc>
      </w:tr>
      <w:tr w:rsidR="004B729E" w:rsidRPr="007C3060" w14:paraId="63A8FA39" w14:textId="77777777">
        <w:trPr>
          <w:trHeight w:val="380"/>
        </w:trPr>
        <w:tc>
          <w:tcPr>
            <w:tcW w:w="600" w:type="dxa"/>
            <w:tcBorders>
              <w:top w:val="nil"/>
              <w:left w:val="nil"/>
              <w:bottom w:val="single" w:sz="4" w:space="0" w:color="000000"/>
              <w:right w:val="nil"/>
            </w:tcBorders>
            <w:tcMar>
              <w:top w:w="128" w:type="dxa"/>
              <w:left w:w="43" w:type="dxa"/>
              <w:bottom w:w="43" w:type="dxa"/>
              <w:right w:w="43" w:type="dxa"/>
            </w:tcMar>
          </w:tcPr>
          <w:p w14:paraId="52548B7A" w14:textId="77777777" w:rsidR="000A2A2B" w:rsidRPr="007C3060" w:rsidRDefault="000A2A2B" w:rsidP="007C3060">
            <w:r w:rsidRPr="007C3060">
              <w:t>+</w:t>
            </w:r>
          </w:p>
        </w:tc>
        <w:tc>
          <w:tcPr>
            <w:tcW w:w="5200" w:type="dxa"/>
            <w:tcBorders>
              <w:top w:val="nil"/>
              <w:left w:val="nil"/>
              <w:bottom w:val="single" w:sz="4" w:space="0" w:color="000000"/>
              <w:right w:val="nil"/>
            </w:tcBorders>
            <w:tcMar>
              <w:top w:w="128" w:type="dxa"/>
              <w:left w:w="43" w:type="dxa"/>
              <w:bottom w:w="43" w:type="dxa"/>
              <w:right w:w="43" w:type="dxa"/>
            </w:tcMar>
            <w:vAlign w:val="bottom"/>
          </w:tcPr>
          <w:p w14:paraId="10779A45" w14:textId="77777777" w:rsidR="000A2A2B" w:rsidRPr="007C3060" w:rsidRDefault="000A2A2B" w:rsidP="007C3060">
            <w:r w:rsidRPr="007C3060">
              <w:t>Rente- og utbytteinntekter mv. i Statens pensjonsfond</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765FF77" w14:textId="77777777" w:rsidR="000A2A2B" w:rsidRPr="007C3060" w:rsidRDefault="000A2A2B" w:rsidP="007C3060">
            <w:r w:rsidRPr="007C3060">
              <w:t xml:space="preserve">422 108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F064D1F" w14:textId="77777777" w:rsidR="000A2A2B" w:rsidRPr="007C3060" w:rsidRDefault="000A2A2B" w:rsidP="007C3060">
            <w:r w:rsidRPr="007C3060">
              <w:t xml:space="preserve">451 559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FC996BF" w14:textId="77777777" w:rsidR="000A2A2B" w:rsidRPr="007C3060" w:rsidRDefault="000A2A2B" w:rsidP="007C3060">
            <w:r w:rsidRPr="007C3060">
              <w:t xml:space="preserve">472 900 </w:t>
            </w:r>
          </w:p>
        </w:tc>
      </w:tr>
      <w:tr w:rsidR="004B729E" w:rsidRPr="007C3060" w14:paraId="1492533E" w14:textId="77777777">
        <w:trPr>
          <w:trHeight w:val="640"/>
        </w:trPr>
        <w:tc>
          <w:tcPr>
            <w:tcW w:w="600" w:type="dxa"/>
            <w:tcBorders>
              <w:top w:val="nil"/>
              <w:left w:val="nil"/>
              <w:bottom w:val="single" w:sz="4" w:space="0" w:color="000000"/>
              <w:right w:val="nil"/>
            </w:tcBorders>
            <w:tcMar>
              <w:top w:w="128" w:type="dxa"/>
              <w:left w:w="43" w:type="dxa"/>
              <w:bottom w:w="43" w:type="dxa"/>
              <w:right w:w="43" w:type="dxa"/>
            </w:tcMar>
          </w:tcPr>
          <w:p w14:paraId="64943891" w14:textId="77777777" w:rsidR="000A2A2B" w:rsidRPr="007C3060" w:rsidRDefault="000A2A2B" w:rsidP="007C3060">
            <w:r w:rsidRPr="007C3060">
              <w:t>=</w:t>
            </w:r>
          </w:p>
        </w:tc>
        <w:tc>
          <w:tcPr>
            <w:tcW w:w="5200" w:type="dxa"/>
            <w:tcBorders>
              <w:top w:val="nil"/>
              <w:left w:val="nil"/>
              <w:bottom w:val="single" w:sz="4" w:space="0" w:color="000000"/>
              <w:right w:val="nil"/>
            </w:tcBorders>
            <w:tcMar>
              <w:top w:w="128" w:type="dxa"/>
              <w:left w:w="43" w:type="dxa"/>
              <w:bottom w:w="43" w:type="dxa"/>
              <w:right w:w="43" w:type="dxa"/>
            </w:tcMar>
            <w:vAlign w:val="bottom"/>
          </w:tcPr>
          <w:p w14:paraId="254B070B" w14:textId="77777777" w:rsidR="000A2A2B" w:rsidRPr="007C3060" w:rsidRDefault="000A2A2B" w:rsidP="007C3060">
            <w:r w:rsidRPr="007C3060">
              <w:t>Samlet overskudd i statsbudsjettet og Statens pensjonsfond</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4A59E7D8" w14:textId="77777777" w:rsidR="000A2A2B" w:rsidRPr="007C3060" w:rsidRDefault="000A2A2B" w:rsidP="007C3060">
            <w:r w:rsidRPr="007C3060">
              <w:t xml:space="preserve">792 564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62021CE" w14:textId="77777777" w:rsidR="000A2A2B" w:rsidRPr="007C3060" w:rsidRDefault="000A2A2B" w:rsidP="007C3060">
            <w:r w:rsidRPr="007C3060">
              <w:t xml:space="preserve">648 674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49BDE1F5" w14:textId="77777777" w:rsidR="000A2A2B" w:rsidRPr="007C3060" w:rsidRDefault="000A2A2B" w:rsidP="007C3060">
            <w:r w:rsidRPr="007C3060">
              <w:t xml:space="preserve">677 234 </w:t>
            </w:r>
          </w:p>
        </w:tc>
      </w:tr>
    </w:tbl>
    <w:p w14:paraId="5021EB98" w14:textId="77777777" w:rsidR="000A2A2B" w:rsidRPr="007C3060" w:rsidRDefault="000A2A2B" w:rsidP="007C3060">
      <w:pPr>
        <w:pStyle w:val="Kilde"/>
      </w:pPr>
      <w:r w:rsidRPr="007C3060">
        <w:t>Kilde: Finansdepartementet</w:t>
      </w:r>
    </w:p>
    <w:p w14:paraId="40580F6B" w14:textId="77777777" w:rsidR="000A2A2B" w:rsidRPr="007C3060" w:rsidRDefault="000A2A2B" w:rsidP="007C3060">
      <w:r w:rsidRPr="007C3060">
        <w:t>Samlet overskudd på statsbudsjettet og i Statens pensjonsfond består av statens netto kontantstrøm fra petroleumsvirksomheten fratrukket overføringen til statsbudsjettet for å dekke det oljekorrigerte budsjettunderskuddet, samt rente- og utbytteinntekter mv. i Statens pensjonsfond utland og Statens pensjonsfond Norge.</w:t>
      </w:r>
    </w:p>
    <w:p w14:paraId="0D54569D" w14:textId="77777777" w:rsidR="000A2A2B" w:rsidRPr="007C3060" w:rsidRDefault="000A2A2B" w:rsidP="007C3060">
      <w:r w:rsidRPr="007C3060">
        <w:lastRenderedPageBreak/>
        <w:t xml:space="preserve">Netto kontantstrøm fra petroleumsvirksomheten i 2025 forventes å bli 698,1 mrd. kroner, som er 55,2 mrd. kroner høyere enn i Saldert budsjett 2025. Av dette skyldes 16,7 mrd. kroner høyere anslag for skatte- og avgiftsinntekter fra petroleumsvirksomhet, og 28,4 mrd. kroner høyere netto inntekter fra SDØE. I samme retning trekker økt utbytte fra </w:t>
      </w:r>
      <w:proofErr w:type="spellStart"/>
      <w:r w:rsidRPr="007C3060">
        <w:t>Equinor</w:t>
      </w:r>
      <w:proofErr w:type="spellEnd"/>
      <w:r w:rsidRPr="007C3060">
        <w:t xml:space="preserve"> ASA med 10 mrd. kroner. Fratrukket overføringen til statsbudsjettet for å dekke det oljekorrigerte budsjettunderskuddet, innebærer dette at nettoavsetningen til Statens pensjonsfond utland anslås til 204,3 mrd. kroner. Samlede rente- og utbytteinntekter mv. i Statens pensjonsfond anslås å utgjøre 472,9 mrd. kroner i 2025, hvorav 452,7 mrd. kroner fra utenlandsdelen av fondet. Det samlede overskuddet på statsbudsjettet og i Statens pensjonsfond i 2025 anslås dermed til 677,2 mrd. kroner.</w:t>
      </w:r>
    </w:p>
    <w:p w14:paraId="778B773C" w14:textId="77777777" w:rsidR="000A2A2B" w:rsidRPr="007C3060" w:rsidRDefault="000A2A2B" w:rsidP="007C3060">
      <w:r w:rsidRPr="007C3060">
        <w:t>Det vil i forbindelse med nysalderingen bli fremmet et oppdatert bevilgningsforslag for overføringen av statens netto kontantstrøm fra petroleumsvirksomhet til Statens pensjonsfond utland. Videre vil en endelig fastsettelse av tilbakeføringen til statsbudsjettet fra Statens pensjonsfond utland også bli foreslått i forbindelse med nysalderingen.</w:t>
      </w:r>
    </w:p>
    <w:p w14:paraId="3C6A2D76" w14:textId="77777777" w:rsidR="000A2A2B" w:rsidRDefault="000A2A2B" w:rsidP="007C3060">
      <w:r w:rsidRPr="007C3060">
        <w:t>Staten lånefinansierer ikke utgifter til drift, investeringer eller overføringer til private, kommuner og fylkeskommuner. Det oljekorrigerte underskuddet, hvor disse utgiftene inngår, finansieres av en overføring fra Statens pensjonsfond utland. Statsbudsjettet gjøres dermed opp i balanse før lånetransaksjoner. Statsbudsjettets lånetransaksjoner omfatter blant annet utlån til husholdninger og næringsliv, salg og kjøp av aksjer og innskudd i foretak og fond. Investeringer i selskaper regnes som lånetransaksjoner dersom forventet avkastning minst tilsvarer avkastningen på alternative plasseringer. Med avkastning på alternative plasseringer menes finansiell avkastning som svarer til risikoen ved plasseringen. Lånetransaksjoner inngår verken i det oljekorrigerte, eller det strukturelle oljekorrigerte budsjettunderskuddet.</w:t>
      </w:r>
    </w:p>
    <w:p w14:paraId="05DC077A" w14:textId="712C6DD3" w:rsidR="00AC1986" w:rsidRPr="007C3060" w:rsidRDefault="00AC1986" w:rsidP="00530C99">
      <w:pPr>
        <w:pStyle w:val="tabell-tittel"/>
      </w:pPr>
      <w:r w:rsidRPr="007C3060">
        <w:t>Statsbudsjettets lånetransaksjoner og finansieringsbehov</w:t>
      </w:r>
    </w:p>
    <w:p w14:paraId="505EDAAA" w14:textId="77777777" w:rsidR="000A2A2B" w:rsidRPr="007C3060" w:rsidRDefault="000A2A2B" w:rsidP="007C3060">
      <w:pPr>
        <w:pStyle w:val="Tabellnavn"/>
      </w:pPr>
      <w:r w:rsidRPr="007C3060">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40"/>
        <w:gridCol w:w="320"/>
        <w:gridCol w:w="5300"/>
        <w:gridCol w:w="1120"/>
        <w:gridCol w:w="1260"/>
        <w:gridCol w:w="1160"/>
      </w:tblGrid>
      <w:tr w:rsidR="004B729E" w:rsidRPr="007C3060" w14:paraId="07B6ADE4" w14:textId="77777777">
        <w:trPr>
          <w:trHeight w:val="360"/>
        </w:trPr>
        <w:tc>
          <w:tcPr>
            <w:tcW w:w="340" w:type="dxa"/>
            <w:tcBorders>
              <w:top w:val="nil"/>
              <w:left w:val="nil"/>
              <w:bottom w:val="single" w:sz="4" w:space="0" w:color="000000"/>
              <w:right w:val="nil"/>
            </w:tcBorders>
            <w:tcMar>
              <w:top w:w="128" w:type="dxa"/>
              <w:left w:w="43" w:type="dxa"/>
              <w:bottom w:w="43" w:type="dxa"/>
              <w:right w:w="43" w:type="dxa"/>
            </w:tcMar>
            <w:vAlign w:val="bottom"/>
          </w:tcPr>
          <w:p w14:paraId="56869913" w14:textId="77777777" w:rsidR="000A2A2B" w:rsidRPr="007C3060" w:rsidRDefault="000A2A2B" w:rsidP="007C3060"/>
        </w:tc>
        <w:tc>
          <w:tcPr>
            <w:tcW w:w="320" w:type="dxa"/>
            <w:tcBorders>
              <w:top w:val="nil"/>
              <w:left w:val="nil"/>
              <w:bottom w:val="single" w:sz="4" w:space="0" w:color="000000"/>
              <w:right w:val="nil"/>
            </w:tcBorders>
            <w:tcMar>
              <w:top w:w="128" w:type="dxa"/>
              <w:left w:w="43" w:type="dxa"/>
              <w:bottom w:w="43" w:type="dxa"/>
              <w:right w:w="43" w:type="dxa"/>
            </w:tcMar>
            <w:vAlign w:val="bottom"/>
          </w:tcPr>
          <w:p w14:paraId="04AB51F0" w14:textId="77777777" w:rsidR="000A2A2B" w:rsidRPr="007C3060" w:rsidRDefault="000A2A2B" w:rsidP="007C3060"/>
        </w:tc>
        <w:tc>
          <w:tcPr>
            <w:tcW w:w="5300" w:type="dxa"/>
            <w:tcBorders>
              <w:top w:val="nil"/>
              <w:left w:val="nil"/>
              <w:bottom w:val="single" w:sz="4" w:space="0" w:color="000000"/>
              <w:right w:val="nil"/>
            </w:tcBorders>
            <w:tcMar>
              <w:top w:w="128" w:type="dxa"/>
              <w:left w:w="43" w:type="dxa"/>
              <w:bottom w:w="43" w:type="dxa"/>
              <w:right w:w="43" w:type="dxa"/>
            </w:tcMar>
            <w:vAlign w:val="bottom"/>
          </w:tcPr>
          <w:p w14:paraId="3B73041C" w14:textId="77777777" w:rsidR="000A2A2B" w:rsidRPr="007C3060" w:rsidRDefault="000A2A2B" w:rsidP="007C3060"/>
        </w:tc>
        <w:tc>
          <w:tcPr>
            <w:tcW w:w="3540" w:type="dxa"/>
            <w:gridSpan w:val="3"/>
            <w:tcBorders>
              <w:top w:val="nil"/>
              <w:left w:val="nil"/>
              <w:bottom w:val="single" w:sz="4" w:space="0" w:color="000000"/>
              <w:right w:val="nil"/>
            </w:tcBorders>
            <w:tcMar>
              <w:top w:w="128" w:type="dxa"/>
              <w:left w:w="43" w:type="dxa"/>
              <w:bottom w:w="43" w:type="dxa"/>
              <w:right w:w="43" w:type="dxa"/>
            </w:tcMar>
            <w:vAlign w:val="bottom"/>
          </w:tcPr>
          <w:p w14:paraId="4671682F" w14:textId="77777777" w:rsidR="000A2A2B" w:rsidRPr="007C3060" w:rsidRDefault="000A2A2B" w:rsidP="007C3060">
            <w:r w:rsidRPr="007C3060">
              <w:t>Mill. kroner</w:t>
            </w:r>
          </w:p>
        </w:tc>
      </w:tr>
      <w:tr w:rsidR="004B729E" w:rsidRPr="007C3060" w14:paraId="1D60AACF" w14:textId="77777777">
        <w:trPr>
          <w:trHeight w:val="600"/>
        </w:trPr>
        <w:tc>
          <w:tcPr>
            <w:tcW w:w="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39BD01" w14:textId="77777777" w:rsidR="000A2A2B" w:rsidRPr="007C3060" w:rsidRDefault="000A2A2B" w:rsidP="007C3060"/>
        </w:tc>
        <w:tc>
          <w:tcPr>
            <w:tcW w:w="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14732D" w14:textId="77777777" w:rsidR="000A2A2B" w:rsidRPr="007C3060" w:rsidRDefault="000A2A2B" w:rsidP="007C3060"/>
        </w:tc>
        <w:tc>
          <w:tcPr>
            <w:tcW w:w="5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937ECE" w14:textId="77777777" w:rsidR="000A2A2B" w:rsidRPr="007C3060" w:rsidRDefault="000A2A2B" w:rsidP="007C3060"/>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748F9C" w14:textId="77777777" w:rsidR="000A2A2B" w:rsidRPr="007C3060" w:rsidRDefault="000A2A2B" w:rsidP="007C3060">
            <w:r w:rsidRPr="007C3060">
              <w:t>Regnskap 2024</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B6274B" w14:textId="3952A054" w:rsidR="000A2A2B" w:rsidRPr="007C3060" w:rsidRDefault="000A2A2B" w:rsidP="007C3060">
            <w:r w:rsidRPr="007C3060">
              <w:t>Saldert budsjett 2025</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0E36FF" w14:textId="1B652B54" w:rsidR="000A2A2B" w:rsidRPr="007C3060" w:rsidRDefault="000A2A2B" w:rsidP="007C3060">
            <w:r w:rsidRPr="007C3060">
              <w:t>RNB</w:t>
            </w:r>
            <w:r w:rsidR="00AC1986">
              <w:t xml:space="preserve"> </w:t>
            </w:r>
            <w:r w:rsidRPr="007C3060">
              <w:t>2025</w:t>
            </w:r>
          </w:p>
        </w:tc>
      </w:tr>
      <w:tr w:rsidR="004B729E" w:rsidRPr="007C3060" w14:paraId="45584589" w14:textId="77777777">
        <w:trPr>
          <w:trHeight w:val="380"/>
        </w:trPr>
        <w:tc>
          <w:tcPr>
            <w:tcW w:w="5960" w:type="dxa"/>
            <w:gridSpan w:val="3"/>
            <w:tcBorders>
              <w:top w:val="single" w:sz="4" w:space="0" w:color="000000"/>
              <w:left w:val="nil"/>
              <w:bottom w:val="nil"/>
              <w:right w:val="nil"/>
            </w:tcBorders>
            <w:tcMar>
              <w:top w:w="128" w:type="dxa"/>
              <w:left w:w="43" w:type="dxa"/>
              <w:bottom w:w="43" w:type="dxa"/>
              <w:right w:w="43" w:type="dxa"/>
            </w:tcMar>
            <w:vAlign w:val="bottom"/>
          </w:tcPr>
          <w:p w14:paraId="20857655" w14:textId="77777777" w:rsidR="000A2A2B" w:rsidRPr="007C3060" w:rsidRDefault="000A2A2B" w:rsidP="007C3060">
            <w:r w:rsidRPr="007C3060">
              <w:rPr>
                <w:rStyle w:val="kursiv"/>
              </w:rPr>
              <w:t>Lånetransaksjoner utenom petroleumsvirksomhet</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B195805" w14:textId="77777777" w:rsidR="000A2A2B" w:rsidRPr="007C3060" w:rsidRDefault="000A2A2B" w:rsidP="007C3060"/>
        </w:tc>
        <w:tc>
          <w:tcPr>
            <w:tcW w:w="1260" w:type="dxa"/>
            <w:tcBorders>
              <w:top w:val="single" w:sz="4" w:space="0" w:color="000000"/>
              <w:left w:val="nil"/>
              <w:bottom w:val="nil"/>
              <w:right w:val="nil"/>
            </w:tcBorders>
            <w:tcMar>
              <w:top w:w="128" w:type="dxa"/>
              <w:left w:w="43" w:type="dxa"/>
              <w:bottom w:w="43" w:type="dxa"/>
              <w:right w:w="43" w:type="dxa"/>
            </w:tcMar>
            <w:vAlign w:val="bottom"/>
          </w:tcPr>
          <w:p w14:paraId="56529A0C" w14:textId="77777777" w:rsidR="000A2A2B" w:rsidRPr="007C3060" w:rsidRDefault="000A2A2B" w:rsidP="007C3060"/>
        </w:tc>
        <w:tc>
          <w:tcPr>
            <w:tcW w:w="1160" w:type="dxa"/>
            <w:tcBorders>
              <w:top w:val="single" w:sz="4" w:space="0" w:color="000000"/>
              <w:left w:val="nil"/>
              <w:bottom w:val="nil"/>
              <w:right w:val="nil"/>
            </w:tcBorders>
            <w:tcMar>
              <w:top w:w="128" w:type="dxa"/>
              <w:left w:w="43" w:type="dxa"/>
              <w:bottom w:w="43" w:type="dxa"/>
              <w:right w:w="43" w:type="dxa"/>
            </w:tcMar>
            <w:vAlign w:val="bottom"/>
          </w:tcPr>
          <w:p w14:paraId="39EC9D38" w14:textId="77777777" w:rsidR="000A2A2B" w:rsidRPr="007C3060" w:rsidRDefault="000A2A2B" w:rsidP="007C3060"/>
        </w:tc>
      </w:tr>
      <w:tr w:rsidR="004B729E" w:rsidRPr="007C3060" w14:paraId="0A5D20BD" w14:textId="77777777">
        <w:trPr>
          <w:trHeight w:val="380"/>
        </w:trPr>
        <w:tc>
          <w:tcPr>
            <w:tcW w:w="340" w:type="dxa"/>
            <w:tcBorders>
              <w:top w:val="nil"/>
              <w:left w:val="nil"/>
              <w:bottom w:val="nil"/>
              <w:right w:val="nil"/>
            </w:tcBorders>
            <w:tcMar>
              <w:top w:w="128" w:type="dxa"/>
              <w:left w:w="43" w:type="dxa"/>
              <w:bottom w:w="43" w:type="dxa"/>
              <w:right w:w="43" w:type="dxa"/>
            </w:tcMar>
            <w:vAlign w:val="bottom"/>
          </w:tcPr>
          <w:p w14:paraId="66706A97" w14:textId="77777777" w:rsidR="000A2A2B" w:rsidRPr="007C3060" w:rsidRDefault="000A2A2B" w:rsidP="007C3060">
            <w:r w:rsidRPr="007C3060">
              <w:tab/>
            </w:r>
          </w:p>
        </w:tc>
        <w:tc>
          <w:tcPr>
            <w:tcW w:w="5620" w:type="dxa"/>
            <w:gridSpan w:val="2"/>
            <w:tcBorders>
              <w:top w:val="nil"/>
              <w:left w:val="nil"/>
              <w:bottom w:val="nil"/>
              <w:right w:val="nil"/>
            </w:tcBorders>
            <w:tcMar>
              <w:top w:w="128" w:type="dxa"/>
              <w:left w:w="43" w:type="dxa"/>
              <w:bottom w:w="43" w:type="dxa"/>
              <w:right w:w="43" w:type="dxa"/>
            </w:tcMar>
            <w:vAlign w:val="bottom"/>
          </w:tcPr>
          <w:p w14:paraId="01B60A30" w14:textId="77777777" w:rsidR="000A2A2B" w:rsidRPr="007C3060" w:rsidRDefault="000A2A2B" w:rsidP="007C3060">
            <w:r w:rsidRPr="007C3060">
              <w:t>Utlån, aksjetegning mv.</w:t>
            </w:r>
            <w:r w:rsidRPr="007C3060">
              <w:rPr>
                <w:rStyle w:val="skrift-hevet"/>
              </w:rPr>
              <w:t>1</w:t>
            </w:r>
          </w:p>
        </w:tc>
        <w:tc>
          <w:tcPr>
            <w:tcW w:w="1120" w:type="dxa"/>
            <w:tcBorders>
              <w:top w:val="nil"/>
              <w:left w:val="nil"/>
              <w:bottom w:val="nil"/>
              <w:right w:val="nil"/>
            </w:tcBorders>
            <w:tcMar>
              <w:top w:w="128" w:type="dxa"/>
              <w:left w:w="43" w:type="dxa"/>
              <w:bottom w:w="43" w:type="dxa"/>
              <w:right w:w="43" w:type="dxa"/>
            </w:tcMar>
            <w:vAlign w:val="bottom"/>
          </w:tcPr>
          <w:p w14:paraId="3FB1730F" w14:textId="77777777" w:rsidR="000A2A2B" w:rsidRPr="007C3060" w:rsidRDefault="000A2A2B" w:rsidP="007C3060">
            <w:r w:rsidRPr="007C3060">
              <w:t xml:space="preserve">189 165 </w:t>
            </w:r>
          </w:p>
        </w:tc>
        <w:tc>
          <w:tcPr>
            <w:tcW w:w="1260" w:type="dxa"/>
            <w:tcBorders>
              <w:top w:val="nil"/>
              <w:left w:val="nil"/>
              <w:bottom w:val="nil"/>
              <w:right w:val="nil"/>
            </w:tcBorders>
            <w:tcMar>
              <w:top w:w="128" w:type="dxa"/>
              <w:left w:w="43" w:type="dxa"/>
              <w:bottom w:w="43" w:type="dxa"/>
              <w:right w:w="43" w:type="dxa"/>
            </w:tcMar>
            <w:vAlign w:val="bottom"/>
          </w:tcPr>
          <w:p w14:paraId="1597D2F5" w14:textId="77777777" w:rsidR="000A2A2B" w:rsidRPr="007C3060" w:rsidRDefault="000A2A2B" w:rsidP="007C3060">
            <w:r w:rsidRPr="007C3060">
              <w:t xml:space="preserve">245 702 </w:t>
            </w:r>
          </w:p>
        </w:tc>
        <w:tc>
          <w:tcPr>
            <w:tcW w:w="1160" w:type="dxa"/>
            <w:tcBorders>
              <w:top w:val="nil"/>
              <w:left w:val="nil"/>
              <w:bottom w:val="nil"/>
              <w:right w:val="nil"/>
            </w:tcBorders>
            <w:tcMar>
              <w:top w:w="128" w:type="dxa"/>
              <w:left w:w="43" w:type="dxa"/>
              <w:bottom w:w="43" w:type="dxa"/>
              <w:right w:w="43" w:type="dxa"/>
            </w:tcMar>
            <w:vAlign w:val="bottom"/>
          </w:tcPr>
          <w:p w14:paraId="7C84B693" w14:textId="77777777" w:rsidR="000A2A2B" w:rsidRPr="007C3060" w:rsidRDefault="000A2A2B" w:rsidP="007C3060">
            <w:r w:rsidRPr="007C3060">
              <w:t xml:space="preserve">269 001 </w:t>
            </w:r>
          </w:p>
        </w:tc>
      </w:tr>
      <w:tr w:rsidR="004B729E" w:rsidRPr="007C3060" w14:paraId="3B88603B" w14:textId="77777777">
        <w:trPr>
          <w:trHeight w:val="380"/>
        </w:trPr>
        <w:tc>
          <w:tcPr>
            <w:tcW w:w="340" w:type="dxa"/>
            <w:tcBorders>
              <w:top w:val="nil"/>
              <w:left w:val="nil"/>
              <w:bottom w:val="nil"/>
              <w:right w:val="nil"/>
            </w:tcBorders>
            <w:tcMar>
              <w:top w:w="128" w:type="dxa"/>
              <w:left w:w="43" w:type="dxa"/>
              <w:bottom w:w="43" w:type="dxa"/>
              <w:right w:w="43" w:type="dxa"/>
            </w:tcMar>
            <w:vAlign w:val="bottom"/>
          </w:tcPr>
          <w:p w14:paraId="31BDA58A" w14:textId="77777777" w:rsidR="000A2A2B" w:rsidRPr="007C3060" w:rsidRDefault="000A2A2B" w:rsidP="007C3060">
            <w:r w:rsidRPr="007C3060">
              <w:t>-</w:t>
            </w:r>
          </w:p>
        </w:tc>
        <w:tc>
          <w:tcPr>
            <w:tcW w:w="5620" w:type="dxa"/>
            <w:gridSpan w:val="2"/>
            <w:tcBorders>
              <w:top w:val="nil"/>
              <w:left w:val="nil"/>
              <w:bottom w:val="nil"/>
              <w:right w:val="nil"/>
            </w:tcBorders>
            <w:tcMar>
              <w:top w:w="128" w:type="dxa"/>
              <w:left w:w="43" w:type="dxa"/>
              <w:bottom w:w="43" w:type="dxa"/>
              <w:right w:w="43" w:type="dxa"/>
            </w:tcMar>
            <w:vAlign w:val="bottom"/>
          </w:tcPr>
          <w:p w14:paraId="53845F6C" w14:textId="77777777" w:rsidR="000A2A2B" w:rsidRPr="007C3060" w:rsidRDefault="000A2A2B" w:rsidP="007C3060">
            <w:r w:rsidRPr="007C3060">
              <w:t>Tilbakebetalinger</w:t>
            </w:r>
          </w:p>
        </w:tc>
        <w:tc>
          <w:tcPr>
            <w:tcW w:w="1120" w:type="dxa"/>
            <w:tcBorders>
              <w:top w:val="nil"/>
              <w:left w:val="nil"/>
              <w:bottom w:val="nil"/>
              <w:right w:val="nil"/>
            </w:tcBorders>
            <w:tcMar>
              <w:top w:w="128" w:type="dxa"/>
              <w:left w:w="43" w:type="dxa"/>
              <w:bottom w:w="43" w:type="dxa"/>
              <w:right w:w="43" w:type="dxa"/>
            </w:tcMar>
            <w:vAlign w:val="bottom"/>
          </w:tcPr>
          <w:p w14:paraId="184D863B" w14:textId="77777777" w:rsidR="000A2A2B" w:rsidRPr="007C3060" w:rsidRDefault="000A2A2B" w:rsidP="007C3060">
            <w:r w:rsidRPr="007C3060">
              <w:t xml:space="preserve">131 378 </w:t>
            </w:r>
          </w:p>
        </w:tc>
        <w:tc>
          <w:tcPr>
            <w:tcW w:w="1260" w:type="dxa"/>
            <w:tcBorders>
              <w:top w:val="nil"/>
              <w:left w:val="nil"/>
              <w:bottom w:val="nil"/>
              <w:right w:val="nil"/>
            </w:tcBorders>
            <w:tcMar>
              <w:top w:w="128" w:type="dxa"/>
              <w:left w:w="43" w:type="dxa"/>
              <w:bottom w:w="43" w:type="dxa"/>
              <w:right w:w="43" w:type="dxa"/>
            </w:tcMar>
            <w:vAlign w:val="bottom"/>
          </w:tcPr>
          <w:p w14:paraId="712350A9" w14:textId="77777777" w:rsidR="000A2A2B" w:rsidRPr="007C3060" w:rsidRDefault="000A2A2B" w:rsidP="007C3060">
            <w:r w:rsidRPr="007C3060">
              <w:t xml:space="preserve">133 183 </w:t>
            </w:r>
          </w:p>
        </w:tc>
        <w:tc>
          <w:tcPr>
            <w:tcW w:w="1160" w:type="dxa"/>
            <w:tcBorders>
              <w:top w:val="nil"/>
              <w:left w:val="nil"/>
              <w:bottom w:val="nil"/>
              <w:right w:val="nil"/>
            </w:tcBorders>
            <w:tcMar>
              <w:top w:w="128" w:type="dxa"/>
              <w:left w:w="43" w:type="dxa"/>
              <w:bottom w:w="43" w:type="dxa"/>
              <w:right w:w="43" w:type="dxa"/>
            </w:tcMar>
            <w:vAlign w:val="bottom"/>
          </w:tcPr>
          <w:p w14:paraId="72DA4B51" w14:textId="77777777" w:rsidR="000A2A2B" w:rsidRPr="007C3060" w:rsidRDefault="000A2A2B" w:rsidP="007C3060">
            <w:r w:rsidRPr="007C3060">
              <w:t xml:space="preserve">188 190 </w:t>
            </w:r>
          </w:p>
        </w:tc>
      </w:tr>
      <w:tr w:rsidR="004B729E" w:rsidRPr="007C3060" w14:paraId="42535856" w14:textId="77777777">
        <w:trPr>
          <w:trHeight w:val="380"/>
        </w:trPr>
        <w:tc>
          <w:tcPr>
            <w:tcW w:w="340" w:type="dxa"/>
            <w:tcBorders>
              <w:top w:val="nil"/>
              <w:left w:val="nil"/>
              <w:bottom w:val="single" w:sz="4" w:space="0" w:color="000000"/>
              <w:right w:val="nil"/>
            </w:tcBorders>
            <w:tcMar>
              <w:top w:w="128" w:type="dxa"/>
              <w:left w:w="43" w:type="dxa"/>
              <w:bottom w:w="43" w:type="dxa"/>
              <w:right w:w="43" w:type="dxa"/>
            </w:tcMar>
            <w:vAlign w:val="bottom"/>
          </w:tcPr>
          <w:p w14:paraId="79E0905F" w14:textId="77777777" w:rsidR="000A2A2B" w:rsidRPr="007C3060" w:rsidRDefault="000A2A2B" w:rsidP="007C3060">
            <w:r w:rsidRPr="007C3060">
              <w:t>-</w:t>
            </w:r>
          </w:p>
        </w:tc>
        <w:tc>
          <w:tcPr>
            <w:tcW w:w="5620" w:type="dxa"/>
            <w:gridSpan w:val="2"/>
            <w:tcBorders>
              <w:top w:val="nil"/>
              <w:left w:val="nil"/>
              <w:bottom w:val="single" w:sz="4" w:space="0" w:color="000000"/>
              <w:right w:val="nil"/>
            </w:tcBorders>
            <w:tcMar>
              <w:top w:w="128" w:type="dxa"/>
              <w:left w:w="43" w:type="dxa"/>
              <w:bottom w:w="43" w:type="dxa"/>
              <w:right w:w="43" w:type="dxa"/>
            </w:tcMar>
            <w:vAlign w:val="bottom"/>
          </w:tcPr>
          <w:p w14:paraId="370F7DA8" w14:textId="77777777" w:rsidR="000A2A2B" w:rsidRPr="007C3060" w:rsidRDefault="000A2A2B" w:rsidP="007C3060">
            <w:r w:rsidRPr="007C3060">
              <w:t>Statsbudsjettets overskudd</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854544B" w14:textId="77777777" w:rsidR="000A2A2B" w:rsidRPr="007C3060" w:rsidRDefault="000A2A2B" w:rsidP="007C3060">
            <w:r w:rsidRPr="007C3060">
              <w:t xml:space="preserve">14 748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632BF48" w14:textId="77777777" w:rsidR="000A2A2B" w:rsidRPr="007C3060" w:rsidRDefault="000A2A2B" w:rsidP="007C3060">
            <w:r w:rsidRPr="007C3060">
              <w:t xml:space="preserve">0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63E0CE33" w14:textId="77777777" w:rsidR="000A2A2B" w:rsidRPr="007C3060" w:rsidRDefault="000A2A2B" w:rsidP="007C3060">
            <w:r w:rsidRPr="007C3060">
              <w:t xml:space="preserve">0 </w:t>
            </w:r>
          </w:p>
        </w:tc>
      </w:tr>
      <w:tr w:rsidR="004B729E" w:rsidRPr="007C3060" w14:paraId="12A46D9D" w14:textId="77777777">
        <w:trPr>
          <w:trHeight w:val="380"/>
        </w:trPr>
        <w:tc>
          <w:tcPr>
            <w:tcW w:w="340" w:type="dxa"/>
            <w:tcBorders>
              <w:top w:val="nil"/>
              <w:left w:val="nil"/>
              <w:bottom w:val="nil"/>
              <w:right w:val="nil"/>
            </w:tcBorders>
            <w:tcMar>
              <w:top w:w="128" w:type="dxa"/>
              <w:left w:w="43" w:type="dxa"/>
              <w:bottom w:w="43" w:type="dxa"/>
              <w:right w:w="43" w:type="dxa"/>
            </w:tcMar>
            <w:vAlign w:val="bottom"/>
          </w:tcPr>
          <w:p w14:paraId="1270C4F8" w14:textId="77777777" w:rsidR="000A2A2B" w:rsidRPr="007C3060" w:rsidRDefault="000A2A2B" w:rsidP="007C3060">
            <w:r w:rsidRPr="007C3060">
              <w:t>=</w:t>
            </w:r>
          </w:p>
        </w:tc>
        <w:tc>
          <w:tcPr>
            <w:tcW w:w="5620" w:type="dxa"/>
            <w:gridSpan w:val="2"/>
            <w:tcBorders>
              <w:top w:val="nil"/>
              <w:left w:val="nil"/>
              <w:bottom w:val="nil"/>
              <w:right w:val="nil"/>
            </w:tcBorders>
            <w:tcMar>
              <w:top w:w="128" w:type="dxa"/>
              <w:left w:w="43" w:type="dxa"/>
              <w:bottom w:w="43" w:type="dxa"/>
              <w:right w:w="43" w:type="dxa"/>
            </w:tcMar>
            <w:vAlign w:val="bottom"/>
          </w:tcPr>
          <w:p w14:paraId="0B411CE3" w14:textId="77777777" w:rsidR="000A2A2B" w:rsidRPr="007C3060" w:rsidRDefault="000A2A2B" w:rsidP="007C3060">
            <w:r w:rsidRPr="007C3060">
              <w:t>Netto finansieringsbehov</w:t>
            </w:r>
          </w:p>
        </w:tc>
        <w:tc>
          <w:tcPr>
            <w:tcW w:w="1120" w:type="dxa"/>
            <w:tcBorders>
              <w:top w:val="nil"/>
              <w:left w:val="nil"/>
              <w:bottom w:val="nil"/>
              <w:right w:val="nil"/>
            </w:tcBorders>
            <w:tcMar>
              <w:top w:w="128" w:type="dxa"/>
              <w:left w:w="43" w:type="dxa"/>
              <w:bottom w:w="43" w:type="dxa"/>
              <w:right w:w="43" w:type="dxa"/>
            </w:tcMar>
            <w:vAlign w:val="bottom"/>
          </w:tcPr>
          <w:p w14:paraId="5BFDEC2E" w14:textId="77777777" w:rsidR="000A2A2B" w:rsidRPr="007C3060" w:rsidRDefault="000A2A2B" w:rsidP="007C3060">
            <w:r w:rsidRPr="007C3060">
              <w:t xml:space="preserve">43 039 </w:t>
            </w:r>
          </w:p>
        </w:tc>
        <w:tc>
          <w:tcPr>
            <w:tcW w:w="1260" w:type="dxa"/>
            <w:tcBorders>
              <w:top w:val="nil"/>
              <w:left w:val="nil"/>
              <w:bottom w:val="nil"/>
              <w:right w:val="nil"/>
            </w:tcBorders>
            <w:tcMar>
              <w:top w:w="128" w:type="dxa"/>
              <w:left w:w="43" w:type="dxa"/>
              <w:bottom w:w="43" w:type="dxa"/>
              <w:right w:w="43" w:type="dxa"/>
            </w:tcMar>
            <w:vAlign w:val="bottom"/>
          </w:tcPr>
          <w:p w14:paraId="375A97FF" w14:textId="77777777" w:rsidR="000A2A2B" w:rsidRPr="007C3060" w:rsidRDefault="000A2A2B" w:rsidP="007C3060">
            <w:r w:rsidRPr="007C3060">
              <w:t xml:space="preserve">112 519 </w:t>
            </w:r>
          </w:p>
        </w:tc>
        <w:tc>
          <w:tcPr>
            <w:tcW w:w="1160" w:type="dxa"/>
            <w:tcBorders>
              <w:top w:val="nil"/>
              <w:left w:val="nil"/>
              <w:bottom w:val="nil"/>
              <w:right w:val="nil"/>
            </w:tcBorders>
            <w:tcMar>
              <w:top w:w="128" w:type="dxa"/>
              <w:left w:w="43" w:type="dxa"/>
              <w:bottom w:w="43" w:type="dxa"/>
              <w:right w:w="43" w:type="dxa"/>
            </w:tcMar>
            <w:vAlign w:val="bottom"/>
          </w:tcPr>
          <w:p w14:paraId="2985F212" w14:textId="77777777" w:rsidR="000A2A2B" w:rsidRPr="007C3060" w:rsidRDefault="000A2A2B" w:rsidP="007C3060">
            <w:r w:rsidRPr="007C3060">
              <w:t xml:space="preserve">80 810 </w:t>
            </w:r>
          </w:p>
        </w:tc>
      </w:tr>
      <w:tr w:rsidR="004B729E" w:rsidRPr="007C3060" w14:paraId="29FA95A6" w14:textId="77777777">
        <w:trPr>
          <w:trHeight w:val="380"/>
        </w:trPr>
        <w:tc>
          <w:tcPr>
            <w:tcW w:w="340" w:type="dxa"/>
            <w:tcBorders>
              <w:top w:val="nil"/>
              <w:left w:val="nil"/>
              <w:bottom w:val="single" w:sz="4" w:space="0" w:color="000000"/>
              <w:right w:val="nil"/>
            </w:tcBorders>
            <w:tcMar>
              <w:top w:w="128" w:type="dxa"/>
              <w:left w:w="43" w:type="dxa"/>
              <w:bottom w:w="43" w:type="dxa"/>
              <w:right w:w="43" w:type="dxa"/>
            </w:tcMar>
            <w:vAlign w:val="bottom"/>
          </w:tcPr>
          <w:p w14:paraId="490DE80B" w14:textId="77777777" w:rsidR="000A2A2B" w:rsidRPr="007C3060" w:rsidRDefault="000A2A2B" w:rsidP="007C3060">
            <w:r w:rsidRPr="007C3060">
              <w:lastRenderedPageBreak/>
              <w:t>+</w:t>
            </w:r>
          </w:p>
        </w:tc>
        <w:tc>
          <w:tcPr>
            <w:tcW w:w="5620" w:type="dxa"/>
            <w:gridSpan w:val="2"/>
            <w:tcBorders>
              <w:top w:val="nil"/>
              <w:left w:val="nil"/>
              <w:bottom w:val="single" w:sz="4" w:space="0" w:color="000000"/>
              <w:right w:val="nil"/>
            </w:tcBorders>
            <w:tcMar>
              <w:top w:w="128" w:type="dxa"/>
              <w:left w:w="43" w:type="dxa"/>
              <w:bottom w:w="43" w:type="dxa"/>
              <w:right w:w="43" w:type="dxa"/>
            </w:tcMar>
            <w:vAlign w:val="bottom"/>
          </w:tcPr>
          <w:p w14:paraId="358BB6D4" w14:textId="77777777" w:rsidR="000A2A2B" w:rsidRPr="007C3060" w:rsidRDefault="000A2A2B" w:rsidP="007C3060">
            <w:r w:rsidRPr="007C3060">
              <w:tab/>
              <w:t>Gjeldsavdrag</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BF1ABC5" w14:textId="77777777" w:rsidR="000A2A2B" w:rsidRPr="007C3060" w:rsidRDefault="000A2A2B" w:rsidP="007C3060">
            <w:r w:rsidRPr="007C3060">
              <w:t xml:space="preserve">64 795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11578CB8" w14:textId="77777777" w:rsidR="000A2A2B" w:rsidRPr="007C3060" w:rsidRDefault="000A2A2B" w:rsidP="007C3060">
            <w:r w:rsidRPr="007C3060">
              <w:t xml:space="preserve">63 817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66BE34C0" w14:textId="77777777" w:rsidR="000A2A2B" w:rsidRPr="007C3060" w:rsidRDefault="000A2A2B" w:rsidP="007C3060">
            <w:r w:rsidRPr="007C3060">
              <w:t xml:space="preserve">61 847 </w:t>
            </w:r>
          </w:p>
        </w:tc>
      </w:tr>
      <w:tr w:rsidR="004B729E" w:rsidRPr="007C3060" w14:paraId="60308E38" w14:textId="77777777">
        <w:trPr>
          <w:trHeight w:val="380"/>
        </w:trPr>
        <w:tc>
          <w:tcPr>
            <w:tcW w:w="340" w:type="dxa"/>
            <w:tcBorders>
              <w:top w:val="nil"/>
              <w:left w:val="nil"/>
              <w:bottom w:val="nil"/>
              <w:right w:val="nil"/>
            </w:tcBorders>
            <w:tcMar>
              <w:top w:w="128" w:type="dxa"/>
              <w:left w:w="43" w:type="dxa"/>
              <w:bottom w:w="43" w:type="dxa"/>
              <w:right w:w="43" w:type="dxa"/>
            </w:tcMar>
            <w:vAlign w:val="bottom"/>
          </w:tcPr>
          <w:p w14:paraId="0D4BCA5D" w14:textId="77777777" w:rsidR="000A2A2B" w:rsidRPr="007C3060" w:rsidRDefault="000A2A2B" w:rsidP="007C3060">
            <w:r w:rsidRPr="007C3060">
              <w:t>=</w:t>
            </w:r>
          </w:p>
        </w:tc>
        <w:tc>
          <w:tcPr>
            <w:tcW w:w="5620" w:type="dxa"/>
            <w:gridSpan w:val="2"/>
            <w:tcBorders>
              <w:top w:val="nil"/>
              <w:left w:val="nil"/>
              <w:bottom w:val="nil"/>
              <w:right w:val="nil"/>
            </w:tcBorders>
            <w:tcMar>
              <w:top w:w="128" w:type="dxa"/>
              <w:left w:w="43" w:type="dxa"/>
              <w:bottom w:w="43" w:type="dxa"/>
              <w:right w:w="43" w:type="dxa"/>
            </w:tcMar>
            <w:vAlign w:val="bottom"/>
          </w:tcPr>
          <w:p w14:paraId="2F9F0915" w14:textId="77777777" w:rsidR="000A2A2B" w:rsidRPr="007C3060" w:rsidRDefault="000A2A2B" w:rsidP="007C3060">
            <w:r w:rsidRPr="007C3060">
              <w:t>Statsbudsjettets brutto finansieringsbehov</w:t>
            </w:r>
          </w:p>
        </w:tc>
        <w:tc>
          <w:tcPr>
            <w:tcW w:w="1120" w:type="dxa"/>
            <w:tcBorders>
              <w:top w:val="nil"/>
              <w:left w:val="nil"/>
              <w:bottom w:val="nil"/>
              <w:right w:val="nil"/>
            </w:tcBorders>
            <w:tcMar>
              <w:top w:w="128" w:type="dxa"/>
              <w:left w:w="43" w:type="dxa"/>
              <w:bottom w:w="43" w:type="dxa"/>
              <w:right w:w="43" w:type="dxa"/>
            </w:tcMar>
            <w:vAlign w:val="bottom"/>
          </w:tcPr>
          <w:p w14:paraId="032C466C" w14:textId="77777777" w:rsidR="000A2A2B" w:rsidRPr="007C3060" w:rsidRDefault="000A2A2B" w:rsidP="007C3060">
            <w:r w:rsidRPr="007C3060">
              <w:t xml:space="preserve">107 834 </w:t>
            </w:r>
          </w:p>
        </w:tc>
        <w:tc>
          <w:tcPr>
            <w:tcW w:w="1260" w:type="dxa"/>
            <w:tcBorders>
              <w:top w:val="nil"/>
              <w:left w:val="nil"/>
              <w:bottom w:val="nil"/>
              <w:right w:val="nil"/>
            </w:tcBorders>
            <w:tcMar>
              <w:top w:w="128" w:type="dxa"/>
              <w:left w:w="43" w:type="dxa"/>
              <w:bottom w:w="43" w:type="dxa"/>
              <w:right w:w="43" w:type="dxa"/>
            </w:tcMar>
            <w:vAlign w:val="bottom"/>
          </w:tcPr>
          <w:p w14:paraId="54963DE7" w14:textId="77777777" w:rsidR="000A2A2B" w:rsidRPr="007C3060" w:rsidRDefault="000A2A2B" w:rsidP="007C3060">
            <w:r w:rsidRPr="007C3060">
              <w:t xml:space="preserve">176 336 </w:t>
            </w:r>
          </w:p>
        </w:tc>
        <w:tc>
          <w:tcPr>
            <w:tcW w:w="1160" w:type="dxa"/>
            <w:tcBorders>
              <w:top w:val="nil"/>
              <w:left w:val="nil"/>
              <w:bottom w:val="nil"/>
              <w:right w:val="nil"/>
            </w:tcBorders>
            <w:tcMar>
              <w:top w:w="128" w:type="dxa"/>
              <w:left w:w="43" w:type="dxa"/>
              <w:bottom w:w="43" w:type="dxa"/>
              <w:right w:w="43" w:type="dxa"/>
            </w:tcMar>
            <w:vAlign w:val="bottom"/>
          </w:tcPr>
          <w:p w14:paraId="22D1A841" w14:textId="77777777" w:rsidR="000A2A2B" w:rsidRPr="007C3060" w:rsidRDefault="000A2A2B" w:rsidP="007C3060">
            <w:r w:rsidRPr="007C3060">
              <w:t xml:space="preserve">142 657 </w:t>
            </w:r>
          </w:p>
        </w:tc>
      </w:tr>
      <w:tr w:rsidR="004B729E" w:rsidRPr="007C3060" w14:paraId="6870A6E9" w14:textId="77777777">
        <w:trPr>
          <w:trHeight w:val="380"/>
        </w:trPr>
        <w:tc>
          <w:tcPr>
            <w:tcW w:w="5960" w:type="dxa"/>
            <w:gridSpan w:val="3"/>
            <w:tcBorders>
              <w:top w:val="nil"/>
              <w:left w:val="nil"/>
              <w:bottom w:val="nil"/>
              <w:right w:val="nil"/>
            </w:tcBorders>
            <w:tcMar>
              <w:top w:w="128" w:type="dxa"/>
              <w:left w:w="43" w:type="dxa"/>
              <w:bottom w:w="43" w:type="dxa"/>
              <w:right w:w="43" w:type="dxa"/>
            </w:tcMar>
            <w:vAlign w:val="bottom"/>
          </w:tcPr>
          <w:p w14:paraId="41CCD48F" w14:textId="77777777" w:rsidR="000A2A2B" w:rsidRPr="007C3060" w:rsidRDefault="000A2A2B" w:rsidP="007C3060">
            <w:r w:rsidRPr="007C3060">
              <w:rPr>
                <w:rStyle w:val="kursiv"/>
              </w:rPr>
              <w:t>Lånetransaksjoner knyttet til petroleumsvirksomhet</w:t>
            </w:r>
          </w:p>
        </w:tc>
        <w:tc>
          <w:tcPr>
            <w:tcW w:w="1120" w:type="dxa"/>
            <w:tcBorders>
              <w:top w:val="nil"/>
              <w:left w:val="nil"/>
              <w:bottom w:val="nil"/>
              <w:right w:val="nil"/>
            </w:tcBorders>
            <w:tcMar>
              <w:top w:w="128" w:type="dxa"/>
              <w:left w:w="43" w:type="dxa"/>
              <w:bottom w:w="43" w:type="dxa"/>
              <w:right w:w="43" w:type="dxa"/>
            </w:tcMar>
            <w:vAlign w:val="bottom"/>
          </w:tcPr>
          <w:p w14:paraId="6A034019" w14:textId="77777777" w:rsidR="000A2A2B" w:rsidRPr="007C3060" w:rsidRDefault="000A2A2B" w:rsidP="007C3060"/>
        </w:tc>
        <w:tc>
          <w:tcPr>
            <w:tcW w:w="1260" w:type="dxa"/>
            <w:tcBorders>
              <w:top w:val="nil"/>
              <w:left w:val="nil"/>
              <w:bottom w:val="nil"/>
              <w:right w:val="nil"/>
            </w:tcBorders>
            <w:tcMar>
              <w:top w:w="128" w:type="dxa"/>
              <w:left w:w="43" w:type="dxa"/>
              <w:bottom w:w="43" w:type="dxa"/>
              <w:right w:w="43" w:type="dxa"/>
            </w:tcMar>
            <w:vAlign w:val="bottom"/>
          </w:tcPr>
          <w:p w14:paraId="19BEEA3B" w14:textId="77777777" w:rsidR="000A2A2B" w:rsidRPr="007C3060" w:rsidRDefault="000A2A2B" w:rsidP="007C3060"/>
        </w:tc>
        <w:tc>
          <w:tcPr>
            <w:tcW w:w="1160" w:type="dxa"/>
            <w:tcBorders>
              <w:top w:val="nil"/>
              <w:left w:val="nil"/>
              <w:bottom w:val="nil"/>
              <w:right w:val="nil"/>
            </w:tcBorders>
            <w:tcMar>
              <w:top w:w="128" w:type="dxa"/>
              <w:left w:w="43" w:type="dxa"/>
              <w:bottom w:w="43" w:type="dxa"/>
              <w:right w:w="43" w:type="dxa"/>
            </w:tcMar>
            <w:vAlign w:val="bottom"/>
          </w:tcPr>
          <w:p w14:paraId="4C2CA988" w14:textId="77777777" w:rsidR="000A2A2B" w:rsidRPr="007C3060" w:rsidRDefault="000A2A2B" w:rsidP="007C3060"/>
        </w:tc>
      </w:tr>
      <w:tr w:rsidR="004B729E" w:rsidRPr="007C3060" w14:paraId="1FF7AC26" w14:textId="77777777">
        <w:trPr>
          <w:trHeight w:val="380"/>
        </w:trPr>
        <w:tc>
          <w:tcPr>
            <w:tcW w:w="340" w:type="dxa"/>
            <w:tcBorders>
              <w:top w:val="nil"/>
              <w:left w:val="nil"/>
              <w:bottom w:val="nil"/>
              <w:right w:val="nil"/>
            </w:tcBorders>
            <w:tcMar>
              <w:top w:w="128" w:type="dxa"/>
              <w:left w:w="43" w:type="dxa"/>
              <w:bottom w:w="43" w:type="dxa"/>
              <w:right w:w="43" w:type="dxa"/>
            </w:tcMar>
            <w:vAlign w:val="bottom"/>
          </w:tcPr>
          <w:p w14:paraId="44C0370C" w14:textId="77777777" w:rsidR="000A2A2B" w:rsidRPr="007C3060" w:rsidRDefault="000A2A2B" w:rsidP="007C3060"/>
        </w:tc>
        <w:tc>
          <w:tcPr>
            <w:tcW w:w="5620" w:type="dxa"/>
            <w:gridSpan w:val="2"/>
            <w:tcBorders>
              <w:top w:val="nil"/>
              <w:left w:val="nil"/>
              <w:bottom w:val="nil"/>
              <w:right w:val="nil"/>
            </w:tcBorders>
            <w:tcMar>
              <w:top w:w="128" w:type="dxa"/>
              <w:left w:w="43" w:type="dxa"/>
              <w:bottom w:w="43" w:type="dxa"/>
              <w:right w:w="43" w:type="dxa"/>
            </w:tcMar>
            <w:vAlign w:val="bottom"/>
          </w:tcPr>
          <w:p w14:paraId="1D0CB19C" w14:textId="77777777" w:rsidR="000A2A2B" w:rsidRPr="007C3060" w:rsidRDefault="000A2A2B" w:rsidP="007C3060">
            <w:r w:rsidRPr="007C3060">
              <w:tab/>
              <w:t xml:space="preserve">Salg av aksjer i </w:t>
            </w:r>
            <w:proofErr w:type="spellStart"/>
            <w:r w:rsidRPr="007C3060">
              <w:t>Equinor</w:t>
            </w:r>
            <w:proofErr w:type="spellEnd"/>
            <w:r w:rsidRPr="007C3060">
              <w:t xml:space="preserve"> ASA mv.</w:t>
            </w:r>
          </w:p>
        </w:tc>
        <w:tc>
          <w:tcPr>
            <w:tcW w:w="1120" w:type="dxa"/>
            <w:tcBorders>
              <w:top w:val="nil"/>
              <w:left w:val="nil"/>
              <w:bottom w:val="nil"/>
              <w:right w:val="nil"/>
            </w:tcBorders>
            <w:tcMar>
              <w:top w:w="128" w:type="dxa"/>
              <w:left w:w="43" w:type="dxa"/>
              <w:bottom w:w="43" w:type="dxa"/>
              <w:right w:w="43" w:type="dxa"/>
            </w:tcMar>
            <w:vAlign w:val="bottom"/>
          </w:tcPr>
          <w:p w14:paraId="0B0676E1" w14:textId="77777777" w:rsidR="000A2A2B" w:rsidRPr="007C3060" w:rsidRDefault="000A2A2B" w:rsidP="007C3060">
            <w:r w:rsidRPr="007C3060">
              <w:t xml:space="preserve">42 801 </w:t>
            </w:r>
          </w:p>
        </w:tc>
        <w:tc>
          <w:tcPr>
            <w:tcW w:w="1260" w:type="dxa"/>
            <w:tcBorders>
              <w:top w:val="nil"/>
              <w:left w:val="nil"/>
              <w:bottom w:val="nil"/>
              <w:right w:val="nil"/>
            </w:tcBorders>
            <w:tcMar>
              <w:top w:w="128" w:type="dxa"/>
              <w:left w:w="43" w:type="dxa"/>
              <w:bottom w:w="43" w:type="dxa"/>
              <w:right w:w="43" w:type="dxa"/>
            </w:tcMar>
            <w:vAlign w:val="bottom"/>
          </w:tcPr>
          <w:p w14:paraId="120B5AFA" w14:textId="77777777" w:rsidR="000A2A2B" w:rsidRPr="007C3060" w:rsidRDefault="000A2A2B" w:rsidP="007C3060">
            <w:r w:rsidRPr="007C3060">
              <w:t>0</w:t>
            </w:r>
          </w:p>
        </w:tc>
        <w:tc>
          <w:tcPr>
            <w:tcW w:w="1160" w:type="dxa"/>
            <w:tcBorders>
              <w:top w:val="nil"/>
              <w:left w:val="nil"/>
              <w:bottom w:val="nil"/>
              <w:right w:val="nil"/>
            </w:tcBorders>
            <w:tcMar>
              <w:top w:w="128" w:type="dxa"/>
              <w:left w:w="43" w:type="dxa"/>
              <w:bottom w:w="43" w:type="dxa"/>
              <w:right w:w="43" w:type="dxa"/>
            </w:tcMar>
            <w:vAlign w:val="bottom"/>
          </w:tcPr>
          <w:p w14:paraId="58ADD600" w14:textId="77777777" w:rsidR="000A2A2B" w:rsidRPr="007C3060" w:rsidRDefault="000A2A2B" w:rsidP="007C3060">
            <w:r w:rsidRPr="007C3060">
              <w:t>0</w:t>
            </w:r>
          </w:p>
        </w:tc>
      </w:tr>
      <w:tr w:rsidR="004B729E" w:rsidRPr="007C3060" w14:paraId="66505FFD" w14:textId="77777777">
        <w:trPr>
          <w:trHeight w:val="380"/>
        </w:trPr>
        <w:tc>
          <w:tcPr>
            <w:tcW w:w="340" w:type="dxa"/>
            <w:tcBorders>
              <w:top w:val="nil"/>
              <w:left w:val="nil"/>
              <w:bottom w:val="single" w:sz="4" w:space="0" w:color="000000"/>
              <w:right w:val="nil"/>
            </w:tcBorders>
            <w:tcMar>
              <w:top w:w="128" w:type="dxa"/>
              <w:left w:w="43" w:type="dxa"/>
              <w:bottom w:w="43" w:type="dxa"/>
              <w:right w:w="43" w:type="dxa"/>
            </w:tcMar>
            <w:vAlign w:val="bottom"/>
          </w:tcPr>
          <w:p w14:paraId="7B93E1BA" w14:textId="77777777" w:rsidR="000A2A2B" w:rsidRPr="007C3060" w:rsidRDefault="000A2A2B" w:rsidP="007C3060">
            <w:r w:rsidRPr="007C3060">
              <w:t>-</w:t>
            </w:r>
          </w:p>
        </w:tc>
        <w:tc>
          <w:tcPr>
            <w:tcW w:w="5620" w:type="dxa"/>
            <w:gridSpan w:val="2"/>
            <w:tcBorders>
              <w:top w:val="nil"/>
              <w:left w:val="nil"/>
              <w:bottom w:val="single" w:sz="4" w:space="0" w:color="000000"/>
              <w:right w:val="nil"/>
            </w:tcBorders>
            <w:tcMar>
              <w:top w:w="128" w:type="dxa"/>
              <w:left w:w="43" w:type="dxa"/>
              <w:bottom w:w="43" w:type="dxa"/>
              <w:right w:w="43" w:type="dxa"/>
            </w:tcMar>
            <w:vAlign w:val="bottom"/>
          </w:tcPr>
          <w:p w14:paraId="7347980D" w14:textId="77777777" w:rsidR="000A2A2B" w:rsidRPr="007C3060" w:rsidRDefault="000A2A2B" w:rsidP="007C3060">
            <w:r w:rsidRPr="007C3060">
              <w:t>Utlån, aksjetegning mv.</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CA111C0" w14:textId="77777777" w:rsidR="000A2A2B" w:rsidRPr="007C3060" w:rsidRDefault="000A2A2B" w:rsidP="007C3060">
            <w:r w:rsidRPr="007C3060">
              <w:t>0</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A32C34C" w14:textId="77777777" w:rsidR="000A2A2B" w:rsidRPr="007C3060" w:rsidRDefault="000A2A2B" w:rsidP="007C3060">
            <w:r w:rsidRPr="007C3060">
              <w:t xml:space="preserve">0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87B1E91" w14:textId="77777777" w:rsidR="000A2A2B" w:rsidRPr="007C3060" w:rsidRDefault="000A2A2B" w:rsidP="007C3060">
            <w:r w:rsidRPr="007C3060">
              <w:t>0</w:t>
            </w:r>
          </w:p>
        </w:tc>
      </w:tr>
      <w:tr w:rsidR="004B729E" w:rsidRPr="007C3060" w14:paraId="311C8876" w14:textId="77777777">
        <w:trPr>
          <w:trHeight w:val="640"/>
        </w:trPr>
        <w:tc>
          <w:tcPr>
            <w:tcW w:w="340" w:type="dxa"/>
            <w:tcBorders>
              <w:top w:val="nil"/>
              <w:left w:val="nil"/>
              <w:bottom w:val="single" w:sz="4" w:space="0" w:color="000000"/>
              <w:right w:val="nil"/>
            </w:tcBorders>
            <w:tcMar>
              <w:top w:w="128" w:type="dxa"/>
              <w:left w:w="43" w:type="dxa"/>
              <w:bottom w:w="43" w:type="dxa"/>
              <w:right w:w="43" w:type="dxa"/>
            </w:tcMar>
          </w:tcPr>
          <w:p w14:paraId="347F5968" w14:textId="77777777" w:rsidR="000A2A2B" w:rsidRPr="007C3060" w:rsidRDefault="000A2A2B" w:rsidP="007C3060">
            <w:r w:rsidRPr="007C3060">
              <w:t>=</w:t>
            </w:r>
          </w:p>
        </w:tc>
        <w:tc>
          <w:tcPr>
            <w:tcW w:w="5620" w:type="dxa"/>
            <w:gridSpan w:val="2"/>
            <w:tcBorders>
              <w:top w:val="nil"/>
              <w:left w:val="nil"/>
              <w:bottom w:val="single" w:sz="4" w:space="0" w:color="000000"/>
              <w:right w:val="nil"/>
            </w:tcBorders>
            <w:tcMar>
              <w:top w:w="128" w:type="dxa"/>
              <w:left w:w="43" w:type="dxa"/>
              <w:bottom w:w="43" w:type="dxa"/>
              <w:right w:w="43" w:type="dxa"/>
            </w:tcMar>
          </w:tcPr>
          <w:p w14:paraId="1495C539" w14:textId="77777777" w:rsidR="000A2A2B" w:rsidRPr="007C3060" w:rsidRDefault="000A2A2B" w:rsidP="007C3060">
            <w:r w:rsidRPr="007C3060">
              <w:t>Netto finanstransaksjoner knyttet til petroleums--virksomheten, overføres til Statens pensjonsfond utland</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50BBD866" w14:textId="77777777" w:rsidR="000A2A2B" w:rsidRPr="007C3060" w:rsidRDefault="000A2A2B" w:rsidP="007C3060">
            <w:r w:rsidRPr="007C3060">
              <w:t xml:space="preserve">42 801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51699FD7" w14:textId="77777777" w:rsidR="000A2A2B" w:rsidRPr="007C3060" w:rsidRDefault="000A2A2B" w:rsidP="007C3060">
            <w:r w:rsidRPr="007C3060">
              <w:t>0</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C25CC54" w14:textId="77777777" w:rsidR="000A2A2B" w:rsidRPr="007C3060" w:rsidRDefault="000A2A2B" w:rsidP="007C3060">
            <w:r w:rsidRPr="007C3060">
              <w:t>0</w:t>
            </w:r>
          </w:p>
        </w:tc>
      </w:tr>
    </w:tbl>
    <w:p w14:paraId="11756D03" w14:textId="77777777" w:rsidR="000A2A2B" w:rsidRPr="007C3060" w:rsidRDefault="000A2A2B" w:rsidP="007C3060">
      <w:pPr>
        <w:pStyle w:val="tabell-noter"/>
        <w:rPr>
          <w:rStyle w:val="skrift-hevet"/>
        </w:rPr>
      </w:pPr>
      <w:r w:rsidRPr="007C3060">
        <w:rPr>
          <w:rStyle w:val="skrift-hevet"/>
        </w:rPr>
        <w:t>1</w:t>
      </w:r>
      <w:r w:rsidRPr="007C3060">
        <w:tab/>
        <w:t>Medregnet tilbakeføring fra statens kontantbeholdning til Statens pensjonsfond utland i 2025.</w:t>
      </w:r>
    </w:p>
    <w:p w14:paraId="60E3C6D5" w14:textId="77777777" w:rsidR="000A2A2B" w:rsidRPr="007C3060" w:rsidRDefault="000A2A2B" w:rsidP="007C3060">
      <w:pPr>
        <w:pStyle w:val="Kilde"/>
      </w:pPr>
      <w:r w:rsidRPr="007C3060">
        <w:t>Kilde: Finansdepartementet</w:t>
      </w:r>
    </w:p>
    <w:p w14:paraId="1D4FC2CE" w14:textId="77777777" w:rsidR="000A2A2B" w:rsidRPr="007C3060" w:rsidRDefault="000A2A2B" w:rsidP="007C3060">
      <w:r w:rsidRPr="007C3060">
        <w:t>Statsbudsjettets brutto finansieringsbehov for 2025 anslås nå til 142,7 mrd. kroner. Det er en reduksjon på 33,7 mrd. kroner sammenlignet med saldert budsjett. Dette skyldes i hovedsak tilbakebetalinger på 51 mrd. kroner som følge av avvikling av Statens obligasjonsfond. Fondet ble opprettet i mars 2020 for å bidra til likviditet og kapitaltilgang i det norske obligasjonsmarkedet under pandemien. I motsatt retning trekker overføring av 14,7 mrd. kroner til Statens pensjonsfond utland, jf. omtale under kap. 2800, post 96.</w:t>
      </w:r>
    </w:p>
    <w:p w14:paraId="17F1221E" w14:textId="77777777" w:rsidR="000A2A2B" w:rsidRPr="007C3060" w:rsidRDefault="000A2A2B" w:rsidP="007C3060">
      <w:r w:rsidRPr="007C3060">
        <w:t xml:space="preserve">Det vil også i 2025 være inntekter fra salg av aksjer i </w:t>
      </w:r>
      <w:proofErr w:type="spellStart"/>
      <w:r w:rsidRPr="007C3060">
        <w:t>Equinor</w:t>
      </w:r>
      <w:proofErr w:type="spellEnd"/>
      <w:r w:rsidRPr="007C3060">
        <w:t xml:space="preserve"> ASA knyttet til gjennomføringen av </w:t>
      </w:r>
      <w:proofErr w:type="spellStart"/>
      <w:r w:rsidRPr="007C3060">
        <w:t>Equinors</w:t>
      </w:r>
      <w:proofErr w:type="spellEnd"/>
      <w:r w:rsidRPr="007C3060">
        <w:t xml:space="preserve"> varslede tilbakekjøpsprogram for egne aksjer. Dette vil bli budsjettert i forbindelse med nysalderingen av 2025 budsjettet.</w:t>
      </w:r>
    </w:p>
    <w:p w14:paraId="18B6A51A" w14:textId="77777777" w:rsidR="000A2A2B" w:rsidRPr="007C3060" w:rsidRDefault="000A2A2B" w:rsidP="007C3060">
      <w:r w:rsidRPr="007C3060">
        <w:t>Statens faktiske lånebehov og forslag om lånefullmakter kan avvike fra finansieringsbehovet i tabell 1.3. 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renter og overføringer fra Norges Bank.</w:t>
      </w:r>
    </w:p>
    <w:p w14:paraId="31E8A5DF" w14:textId="77777777" w:rsidR="000A2A2B" w:rsidRDefault="000A2A2B" w:rsidP="007C3060">
      <w:pPr>
        <w:pStyle w:val="Overskrift2"/>
      </w:pPr>
      <w:r w:rsidRPr="007C3060">
        <w:t>Anmodningsvedtak</w:t>
      </w:r>
    </w:p>
    <w:p w14:paraId="1A2CEDB9" w14:textId="05C46D23" w:rsidR="00AC1986" w:rsidRPr="00AC1986" w:rsidRDefault="00AC1986" w:rsidP="00530C99">
      <w:pPr>
        <w:pStyle w:val="tabell-tittel"/>
      </w:pPr>
      <w:r w:rsidRPr="007C3060">
        <w:t>Oversikt over omtale av anmodningsvedtak</w:t>
      </w:r>
    </w:p>
    <w:p w14:paraId="4530242B" w14:textId="77777777" w:rsidR="000A2A2B" w:rsidRPr="007C3060" w:rsidRDefault="000A2A2B" w:rsidP="007C3060">
      <w:pPr>
        <w:pStyle w:val="Tabellnavn"/>
      </w:pPr>
      <w:r w:rsidRPr="007C3060">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220"/>
        <w:gridCol w:w="1040"/>
        <w:gridCol w:w="6180"/>
        <w:gridCol w:w="1100"/>
      </w:tblGrid>
      <w:tr w:rsidR="004B729E" w:rsidRPr="007C3060" w14:paraId="0C15342E" w14:textId="77777777">
        <w:trPr>
          <w:trHeight w:val="360"/>
        </w:trPr>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84A901" w14:textId="77777777" w:rsidR="000A2A2B" w:rsidRPr="007C3060" w:rsidRDefault="000A2A2B" w:rsidP="007C3060">
            <w:r w:rsidRPr="007C3060">
              <w:t>Sesjon</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547097" w14:textId="77777777" w:rsidR="000A2A2B" w:rsidRPr="007C3060" w:rsidRDefault="000A2A2B" w:rsidP="007C3060">
            <w:r w:rsidRPr="007C3060">
              <w:t>Vedtak nr.</w:t>
            </w:r>
          </w:p>
        </w:tc>
        <w:tc>
          <w:tcPr>
            <w:tcW w:w="6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7039E9" w14:textId="77777777" w:rsidR="000A2A2B" w:rsidRPr="007C3060" w:rsidRDefault="000A2A2B" w:rsidP="007C3060">
            <w:r w:rsidRPr="007C3060">
              <w:t>Stikkord</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6A463B" w14:textId="77777777" w:rsidR="000A2A2B" w:rsidRPr="007C3060" w:rsidRDefault="000A2A2B" w:rsidP="007C3060">
            <w:r w:rsidRPr="007C3060">
              <w:t>Omtalt side</w:t>
            </w:r>
          </w:p>
        </w:tc>
      </w:tr>
      <w:tr w:rsidR="004B729E" w:rsidRPr="007C3060" w14:paraId="7EE83BB4" w14:textId="77777777">
        <w:trPr>
          <w:trHeight w:val="380"/>
        </w:trPr>
        <w:tc>
          <w:tcPr>
            <w:tcW w:w="1220" w:type="dxa"/>
            <w:tcBorders>
              <w:top w:val="single" w:sz="4" w:space="0" w:color="000000"/>
              <w:left w:val="nil"/>
              <w:bottom w:val="nil"/>
              <w:right w:val="nil"/>
            </w:tcBorders>
            <w:tcMar>
              <w:top w:w="128" w:type="dxa"/>
              <w:left w:w="43" w:type="dxa"/>
              <w:bottom w:w="43" w:type="dxa"/>
              <w:right w:w="43" w:type="dxa"/>
            </w:tcMar>
          </w:tcPr>
          <w:p w14:paraId="247F8E06" w14:textId="77777777" w:rsidR="000A2A2B" w:rsidRPr="007C3060" w:rsidRDefault="000A2A2B" w:rsidP="007C3060">
            <w:r w:rsidRPr="007C3060">
              <w:t>2024–2025</w:t>
            </w:r>
          </w:p>
        </w:tc>
        <w:tc>
          <w:tcPr>
            <w:tcW w:w="1040" w:type="dxa"/>
            <w:tcBorders>
              <w:top w:val="single" w:sz="4" w:space="0" w:color="000000"/>
              <w:left w:val="nil"/>
              <w:bottom w:val="nil"/>
              <w:right w:val="nil"/>
            </w:tcBorders>
            <w:tcMar>
              <w:top w:w="128" w:type="dxa"/>
              <w:left w:w="43" w:type="dxa"/>
              <w:bottom w:w="43" w:type="dxa"/>
              <w:right w:w="323" w:type="dxa"/>
            </w:tcMar>
            <w:vAlign w:val="bottom"/>
          </w:tcPr>
          <w:p w14:paraId="4C783054" w14:textId="77777777" w:rsidR="000A2A2B" w:rsidRPr="007C3060" w:rsidRDefault="000A2A2B" w:rsidP="007C3060">
            <w:r w:rsidRPr="007C3060">
              <w:t>481</w:t>
            </w:r>
          </w:p>
        </w:tc>
        <w:tc>
          <w:tcPr>
            <w:tcW w:w="6180" w:type="dxa"/>
            <w:tcBorders>
              <w:top w:val="single" w:sz="4" w:space="0" w:color="000000"/>
              <w:left w:val="nil"/>
              <w:bottom w:val="nil"/>
              <w:right w:val="nil"/>
            </w:tcBorders>
            <w:tcMar>
              <w:top w:w="128" w:type="dxa"/>
              <w:left w:w="43" w:type="dxa"/>
              <w:bottom w:w="43" w:type="dxa"/>
              <w:right w:w="43" w:type="dxa"/>
            </w:tcMar>
            <w:vAlign w:val="bottom"/>
          </w:tcPr>
          <w:p w14:paraId="39E2F08A" w14:textId="77777777" w:rsidR="000A2A2B" w:rsidRPr="007C3060" w:rsidRDefault="000A2A2B" w:rsidP="007C3060">
            <w:r w:rsidRPr="007C3060">
              <w:t>Økt satsingen på tegnspråklige læremidler</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5232B8CC" w14:textId="77777777" w:rsidR="000A2A2B" w:rsidRPr="007C3060" w:rsidRDefault="000A2A2B" w:rsidP="007C3060">
            <w:r w:rsidRPr="007C3060">
              <w:t>27</w:t>
            </w:r>
          </w:p>
        </w:tc>
      </w:tr>
      <w:tr w:rsidR="004B729E" w:rsidRPr="007C3060" w14:paraId="32829143" w14:textId="77777777">
        <w:trPr>
          <w:trHeight w:val="380"/>
        </w:trPr>
        <w:tc>
          <w:tcPr>
            <w:tcW w:w="1220" w:type="dxa"/>
            <w:tcBorders>
              <w:top w:val="nil"/>
              <w:left w:val="nil"/>
              <w:bottom w:val="nil"/>
              <w:right w:val="nil"/>
            </w:tcBorders>
            <w:tcMar>
              <w:top w:w="128" w:type="dxa"/>
              <w:left w:w="43" w:type="dxa"/>
              <w:bottom w:w="43" w:type="dxa"/>
              <w:right w:w="43" w:type="dxa"/>
            </w:tcMar>
          </w:tcPr>
          <w:p w14:paraId="2E47612D" w14:textId="77777777" w:rsidR="000A2A2B" w:rsidRPr="007C3060" w:rsidRDefault="000A2A2B" w:rsidP="007C3060">
            <w:r w:rsidRPr="007C3060">
              <w:lastRenderedPageBreak/>
              <w:t>2023–2024</w:t>
            </w:r>
          </w:p>
        </w:tc>
        <w:tc>
          <w:tcPr>
            <w:tcW w:w="1040" w:type="dxa"/>
            <w:tcBorders>
              <w:top w:val="nil"/>
              <w:left w:val="nil"/>
              <w:bottom w:val="nil"/>
              <w:right w:val="nil"/>
            </w:tcBorders>
            <w:tcMar>
              <w:top w:w="128" w:type="dxa"/>
              <w:left w:w="43" w:type="dxa"/>
              <w:bottom w:w="43" w:type="dxa"/>
              <w:right w:w="323" w:type="dxa"/>
            </w:tcMar>
            <w:vAlign w:val="bottom"/>
          </w:tcPr>
          <w:p w14:paraId="0367CDB3" w14:textId="77777777" w:rsidR="000A2A2B" w:rsidRPr="007C3060" w:rsidRDefault="000A2A2B" w:rsidP="007C3060">
            <w:r w:rsidRPr="007C3060">
              <w:t>84</w:t>
            </w:r>
          </w:p>
        </w:tc>
        <w:tc>
          <w:tcPr>
            <w:tcW w:w="6180" w:type="dxa"/>
            <w:tcBorders>
              <w:top w:val="nil"/>
              <w:left w:val="nil"/>
              <w:bottom w:val="nil"/>
              <w:right w:val="nil"/>
            </w:tcBorders>
            <w:tcMar>
              <w:top w:w="128" w:type="dxa"/>
              <w:left w:w="43" w:type="dxa"/>
              <w:bottom w:w="43" w:type="dxa"/>
              <w:right w:w="43" w:type="dxa"/>
            </w:tcMar>
            <w:vAlign w:val="bottom"/>
          </w:tcPr>
          <w:p w14:paraId="404AF10B" w14:textId="77777777" w:rsidR="000A2A2B" w:rsidRPr="007C3060" w:rsidRDefault="000A2A2B" w:rsidP="007C3060">
            <w:r w:rsidRPr="007C3060">
              <w:t>Innsyn i hvem som eier forvalterregistrerte aksjer</w:t>
            </w:r>
          </w:p>
        </w:tc>
        <w:tc>
          <w:tcPr>
            <w:tcW w:w="1100" w:type="dxa"/>
            <w:tcBorders>
              <w:top w:val="nil"/>
              <w:left w:val="nil"/>
              <w:bottom w:val="nil"/>
              <w:right w:val="nil"/>
            </w:tcBorders>
            <w:tcMar>
              <w:top w:w="128" w:type="dxa"/>
              <w:left w:w="43" w:type="dxa"/>
              <w:bottom w:w="43" w:type="dxa"/>
              <w:right w:w="43" w:type="dxa"/>
            </w:tcMar>
            <w:vAlign w:val="bottom"/>
          </w:tcPr>
          <w:p w14:paraId="160E027F" w14:textId="77777777" w:rsidR="000A2A2B" w:rsidRPr="007C3060" w:rsidRDefault="000A2A2B" w:rsidP="007C3060">
            <w:r w:rsidRPr="007C3060">
              <w:t>92</w:t>
            </w:r>
          </w:p>
        </w:tc>
      </w:tr>
      <w:tr w:rsidR="004B729E" w:rsidRPr="007C3060" w14:paraId="179E93D5" w14:textId="77777777">
        <w:trPr>
          <w:trHeight w:val="640"/>
        </w:trPr>
        <w:tc>
          <w:tcPr>
            <w:tcW w:w="1220" w:type="dxa"/>
            <w:tcBorders>
              <w:top w:val="nil"/>
              <w:left w:val="nil"/>
              <w:bottom w:val="nil"/>
              <w:right w:val="nil"/>
            </w:tcBorders>
            <w:tcMar>
              <w:top w:w="128" w:type="dxa"/>
              <w:left w:w="43" w:type="dxa"/>
              <w:bottom w:w="43" w:type="dxa"/>
              <w:right w:w="43" w:type="dxa"/>
            </w:tcMar>
          </w:tcPr>
          <w:p w14:paraId="560B89FC" w14:textId="77777777" w:rsidR="000A2A2B" w:rsidRPr="007C3060" w:rsidRDefault="000A2A2B" w:rsidP="007C3060">
            <w:r w:rsidRPr="007C3060">
              <w:t>2023–2024</w:t>
            </w:r>
          </w:p>
        </w:tc>
        <w:tc>
          <w:tcPr>
            <w:tcW w:w="1040" w:type="dxa"/>
            <w:tcBorders>
              <w:top w:val="nil"/>
              <w:left w:val="nil"/>
              <w:bottom w:val="nil"/>
              <w:right w:val="nil"/>
            </w:tcBorders>
            <w:tcMar>
              <w:top w:w="128" w:type="dxa"/>
              <w:left w:w="43" w:type="dxa"/>
              <w:bottom w:w="43" w:type="dxa"/>
              <w:right w:w="323" w:type="dxa"/>
            </w:tcMar>
          </w:tcPr>
          <w:p w14:paraId="13B96FCD" w14:textId="77777777" w:rsidR="000A2A2B" w:rsidRPr="007C3060" w:rsidRDefault="000A2A2B" w:rsidP="007C3060">
            <w:r w:rsidRPr="007C3060">
              <w:t>85</w:t>
            </w:r>
          </w:p>
        </w:tc>
        <w:tc>
          <w:tcPr>
            <w:tcW w:w="6180" w:type="dxa"/>
            <w:tcBorders>
              <w:top w:val="nil"/>
              <w:left w:val="nil"/>
              <w:bottom w:val="nil"/>
              <w:right w:val="nil"/>
            </w:tcBorders>
            <w:tcMar>
              <w:top w:w="128" w:type="dxa"/>
              <w:left w:w="43" w:type="dxa"/>
              <w:bottom w:w="43" w:type="dxa"/>
              <w:right w:w="43" w:type="dxa"/>
            </w:tcMar>
          </w:tcPr>
          <w:p w14:paraId="4C02CA7D" w14:textId="613725A4" w:rsidR="000A2A2B" w:rsidRPr="007C3060" w:rsidRDefault="000A2A2B" w:rsidP="007C3060">
            <w:r w:rsidRPr="007C3060">
              <w:t xml:space="preserve">Innsyn i eierskap i norske aksjeselskaper og </w:t>
            </w:r>
            <w:proofErr w:type="spellStart"/>
            <w:r w:rsidRPr="007C3060">
              <w:t>allmennaksjeselskaper</w:t>
            </w:r>
            <w:proofErr w:type="spellEnd"/>
          </w:p>
        </w:tc>
        <w:tc>
          <w:tcPr>
            <w:tcW w:w="1100" w:type="dxa"/>
            <w:tcBorders>
              <w:top w:val="nil"/>
              <w:left w:val="nil"/>
              <w:bottom w:val="nil"/>
              <w:right w:val="nil"/>
            </w:tcBorders>
            <w:tcMar>
              <w:top w:w="128" w:type="dxa"/>
              <w:left w:w="43" w:type="dxa"/>
              <w:bottom w:w="43" w:type="dxa"/>
              <w:right w:w="43" w:type="dxa"/>
            </w:tcMar>
          </w:tcPr>
          <w:p w14:paraId="221EEE09" w14:textId="77777777" w:rsidR="000A2A2B" w:rsidRPr="007C3060" w:rsidRDefault="000A2A2B" w:rsidP="007C3060">
            <w:r w:rsidRPr="007C3060">
              <w:t>92</w:t>
            </w:r>
          </w:p>
        </w:tc>
      </w:tr>
      <w:tr w:rsidR="004B729E" w:rsidRPr="007C3060" w14:paraId="7B04DA7E" w14:textId="77777777">
        <w:trPr>
          <w:trHeight w:val="640"/>
        </w:trPr>
        <w:tc>
          <w:tcPr>
            <w:tcW w:w="1220" w:type="dxa"/>
            <w:tcBorders>
              <w:top w:val="nil"/>
              <w:left w:val="nil"/>
              <w:bottom w:val="nil"/>
              <w:right w:val="nil"/>
            </w:tcBorders>
            <w:tcMar>
              <w:top w:w="128" w:type="dxa"/>
              <w:left w:w="43" w:type="dxa"/>
              <w:bottom w:w="43" w:type="dxa"/>
              <w:right w:w="43" w:type="dxa"/>
            </w:tcMar>
          </w:tcPr>
          <w:p w14:paraId="399A0D93" w14:textId="77777777" w:rsidR="000A2A2B" w:rsidRPr="007C3060" w:rsidRDefault="000A2A2B" w:rsidP="007C3060">
            <w:r w:rsidRPr="007C3060">
              <w:t>2024–2025</w:t>
            </w:r>
          </w:p>
        </w:tc>
        <w:tc>
          <w:tcPr>
            <w:tcW w:w="1040" w:type="dxa"/>
            <w:tcBorders>
              <w:top w:val="nil"/>
              <w:left w:val="nil"/>
              <w:bottom w:val="nil"/>
              <w:right w:val="nil"/>
            </w:tcBorders>
            <w:tcMar>
              <w:top w:w="128" w:type="dxa"/>
              <w:left w:w="43" w:type="dxa"/>
              <w:bottom w:w="43" w:type="dxa"/>
              <w:right w:w="323" w:type="dxa"/>
            </w:tcMar>
          </w:tcPr>
          <w:p w14:paraId="660786E8" w14:textId="77777777" w:rsidR="000A2A2B" w:rsidRPr="007C3060" w:rsidRDefault="000A2A2B" w:rsidP="007C3060">
            <w:r w:rsidRPr="007C3060">
              <w:t>35</w:t>
            </w:r>
          </w:p>
        </w:tc>
        <w:tc>
          <w:tcPr>
            <w:tcW w:w="6180" w:type="dxa"/>
            <w:tcBorders>
              <w:top w:val="nil"/>
              <w:left w:val="nil"/>
              <w:bottom w:val="nil"/>
              <w:right w:val="nil"/>
            </w:tcBorders>
            <w:tcMar>
              <w:top w:w="128" w:type="dxa"/>
              <w:left w:w="43" w:type="dxa"/>
              <w:bottom w:w="43" w:type="dxa"/>
              <w:right w:w="43" w:type="dxa"/>
            </w:tcMar>
          </w:tcPr>
          <w:p w14:paraId="49CF6F90" w14:textId="77777777" w:rsidR="000A2A2B" w:rsidRPr="007C3060" w:rsidRDefault="000A2A2B" w:rsidP="007C3060">
            <w:r w:rsidRPr="007C3060">
              <w:t>Infrastruktur på land for etablerte elektriske ferjer eller andre maritime fartøy</w:t>
            </w:r>
          </w:p>
        </w:tc>
        <w:tc>
          <w:tcPr>
            <w:tcW w:w="1100" w:type="dxa"/>
            <w:tcBorders>
              <w:top w:val="nil"/>
              <w:left w:val="nil"/>
              <w:bottom w:val="nil"/>
              <w:right w:val="nil"/>
            </w:tcBorders>
            <w:tcMar>
              <w:top w:w="128" w:type="dxa"/>
              <w:left w:w="43" w:type="dxa"/>
              <w:bottom w:w="43" w:type="dxa"/>
              <w:right w:w="43" w:type="dxa"/>
            </w:tcMar>
          </w:tcPr>
          <w:p w14:paraId="35F7B5C3" w14:textId="77777777" w:rsidR="000A2A2B" w:rsidRPr="007C3060" w:rsidRDefault="000A2A2B" w:rsidP="007C3060">
            <w:r w:rsidRPr="007C3060">
              <w:t>100</w:t>
            </w:r>
          </w:p>
        </w:tc>
      </w:tr>
      <w:tr w:rsidR="004B729E" w:rsidRPr="007C3060" w14:paraId="1A31CDC8" w14:textId="77777777">
        <w:trPr>
          <w:trHeight w:val="380"/>
        </w:trPr>
        <w:tc>
          <w:tcPr>
            <w:tcW w:w="1220" w:type="dxa"/>
            <w:tcBorders>
              <w:top w:val="nil"/>
              <w:left w:val="nil"/>
              <w:bottom w:val="nil"/>
              <w:right w:val="nil"/>
            </w:tcBorders>
            <w:tcMar>
              <w:top w:w="128" w:type="dxa"/>
              <w:left w:w="43" w:type="dxa"/>
              <w:bottom w:w="43" w:type="dxa"/>
              <w:right w:w="43" w:type="dxa"/>
            </w:tcMar>
          </w:tcPr>
          <w:p w14:paraId="043F201E" w14:textId="77777777" w:rsidR="000A2A2B" w:rsidRPr="007C3060" w:rsidRDefault="000A2A2B" w:rsidP="007C3060">
            <w:r w:rsidRPr="007C3060">
              <w:t>2024–2025</w:t>
            </w:r>
          </w:p>
        </w:tc>
        <w:tc>
          <w:tcPr>
            <w:tcW w:w="1040" w:type="dxa"/>
            <w:tcBorders>
              <w:top w:val="nil"/>
              <w:left w:val="nil"/>
              <w:bottom w:val="nil"/>
              <w:right w:val="nil"/>
            </w:tcBorders>
            <w:tcMar>
              <w:top w:w="128" w:type="dxa"/>
              <w:left w:w="43" w:type="dxa"/>
              <w:bottom w:w="43" w:type="dxa"/>
              <w:right w:w="323" w:type="dxa"/>
            </w:tcMar>
            <w:vAlign w:val="bottom"/>
          </w:tcPr>
          <w:p w14:paraId="04BFDA9F" w14:textId="77777777" w:rsidR="000A2A2B" w:rsidRPr="007C3060" w:rsidRDefault="000A2A2B" w:rsidP="007C3060">
            <w:r w:rsidRPr="007C3060">
              <w:t>36</w:t>
            </w:r>
          </w:p>
        </w:tc>
        <w:tc>
          <w:tcPr>
            <w:tcW w:w="6180" w:type="dxa"/>
            <w:tcBorders>
              <w:top w:val="nil"/>
              <w:left w:val="nil"/>
              <w:bottom w:val="nil"/>
              <w:right w:val="nil"/>
            </w:tcBorders>
            <w:tcMar>
              <w:top w:w="128" w:type="dxa"/>
              <w:left w:w="43" w:type="dxa"/>
              <w:bottom w:w="43" w:type="dxa"/>
              <w:right w:w="43" w:type="dxa"/>
            </w:tcMar>
            <w:vAlign w:val="bottom"/>
          </w:tcPr>
          <w:p w14:paraId="4F32B052" w14:textId="77777777" w:rsidR="000A2A2B" w:rsidRPr="007C3060" w:rsidRDefault="000A2A2B" w:rsidP="007C3060">
            <w:r w:rsidRPr="007C3060">
              <w:t>El-infrastruktur for kommersielle ferjer og hurtigbåter</w:t>
            </w:r>
          </w:p>
        </w:tc>
        <w:tc>
          <w:tcPr>
            <w:tcW w:w="1100" w:type="dxa"/>
            <w:tcBorders>
              <w:top w:val="nil"/>
              <w:left w:val="nil"/>
              <w:bottom w:val="nil"/>
              <w:right w:val="nil"/>
            </w:tcBorders>
            <w:tcMar>
              <w:top w:w="128" w:type="dxa"/>
              <w:left w:w="43" w:type="dxa"/>
              <w:bottom w:w="43" w:type="dxa"/>
              <w:right w:w="43" w:type="dxa"/>
            </w:tcMar>
            <w:vAlign w:val="bottom"/>
          </w:tcPr>
          <w:p w14:paraId="66A31A38" w14:textId="77777777" w:rsidR="000A2A2B" w:rsidRPr="007C3060" w:rsidRDefault="000A2A2B" w:rsidP="007C3060">
            <w:r w:rsidRPr="007C3060">
              <w:t>100</w:t>
            </w:r>
          </w:p>
        </w:tc>
      </w:tr>
      <w:tr w:rsidR="004B729E" w:rsidRPr="007C3060" w14:paraId="7F79D08F" w14:textId="77777777">
        <w:trPr>
          <w:trHeight w:val="380"/>
        </w:trPr>
        <w:tc>
          <w:tcPr>
            <w:tcW w:w="1220" w:type="dxa"/>
            <w:tcBorders>
              <w:top w:val="nil"/>
              <w:left w:val="nil"/>
              <w:bottom w:val="nil"/>
              <w:right w:val="nil"/>
            </w:tcBorders>
            <w:tcMar>
              <w:top w:w="128" w:type="dxa"/>
              <w:left w:w="43" w:type="dxa"/>
              <w:bottom w:w="43" w:type="dxa"/>
              <w:right w:w="43" w:type="dxa"/>
            </w:tcMar>
          </w:tcPr>
          <w:p w14:paraId="03B039AB" w14:textId="77777777" w:rsidR="000A2A2B" w:rsidRPr="007C3060" w:rsidRDefault="000A2A2B" w:rsidP="007C3060">
            <w:r w:rsidRPr="007C3060">
              <w:t>2023–2024</w:t>
            </w:r>
          </w:p>
        </w:tc>
        <w:tc>
          <w:tcPr>
            <w:tcW w:w="1040" w:type="dxa"/>
            <w:tcBorders>
              <w:top w:val="nil"/>
              <w:left w:val="nil"/>
              <w:bottom w:val="nil"/>
              <w:right w:val="nil"/>
            </w:tcBorders>
            <w:tcMar>
              <w:top w:w="128" w:type="dxa"/>
              <w:left w:w="43" w:type="dxa"/>
              <w:bottom w:w="43" w:type="dxa"/>
              <w:right w:w="323" w:type="dxa"/>
            </w:tcMar>
            <w:vAlign w:val="bottom"/>
          </w:tcPr>
          <w:p w14:paraId="1AA0F797" w14:textId="77777777" w:rsidR="000A2A2B" w:rsidRPr="007C3060" w:rsidRDefault="000A2A2B" w:rsidP="007C3060">
            <w:r w:rsidRPr="007C3060">
              <w:t>918</w:t>
            </w:r>
          </w:p>
        </w:tc>
        <w:tc>
          <w:tcPr>
            <w:tcW w:w="6180" w:type="dxa"/>
            <w:tcBorders>
              <w:top w:val="nil"/>
              <w:left w:val="nil"/>
              <w:bottom w:val="nil"/>
              <w:right w:val="nil"/>
            </w:tcBorders>
            <w:tcMar>
              <w:top w:w="128" w:type="dxa"/>
              <w:left w:w="43" w:type="dxa"/>
              <w:bottom w:w="43" w:type="dxa"/>
              <w:right w:w="43" w:type="dxa"/>
            </w:tcMar>
            <w:vAlign w:val="bottom"/>
          </w:tcPr>
          <w:p w14:paraId="2C47249D" w14:textId="77777777" w:rsidR="000A2A2B" w:rsidRPr="007C3060" w:rsidRDefault="000A2A2B" w:rsidP="007C3060">
            <w:r w:rsidRPr="007C3060">
              <w:t>Tilskuddsordning for langdistansebusser</w:t>
            </w:r>
          </w:p>
        </w:tc>
        <w:tc>
          <w:tcPr>
            <w:tcW w:w="1100" w:type="dxa"/>
            <w:tcBorders>
              <w:top w:val="nil"/>
              <w:left w:val="nil"/>
              <w:bottom w:val="nil"/>
              <w:right w:val="nil"/>
            </w:tcBorders>
            <w:tcMar>
              <w:top w:w="128" w:type="dxa"/>
              <w:left w:w="43" w:type="dxa"/>
              <w:bottom w:w="43" w:type="dxa"/>
              <w:right w:w="43" w:type="dxa"/>
            </w:tcMar>
            <w:vAlign w:val="bottom"/>
          </w:tcPr>
          <w:p w14:paraId="40545CD3" w14:textId="77777777" w:rsidR="000A2A2B" w:rsidRPr="007C3060" w:rsidRDefault="000A2A2B" w:rsidP="007C3060">
            <w:r w:rsidRPr="007C3060">
              <w:t>101</w:t>
            </w:r>
          </w:p>
        </w:tc>
      </w:tr>
      <w:tr w:rsidR="004B729E" w:rsidRPr="007C3060" w14:paraId="64A9EA6E" w14:textId="77777777">
        <w:trPr>
          <w:trHeight w:val="640"/>
        </w:trPr>
        <w:tc>
          <w:tcPr>
            <w:tcW w:w="1220" w:type="dxa"/>
            <w:tcBorders>
              <w:top w:val="nil"/>
              <w:left w:val="nil"/>
              <w:bottom w:val="single" w:sz="4" w:space="0" w:color="000000"/>
              <w:right w:val="nil"/>
            </w:tcBorders>
            <w:tcMar>
              <w:top w:w="128" w:type="dxa"/>
              <w:left w:w="43" w:type="dxa"/>
              <w:bottom w:w="43" w:type="dxa"/>
              <w:right w:w="43" w:type="dxa"/>
            </w:tcMar>
          </w:tcPr>
          <w:p w14:paraId="7F42E9D8" w14:textId="77777777" w:rsidR="000A2A2B" w:rsidRPr="007C3060" w:rsidRDefault="000A2A2B" w:rsidP="007C3060">
            <w:r w:rsidRPr="007C3060">
              <w:t>2023–2024</w:t>
            </w:r>
          </w:p>
        </w:tc>
        <w:tc>
          <w:tcPr>
            <w:tcW w:w="1040" w:type="dxa"/>
            <w:tcBorders>
              <w:top w:val="nil"/>
              <w:left w:val="nil"/>
              <w:bottom w:val="single" w:sz="4" w:space="0" w:color="000000"/>
              <w:right w:val="nil"/>
            </w:tcBorders>
            <w:tcMar>
              <w:top w:w="128" w:type="dxa"/>
              <w:left w:w="43" w:type="dxa"/>
              <w:bottom w:w="43" w:type="dxa"/>
              <w:right w:w="323" w:type="dxa"/>
            </w:tcMar>
          </w:tcPr>
          <w:p w14:paraId="4511F2E3" w14:textId="77777777" w:rsidR="000A2A2B" w:rsidRPr="007C3060" w:rsidRDefault="000A2A2B" w:rsidP="007C3060">
            <w:r w:rsidRPr="007C3060">
              <w:t>625</w:t>
            </w:r>
          </w:p>
        </w:tc>
        <w:tc>
          <w:tcPr>
            <w:tcW w:w="6180" w:type="dxa"/>
            <w:tcBorders>
              <w:top w:val="nil"/>
              <w:left w:val="nil"/>
              <w:bottom w:val="single" w:sz="4" w:space="0" w:color="000000"/>
              <w:right w:val="nil"/>
            </w:tcBorders>
            <w:tcMar>
              <w:top w:w="128" w:type="dxa"/>
              <w:left w:w="43" w:type="dxa"/>
              <w:bottom w:w="43" w:type="dxa"/>
              <w:right w:w="43" w:type="dxa"/>
            </w:tcMar>
            <w:vAlign w:val="bottom"/>
          </w:tcPr>
          <w:p w14:paraId="5C9FCC33" w14:textId="06DB2225" w:rsidR="000A2A2B" w:rsidRPr="007C3060" w:rsidRDefault="000A2A2B" w:rsidP="007C3060">
            <w:r w:rsidRPr="007C3060">
              <w:t>Inkludere flere med funksjonshindre og hull i CV-en i arbeidslivet i staten</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969A348" w14:textId="77777777" w:rsidR="000A2A2B" w:rsidRPr="007C3060" w:rsidRDefault="000A2A2B" w:rsidP="007C3060">
            <w:r w:rsidRPr="007C3060">
              <w:t>112</w:t>
            </w:r>
          </w:p>
        </w:tc>
      </w:tr>
    </w:tbl>
    <w:p w14:paraId="61CCD76F" w14:textId="77777777" w:rsidR="000A2A2B" w:rsidRPr="007C3060" w:rsidRDefault="000A2A2B" w:rsidP="007C3060">
      <w:pPr>
        <w:pStyle w:val="Overskrift1"/>
      </w:pPr>
      <w:r w:rsidRPr="007C3060">
        <w:tab/>
        <w:t>Forslag under det enkelte departement</w:t>
      </w:r>
    </w:p>
    <w:p w14:paraId="0A71AE3F" w14:textId="77777777" w:rsidR="000A2A2B" w:rsidRPr="007C3060" w:rsidRDefault="000A2A2B" w:rsidP="007C3060">
      <w:pPr>
        <w:pStyle w:val="Overskrift2"/>
      </w:pPr>
      <w:r w:rsidRPr="007C3060">
        <w:t>Utenriksdepartementet</w:t>
      </w:r>
    </w:p>
    <w:p w14:paraId="46365019" w14:textId="77777777" w:rsidR="000A2A2B" w:rsidRPr="007C3060" w:rsidRDefault="000A2A2B" w:rsidP="007C3060">
      <w:pPr>
        <w:pStyle w:val="b-progomr"/>
      </w:pPr>
      <w:r w:rsidRPr="007C3060">
        <w:t>Programområde 02 Utenriksforvaltning</w:t>
      </w:r>
    </w:p>
    <w:p w14:paraId="2CABA52D" w14:textId="77777777" w:rsidR="000A2A2B" w:rsidRPr="007C3060" w:rsidRDefault="000A2A2B" w:rsidP="007C3060">
      <w:r w:rsidRPr="007C3060">
        <w:t>Under programområde 02</w:t>
      </w:r>
      <w:r w:rsidRPr="007C3060">
        <w:rPr>
          <w:rStyle w:val="kursiv"/>
        </w:rPr>
        <w:t xml:space="preserve"> Utenriksforvaltning</w:t>
      </w:r>
      <w:r w:rsidRPr="007C3060">
        <w:t xml:space="preserve"> foreslås det å øke bevilgningene med 549,4 mill. kroner samlet. Økningen har i hovedsak sammenheng med innføringen av en ny periode for EØS-finansieringsordningene samt endringer i pliktige bidrag.</w:t>
      </w:r>
    </w:p>
    <w:p w14:paraId="4FEC7DDF" w14:textId="77777777" w:rsidR="000A2A2B" w:rsidRPr="007C3060" w:rsidRDefault="000A2A2B" w:rsidP="007C3060">
      <w:pPr>
        <w:pStyle w:val="b-budkaptit"/>
      </w:pPr>
      <w:r w:rsidRPr="007C3060">
        <w:t>Kap. 100 Utenriksdepartementet</w:t>
      </w:r>
    </w:p>
    <w:p w14:paraId="3EA5BBA3" w14:textId="77777777" w:rsidR="000A2A2B" w:rsidRPr="007C3060" w:rsidRDefault="000A2A2B" w:rsidP="007C3060">
      <w:pPr>
        <w:pStyle w:val="b-post"/>
      </w:pPr>
      <w:r w:rsidRPr="007C3060">
        <w:t>Post 01 Driftsutgifter</w:t>
      </w:r>
    </w:p>
    <w:p w14:paraId="771C3E11" w14:textId="77777777" w:rsidR="000A2A2B" w:rsidRPr="007C3060" w:rsidRDefault="000A2A2B" w:rsidP="007C3060">
      <w:r w:rsidRPr="007C3060">
        <w:t xml:space="preserve">Bevilgningen på posten foreslås økt med 8,4 mill. kroner mot en tilsvarende reduksjon på kap. 159 </w:t>
      </w:r>
      <w:r w:rsidRPr="007C3060">
        <w:rPr>
          <w:rStyle w:val="kursiv"/>
        </w:rPr>
        <w:t>Regionbevilgninger</w:t>
      </w:r>
      <w:r w:rsidRPr="007C3060">
        <w:t xml:space="preserve">, post 73 </w:t>
      </w:r>
      <w:r w:rsidRPr="007C3060">
        <w:rPr>
          <w:rStyle w:val="kursiv"/>
        </w:rPr>
        <w:t>Ukraina og naboland.</w:t>
      </w:r>
      <w:r w:rsidRPr="007C3060">
        <w:t xml:space="preserve"> Stortinget har vedtatt å utvide Nansen-programmet for 2025 og det er behov for å styrke arbeidet med styring og oppfølging av midlene. Se nærmere omtale under kap. 159, post 73.</w:t>
      </w:r>
    </w:p>
    <w:p w14:paraId="11861AEC" w14:textId="77777777" w:rsidR="000A2A2B" w:rsidRPr="007C3060" w:rsidRDefault="000A2A2B" w:rsidP="007C3060">
      <w:pPr>
        <w:pStyle w:val="avsnitt-undertittel"/>
      </w:pPr>
      <w:r w:rsidRPr="007C3060">
        <w:t>Fullmakt til å inngå ny festeavtale mellom Norge og Folkerepublikken Kina for Norges ambassadeanlegg i Beijing</w:t>
      </w:r>
    </w:p>
    <w:p w14:paraId="60C3963D" w14:textId="77777777" w:rsidR="000A2A2B" w:rsidRPr="007C3060" w:rsidRDefault="000A2A2B" w:rsidP="007C3060">
      <w:r w:rsidRPr="007C3060">
        <w:t xml:space="preserve">Norge har siden 1967 hatt en vederlagsfri festeavtale på tomten til ambassadeanlegget i Beijing. Festeavtalen utløper i desember 2027. Kinesiske myndigheter har nå tilbudt Norge en ny festeavtale for anlegget. Det er viktig at avtalen signeres i 2025 for å sikre stabil og sikker tilstedeværelse i Kina, i et ambassadeanlegg som følger norske standarder. Eiendommer som brukes som utenriksstasjon er gjenstand for særskilt regulering under kinesisk rett. Den nye festeavtalen får virkning fra 1. desember 2027 for en periode på 70 år. Festeavgiften på tomten er </w:t>
      </w:r>
      <w:r w:rsidRPr="007C3060">
        <w:lastRenderedPageBreak/>
        <w:t xml:space="preserve">fastsatt til 248 mill. kinesiske </w:t>
      </w:r>
      <w:proofErr w:type="spellStart"/>
      <w:r w:rsidRPr="007C3060">
        <w:t>renminbi</w:t>
      </w:r>
      <w:proofErr w:type="spellEnd"/>
      <w:r w:rsidRPr="007C3060">
        <w:t xml:space="preserve"> (RMB), tilsvarende om lag 353 mill. kroner avhengig av valutakurs. Beløpet utbetales som et engangsbeløp i 2027.</w:t>
      </w:r>
    </w:p>
    <w:p w14:paraId="4A679F71" w14:textId="77777777" w:rsidR="000A2A2B" w:rsidRPr="007C3060" w:rsidRDefault="000A2A2B" w:rsidP="007C3060">
      <w:r w:rsidRPr="007C3060">
        <w:t xml:space="preserve">Regjeringen ber Stortinget om fullmakt til -inngåelse av ny festeavtale mellom Norge og Folke-republikken Kina for Norges ambassade-anlegg, jf. forslag til romertallsvedtak, under </w:t>
      </w:r>
      <w:r w:rsidRPr="007C3060">
        <w:rPr>
          <w:rStyle w:val="kursiv"/>
        </w:rPr>
        <w:t>Andre fullmakter</w:t>
      </w:r>
      <w:r w:rsidRPr="007C3060">
        <w:t>.</w:t>
      </w:r>
    </w:p>
    <w:p w14:paraId="045C8081" w14:textId="77777777" w:rsidR="000A2A2B" w:rsidRPr="007C3060" w:rsidRDefault="000A2A2B" w:rsidP="007C3060">
      <w:pPr>
        <w:pStyle w:val="b-post"/>
      </w:pPr>
      <w:r w:rsidRPr="007C3060">
        <w:t>Post 45 Større utstyrsanskaffelser og vedlikehold, kan overføres</w:t>
      </w:r>
    </w:p>
    <w:p w14:paraId="6BBA8F28" w14:textId="77777777" w:rsidR="000A2A2B" w:rsidRPr="007C3060" w:rsidRDefault="000A2A2B" w:rsidP="007C3060">
      <w:r w:rsidRPr="007C3060">
        <w:t>Bevilgningen på posten foreslås redusert med 50 mill. kroner. Bevilgningen dekker utgifter til større anskaffelser i eiendomsprosjekter. Reduksjonen skyldes i hovedsak at eiendomsprosjekter på utenriksstasjoner i Europa er prioritert fremfor prosjekter på utenriksstasjoner i utviklingsland. Flere av eiendomsprosjektene i utviklingsland er også i en tidlig gjennomføringsfase, mens de største utgiftene påløper i sluttfasen av prosjektene. Dette har medført terminforskyvninger av utgifter som frigjør midler inneværende år innenfor den delen av bevilgningen som telles som en andel av bistandsbudsjettet. Deler av reduksjonen omprioriteres til økt støtte til blant annet kvinners og skeives rettigheter, ytringsfrihet og Syria under programområde 03.</w:t>
      </w:r>
    </w:p>
    <w:p w14:paraId="6F12D782" w14:textId="77777777" w:rsidR="000A2A2B" w:rsidRPr="007C3060" w:rsidRDefault="000A2A2B" w:rsidP="007C3060">
      <w:pPr>
        <w:pStyle w:val="b-budkaptit"/>
      </w:pPr>
      <w:r w:rsidRPr="007C3060">
        <w:t>Kap. 105 Direktoratet for eksportkontroll og sanksjoner</w:t>
      </w:r>
    </w:p>
    <w:p w14:paraId="40E2784F" w14:textId="77777777" w:rsidR="000A2A2B" w:rsidRPr="007C3060" w:rsidRDefault="000A2A2B" w:rsidP="007C3060">
      <w:pPr>
        <w:pStyle w:val="b-post"/>
      </w:pPr>
      <w:r w:rsidRPr="007C3060">
        <w:t>Post 01 Driftsutgifter</w:t>
      </w:r>
    </w:p>
    <w:p w14:paraId="4B2E3FB2" w14:textId="77777777" w:rsidR="000A2A2B" w:rsidRPr="007C3060" w:rsidRDefault="000A2A2B" w:rsidP="007C3060">
      <w:r w:rsidRPr="007C3060">
        <w:t xml:space="preserve">Regjeringen foreslår en midlertidig økt bevilgning til Direktoratet for eksportkontroll og sanksjoner (DEKSA) for å styrke </w:t>
      </w:r>
      <w:proofErr w:type="spellStart"/>
      <w:r w:rsidRPr="007C3060">
        <w:t>DEKSAs</w:t>
      </w:r>
      <w:proofErr w:type="spellEnd"/>
      <w:r w:rsidRPr="007C3060">
        <w:t xml:space="preserve"> kapasitet til å understøtte PSTs arbeid med forebygging og etterforskning av overtredelser av sanksjons-regelverket. Saksomfanget og behovet for veiledning på eksportkontroll- og sanksjonsfeltene har økt betydelig som følge av den sikkerhetspolitiske situasjonen i Europa. For å motvirke at dette fører til økt saksbehandlingstid, foreslår regjeringen å styrke beslutningsstøtte gjennom utredninger fra Forsvarets forskningsinstitutt, som vil gi grunnlag for mer effektiv saksbehandling og kunnskaps-baserte vurderinger og vedtak. Bevilgningen vil også bli benyttet til ekstern juridisk bistand til gjennomgang av rutiner mv. etter innføring av nytt saksbehandlerverktøy samt ny forvaltningslov.</w:t>
      </w:r>
    </w:p>
    <w:p w14:paraId="484E7711" w14:textId="77777777" w:rsidR="000A2A2B" w:rsidRPr="007C3060" w:rsidRDefault="000A2A2B" w:rsidP="007C3060">
      <w:r w:rsidRPr="007C3060">
        <w:t>Bevilgningen på posten foreslås økt med 3 mill. kroner.</w:t>
      </w:r>
    </w:p>
    <w:p w14:paraId="053A9422" w14:textId="77777777" w:rsidR="000A2A2B" w:rsidRPr="007C3060" w:rsidRDefault="000A2A2B" w:rsidP="007C3060">
      <w:pPr>
        <w:pStyle w:val="b-budkaptit"/>
      </w:pPr>
      <w:r w:rsidRPr="007C3060">
        <w:t>Kap. 115 Næringsfremme, kultur og -informasjon</w:t>
      </w:r>
    </w:p>
    <w:p w14:paraId="33517E5F" w14:textId="133BFAE7" w:rsidR="000A2A2B" w:rsidRPr="007C3060" w:rsidRDefault="000A2A2B" w:rsidP="007C3060">
      <w:pPr>
        <w:pStyle w:val="b-post"/>
      </w:pPr>
      <w:r w:rsidRPr="007C3060">
        <w:t>Post 70 Kultur- og informasjonsformål, kan overføres, kan nyttes under post 21</w:t>
      </w:r>
    </w:p>
    <w:p w14:paraId="5869C7D2" w14:textId="77777777" w:rsidR="000A2A2B" w:rsidRPr="007C3060" w:rsidRDefault="000A2A2B" w:rsidP="007C3060">
      <w:r w:rsidRPr="007C3060">
        <w:t xml:space="preserve">Bevilgningen på posten foreslås økt med 3 mill. kroner mot tilsvarende reduksjon på kap. 118 </w:t>
      </w:r>
      <w:r w:rsidRPr="007C3060">
        <w:rPr>
          <w:rStyle w:val="kursiv"/>
        </w:rPr>
        <w:t>Utenrikspolitiske satsinger</w:t>
      </w:r>
      <w:r w:rsidRPr="007C3060">
        <w:t xml:space="preserve">, post 70 </w:t>
      </w:r>
      <w:r w:rsidRPr="007C3060">
        <w:rPr>
          <w:rStyle w:val="kursiv"/>
        </w:rPr>
        <w:t>Nordområdene og Antarktis</w:t>
      </w:r>
      <w:r w:rsidRPr="007C3060">
        <w:t>.</w:t>
      </w:r>
    </w:p>
    <w:p w14:paraId="6D239DCD" w14:textId="77777777" w:rsidR="000A2A2B" w:rsidRPr="007C3060" w:rsidRDefault="000A2A2B" w:rsidP="007C3060">
      <w:r w:rsidRPr="007C3060">
        <w:t xml:space="preserve">Det er et merbehov på posten som følge av inngåelse av nye </w:t>
      </w:r>
      <w:proofErr w:type="spellStart"/>
      <w:r w:rsidRPr="007C3060">
        <w:t>tilskuddsavtaler</w:t>
      </w:r>
      <w:proofErr w:type="spellEnd"/>
      <w:r w:rsidRPr="007C3060">
        <w:t xml:space="preserve"> med kulturaktørene i nord, herunder tiltak som Tromsø Internasjonale Filmfestival (TIFF), Pikene på Broen, Internasjonalt Samisk Filminstitutt (ISFI) og </w:t>
      </w:r>
      <w:proofErr w:type="spellStart"/>
      <w:r w:rsidRPr="007C3060">
        <w:t>Riddu</w:t>
      </w:r>
      <w:proofErr w:type="spellEnd"/>
      <w:r w:rsidRPr="007C3060">
        <w:t xml:space="preserve"> </w:t>
      </w:r>
      <w:proofErr w:type="spellStart"/>
      <w:r w:rsidRPr="007C3060">
        <w:t>Riddu</w:t>
      </w:r>
      <w:proofErr w:type="spellEnd"/>
      <w:r w:rsidRPr="007C3060">
        <w:t>.</w:t>
      </w:r>
    </w:p>
    <w:p w14:paraId="0A69AB80" w14:textId="77777777" w:rsidR="000A2A2B" w:rsidRPr="007C3060" w:rsidRDefault="000A2A2B" w:rsidP="007C3060">
      <w:pPr>
        <w:pStyle w:val="b-budkaptit"/>
      </w:pPr>
      <w:r w:rsidRPr="007C3060">
        <w:lastRenderedPageBreak/>
        <w:t>Kap. 116 Internasjonale organisasjoner</w:t>
      </w:r>
    </w:p>
    <w:p w14:paraId="12E501E1" w14:textId="77777777" w:rsidR="000A2A2B" w:rsidRPr="007C3060" w:rsidRDefault="000A2A2B" w:rsidP="007C3060">
      <w:pPr>
        <w:pStyle w:val="b-post"/>
      </w:pPr>
      <w:r w:rsidRPr="007C3060">
        <w:t>Post 70 Pliktige bidrag</w:t>
      </w:r>
    </w:p>
    <w:p w14:paraId="7685C6F0" w14:textId="77777777" w:rsidR="000A2A2B" w:rsidRPr="007C3060" w:rsidRDefault="000A2A2B" w:rsidP="007C3060">
      <w:r w:rsidRPr="007C3060">
        <w:t>Det er et merbehov på posten som følge av endringer i valutakurser og økning i kontingenter. De fleste pliktige bidragene utbetales i utenlandsk valuta, først og fremst euro og amerikanske dollar. Siden statsbudsjettet for 2025 ble utarbeidet har den norske kronen svekket seg noe mot disse valutaene, derfor øker noen av bidragene sammenlignet med Saldert budsjett 2025.</w:t>
      </w:r>
    </w:p>
    <w:p w14:paraId="052DD9DB" w14:textId="77777777" w:rsidR="000A2A2B" w:rsidRPr="007C3060" w:rsidRDefault="000A2A2B" w:rsidP="007C3060">
      <w:r w:rsidRPr="007C3060">
        <w:t>I tillegg vedtok flere av organisasjonene budsjettene sine etter at statsbudsjettet for 2025 ble utarbeidet. Det medfører endringer iblant annet Norges pliktige bidrag til EFTA og EFTA-organer. Det pliktige bidraget til Nordisk ministerråd øker vesentlig sammenlignet med Saldert budsjett 2025 grunnet endret fordelingsnøkkel for Norge på grunn av utviklingen i BNI relativt til de øvrige landene.</w:t>
      </w:r>
    </w:p>
    <w:p w14:paraId="4B0B52FE" w14:textId="77777777" w:rsidR="000A2A2B" w:rsidRPr="007C3060" w:rsidRDefault="000A2A2B" w:rsidP="007C3060">
      <w:r w:rsidRPr="007C3060">
        <w:t>Bevilgningen på posten foreslås økt med 176,8 mill. kroner.</w:t>
      </w:r>
    </w:p>
    <w:p w14:paraId="0C7BA91A" w14:textId="77777777" w:rsidR="000A2A2B" w:rsidRPr="007C3060" w:rsidRDefault="000A2A2B" w:rsidP="007C3060">
      <w:pPr>
        <w:pStyle w:val="b-budkaptit"/>
      </w:pPr>
      <w:r w:rsidRPr="007C3060">
        <w:t>Kap. 117 EØS-finansieringsordningene</w:t>
      </w:r>
    </w:p>
    <w:p w14:paraId="7F130137" w14:textId="77777777" w:rsidR="000A2A2B" w:rsidRPr="007C3060" w:rsidRDefault="000A2A2B" w:rsidP="007C3060">
      <w:pPr>
        <w:pStyle w:val="b-post"/>
      </w:pPr>
      <w:r w:rsidRPr="007C3060">
        <w:t>Post 77 EØS-finansieringsordningen 2014-2021, kan overføres</w:t>
      </w:r>
    </w:p>
    <w:p w14:paraId="172292B8" w14:textId="77777777" w:rsidR="000A2A2B" w:rsidRPr="007C3060" w:rsidRDefault="000A2A2B" w:rsidP="007C3060">
      <w:pPr>
        <w:pStyle w:val="b-post"/>
      </w:pPr>
      <w:r w:rsidRPr="007C3060">
        <w:t>Post 78 Den norske finansieringsordningen 2014-2021, kan overføres</w:t>
      </w:r>
    </w:p>
    <w:p w14:paraId="24635A83" w14:textId="77777777" w:rsidR="000A2A2B" w:rsidRPr="007C3060" w:rsidRDefault="000A2A2B" w:rsidP="007C3060">
      <w:r w:rsidRPr="007C3060">
        <w:t xml:space="preserve">Utbetalingsprognoser mottatt etter at statsbudsjettet for 2025 ble vedtatt viser en stor økning i behovet for midler under EØS-finansieringsordningene. Prognosene er basert på mottakerlandenes rapportering fra februar 2025. Størst er økningen i Polen og Latvia. I tillegg er det en endring i forholdet mellom EØS-finansieringsordningen, som deles med Island og Liechtenstein, og den norske finansieringsordningen. Det medfører et merbehov på post 77 </w:t>
      </w:r>
      <w:r w:rsidRPr="007C3060">
        <w:rPr>
          <w:rStyle w:val="kursiv"/>
        </w:rPr>
        <w:t xml:space="preserve">EØS-finansieringsordningen 2014-2021 </w:t>
      </w:r>
      <w:r w:rsidRPr="007C3060">
        <w:t xml:space="preserve">og et </w:t>
      </w:r>
      <w:proofErr w:type="spellStart"/>
      <w:r w:rsidRPr="007C3060">
        <w:t>mindrebehov</w:t>
      </w:r>
      <w:proofErr w:type="spellEnd"/>
      <w:r w:rsidRPr="007C3060">
        <w:t xml:space="preserve"> på post 78 </w:t>
      </w:r>
      <w:r w:rsidRPr="007C3060">
        <w:rPr>
          <w:rStyle w:val="kursiv"/>
        </w:rPr>
        <w:t>Den norske finansieringsordningen 2014-2021</w:t>
      </w:r>
      <w:r w:rsidRPr="007C3060">
        <w:t xml:space="preserve">. Størrelsen på behovet under post 77 har gjort det nødvendig å ta i bruk overskridelsesfullmakten for kap. 117 </w:t>
      </w:r>
      <w:r w:rsidRPr="007C3060">
        <w:rPr>
          <w:rStyle w:val="kursiv"/>
        </w:rPr>
        <w:t>EØS-finansieringsordningene</w:t>
      </w:r>
      <w:r w:rsidRPr="007C3060">
        <w:t xml:space="preserve"> for å kunne utbetale Norges forpliktelser.</w:t>
      </w:r>
    </w:p>
    <w:p w14:paraId="129419E0" w14:textId="77777777" w:rsidR="000A2A2B" w:rsidRPr="007C3060" w:rsidRDefault="000A2A2B" w:rsidP="007C3060">
      <w:r w:rsidRPr="007C3060">
        <w:t xml:space="preserve">Bevilgningen på kap. 117, post 77 </w:t>
      </w:r>
      <w:r w:rsidRPr="007C3060">
        <w:rPr>
          <w:rStyle w:val="kursiv"/>
        </w:rPr>
        <w:t xml:space="preserve">EØS-finansieringsordningen 2014-2021 </w:t>
      </w:r>
      <w:r w:rsidRPr="007C3060">
        <w:t>foreslås økt med 165 mill. kroner til 460 mill. kroner.</w:t>
      </w:r>
    </w:p>
    <w:p w14:paraId="56B16863" w14:textId="77777777" w:rsidR="000A2A2B" w:rsidRPr="007C3060" w:rsidRDefault="000A2A2B" w:rsidP="007C3060">
      <w:r w:rsidRPr="007C3060">
        <w:t xml:space="preserve">Bevilgningen på kap. 117, post 78 </w:t>
      </w:r>
      <w:r w:rsidRPr="007C3060">
        <w:rPr>
          <w:rStyle w:val="kursiv"/>
        </w:rPr>
        <w:t>Den norske finansieringsordningen 2014-2021</w:t>
      </w:r>
      <w:r w:rsidRPr="007C3060">
        <w:t xml:space="preserve"> foreslås redusert med 73 mill. kroner til 261 mill. kroner.</w:t>
      </w:r>
    </w:p>
    <w:p w14:paraId="6EFE78C7" w14:textId="77777777" w:rsidR="000A2A2B" w:rsidRPr="007C3060" w:rsidRDefault="000A2A2B" w:rsidP="007C3060">
      <w:pPr>
        <w:pStyle w:val="b-post"/>
      </w:pPr>
      <w:r w:rsidRPr="007C3060">
        <w:t>Post 79 (Ny) EØS-finansieringsordningen 2021-2028, kan overføres</w:t>
      </w:r>
    </w:p>
    <w:p w14:paraId="336C49D4" w14:textId="77777777" w:rsidR="000A2A2B" w:rsidRPr="007C3060" w:rsidRDefault="000A2A2B" w:rsidP="007C3060">
      <w:pPr>
        <w:pStyle w:val="b-post"/>
      </w:pPr>
      <w:r w:rsidRPr="007C3060">
        <w:t>Post 80 (Ny) Den norske finansieringsordningen 2021-2028, kan overføres</w:t>
      </w:r>
    </w:p>
    <w:p w14:paraId="5C591445" w14:textId="77777777" w:rsidR="000A2A2B" w:rsidRPr="007C3060" w:rsidRDefault="000A2A2B" w:rsidP="007C3060">
      <w:r w:rsidRPr="007C3060">
        <w:t xml:space="preserve">Norge, Island og Liechtenstein ble enige med EU om en ny EØS-finansieringsordning (2021–2028) som Stortinget ratifiserte høsten 2024, jf. </w:t>
      </w:r>
      <w:proofErr w:type="spellStart"/>
      <w:r w:rsidRPr="007C3060">
        <w:t>Prop</w:t>
      </w:r>
      <w:proofErr w:type="spellEnd"/>
      <w:r w:rsidRPr="007C3060">
        <w:t xml:space="preserve">. 119 S (2023–2024) og </w:t>
      </w:r>
      <w:proofErr w:type="spellStart"/>
      <w:r w:rsidRPr="007C3060">
        <w:t>Innst</w:t>
      </w:r>
      <w:proofErr w:type="spellEnd"/>
      <w:r w:rsidRPr="007C3060">
        <w:t xml:space="preserve">. 21 S (2024–2025) om samtykke til ratifikasjon av avtaler mellom EU, Island, Liechtenstein og Norge om </w:t>
      </w:r>
      <w:r w:rsidRPr="007C3060">
        <w:lastRenderedPageBreak/>
        <w:t>en EØS-finansieringsordning for perioden mai 2021–april 2028, avtale mellom Norge og EU om en norsk finansieringsordning for perioden mai 2021–april 2028 og tilleggsprotokoll til avtalen. Norge skal til sammen bidra med 3,268 mrd. euro (tilsvarende om lag 37,2 mrd. kroner) til sosial og økonomisk utjevning til de 15 fattigste landene i EU og det foreslås derfor en tilsagnsfullmakt for EØS-finansieringsordningene, jf. forslag til romertallsvedtak IX.</w:t>
      </w:r>
    </w:p>
    <w:p w14:paraId="606B7521" w14:textId="77777777" w:rsidR="000A2A2B" w:rsidRPr="007C3060" w:rsidRDefault="000A2A2B" w:rsidP="007C3060">
      <w:r w:rsidRPr="007C3060">
        <w:t>Det foreslås å opprette to nye poster med stikkord «kan overføres» for ny periode for EØS-finansieringsordningene.</w:t>
      </w:r>
    </w:p>
    <w:p w14:paraId="15795991" w14:textId="77777777" w:rsidR="000A2A2B" w:rsidRPr="007C3060" w:rsidRDefault="000A2A2B" w:rsidP="007C3060">
      <w:r w:rsidRPr="007C3060">
        <w:t xml:space="preserve">Rammeforhandlinger (MOU) med flere mottakerland pågår og de første avtalene ble undertegnet 23. april med Polen. Etter hvert som avtalene med mottakerlandene blir undertegnet, vil landene i henhold til avtalene kunne be om å få dekket sine administrative utgifter samt noen utgifter knyttet til de bilaterale fondene og utviklingen av programmene. Foreløpige anslag tilsier at dette kan beløpe seg til samlet om lag 280 mill. kroner. Det inkluderer også noen utgifter ved sekretariatet for EØS-midlene i Brussel, Financial </w:t>
      </w:r>
      <w:proofErr w:type="spellStart"/>
      <w:r w:rsidRPr="007C3060">
        <w:t>Mechanism</w:t>
      </w:r>
      <w:proofErr w:type="spellEnd"/>
      <w:r w:rsidRPr="007C3060">
        <w:t xml:space="preserve"> Office (FMO).</w:t>
      </w:r>
    </w:p>
    <w:p w14:paraId="6B6DDCB3" w14:textId="77777777" w:rsidR="000A2A2B" w:rsidRPr="007C3060" w:rsidRDefault="000A2A2B" w:rsidP="007C3060">
      <w:r w:rsidRPr="007C3060">
        <w:t xml:space="preserve">Det foreslås en bevilgning på ny post 79 </w:t>
      </w:r>
      <w:r w:rsidRPr="007C3060">
        <w:rPr>
          <w:rStyle w:val="kursiv"/>
        </w:rPr>
        <w:t>EØS-finansieringsordningen 2021-2028</w:t>
      </w:r>
      <w:r w:rsidRPr="007C3060">
        <w:t xml:space="preserve"> på 150 mill. kroner i 2025.</w:t>
      </w:r>
    </w:p>
    <w:p w14:paraId="70B8B4BD" w14:textId="77777777" w:rsidR="000A2A2B" w:rsidRPr="007C3060" w:rsidRDefault="000A2A2B" w:rsidP="007C3060">
      <w:r w:rsidRPr="007C3060">
        <w:t>Det foreslås en bevilging på ny post 80</w:t>
      </w:r>
      <w:r w:rsidRPr="007C3060">
        <w:rPr>
          <w:rStyle w:val="kursiv"/>
        </w:rPr>
        <w:t xml:space="preserve"> Den norske finansieringsordningen 2021-2028</w:t>
      </w:r>
      <w:r w:rsidRPr="007C3060">
        <w:t xml:space="preserve"> på 130 mill. kroner i 2025.</w:t>
      </w:r>
    </w:p>
    <w:p w14:paraId="78FA9E48" w14:textId="77777777" w:rsidR="000A2A2B" w:rsidRPr="007C3060" w:rsidRDefault="000A2A2B" w:rsidP="007C3060">
      <w:r w:rsidRPr="007C3060">
        <w:t>Da det er knyttet stor usikkerhet til dette anslaget, foreslås det en fullmakt til overskridelse for å kunne være i stand til å betale Norges forpliktelser i henhold til avtalen. En fullmakt på 10 pst. av foreslått bevilgning (beregnet til 100 mill. kroner) på begge finansieringsordninger som dekker post 77, 78, 79 og 80 vil være tilstrekkelig, jf. forslag til romertallsvedtak II.</w:t>
      </w:r>
    </w:p>
    <w:p w14:paraId="41973873" w14:textId="77777777" w:rsidR="000A2A2B" w:rsidRPr="007C3060" w:rsidRDefault="000A2A2B" w:rsidP="007C3060">
      <w:pPr>
        <w:pStyle w:val="b-budkaptit"/>
      </w:pPr>
      <w:r w:rsidRPr="007C3060">
        <w:t>Kap. 118 Utenrikspolitiske satsinger</w:t>
      </w:r>
    </w:p>
    <w:p w14:paraId="615D7D33" w14:textId="7F152B08" w:rsidR="000A2A2B" w:rsidRPr="007C3060" w:rsidRDefault="000A2A2B" w:rsidP="007C3060">
      <w:pPr>
        <w:pStyle w:val="b-post"/>
      </w:pPr>
      <w:r w:rsidRPr="007C3060">
        <w:t>Post 21 Spesielle driftsutgifter, kan overføres, kan nyttes under post 70, 71, 72, 73 og 76</w:t>
      </w:r>
    </w:p>
    <w:p w14:paraId="5A98FD2B" w14:textId="77777777" w:rsidR="000A2A2B" w:rsidRPr="007C3060" w:rsidRDefault="000A2A2B" w:rsidP="007C3060">
      <w:r w:rsidRPr="007C3060">
        <w:t xml:space="preserve">Bevilgningen på posten foreslås økt med 42,7 mill. kroner mot en reduksjon på henholdsvis 35 mill. kroner på post 70 </w:t>
      </w:r>
      <w:r w:rsidRPr="007C3060">
        <w:rPr>
          <w:rStyle w:val="kursiv"/>
        </w:rPr>
        <w:t>Nordområdene og Antarktis</w:t>
      </w:r>
      <w:r w:rsidRPr="007C3060">
        <w:t xml:space="preserve">, 2,7 mill. kroner på post 71 </w:t>
      </w:r>
      <w:r w:rsidRPr="007C3060">
        <w:rPr>
          <w:rStyle w:val="kursiv"/>
        </w:rPr>
        <w:t xml:space="preserve">Globale sikkerhetsspørsmål </w:t>
      </w:r>
      <w:r w:rsidRPr="007C3060">
        <w:t>og 5 mill. kroner på post 72</w:t>
      </w:r>
      <w:r w:rsidRPr="007C3060">
        <w:rPr>
          <w:rStyle w:val="kursiv"/>
        </w:rPr>
        <w:t xml:space="preserve"> Nedrustning, ikke-spredning og kjernefysisk sikkerhet </w:t>
      </w:r>
      <w:r w:rsidRPr="007C3060">
        <w:t>for utgifter som gjelder drift og ikke tilskudd.</w:t>
      </w:r>
    </w:p>
    <w:p w14:paraId="3A354D30" w14:textId="77777777" w:rsidR="000A2A2B" w:rsidRPr="007C3060" w:rsidRDefault="000A2A2B" w:rsidP="007C3060">
      <w:r w:rsidRPr="007C3060">
        <w:t>Midler fra post 70 vil bli benyttet til å understøtte norske interesser i Arktis og Antarktis i en viktig periode der regjeringen fornyer nordområdepolitikken og er i ferd med å legge frem en ny nordområdestrategi. Flyttingen gjør det blant annet mulig å imøtekomme behov på dette området fra departementer og etater som har avtaler med UD.</w:t>
      </w:r>
    </w:p>
    <w:p w14:paraId="29DEF9DD" w14:textId="77777777" w:rsidR="000A2A2B" w:rsidRPr="007C3060" w:rsidRDefault="000A2A2B" w:rsidP="007C3060">
      <w:r w:rsidRPr="007C3060">
        <w:t>Midler fra post 71 gjelder bidrag til NATOs kompetansesenter for cybersikkerhet (CCDCOE) og finansiering av en avtale med NUPI om forskning på transatlantisk sikkerhetspolitikk.</w:t>
      </w:r>
    </w:p>
    <w:p w14:paraId="6A245B70" w14:textId="77777777" w:rsidR="000A2A2B" w:rsidRPr="007C3060" w:rsidRDefault="000A2A2B" w:rsidP="007C3060">
      <w:r w:rsidRPr="007C3060">
        <w:t xml:space="preserve">Fra post 72 flyttes midler som gjelder </w:t>
      </w:r>
      <w:proofErr w:type="spellStart"/>
      <w:r w:rsidRPr="007C3060">
        <w:t>NorNed</w:t>
      </w:r>
      <w:proofErr w:type="spellEnd"/>
      <w:r w:rsidRPr="007C3060">
        <w:t>-samarbeidet om faglig støtte for nedrustning og ikke-spredning og Norges innsats for oppfølgingen av Biologi- og toksinvåpenkonvensjonen (BWC), Kjemivåpenkonvensjonen (CWC) og tilstøtende arbeid. Se også omtale under post 70, 71 og 72.</w:t>
      </w:r>
    </w:p>
    <w:p w14:paraId="0FD4D4D2" w14:textId="77777777" w:rsidR="000A2A2B" w:rsidRPr="007C3060" w:rsidRDefault="000A2A2B" w:rsidP="007C3060">
      <w:r w:rsidRPr="007C3060">
        <w:lastRenderedPageBreak/>
        <w:t xml:space="preserve">Som følge av reetableringen av tilskuddsordningen Russland jf. </w:t>
      </w:r>
      <w:proofErr w:type="spellStart"/>
      <w:r w:rsidRPr="007C3060">
        <w:t>Prop</w:t>
      </w:r>
      <w:proofErr w:type="spellEnd"/>
      <w:r w:rsidRPr="007C3060">
        <w:t xml:space="preserve">. 1 S (2024–2025) og </w:t>
      </w:r>
      <w:proofErr w:type="spellStart"/>
      <w:r w:rsidRPr="007C3060">
        <w:t>Innst</w:t>
      </w:r>
      <w:proofErr w:type="spellEnd"/>
      <w:r w:rsidRPr="007C3060">
        <w:t xml:space="preserve">. 7 S (2024–2025), foreslås det i tillegg at post 21 tilføres stikkord </w:t>
      </w:r>
      <w:r w:rsidRPr="007C3060">
        <w:rPr>
          <w:rStyle w:val="kursiv"/>
        </w:rPr>
        <w:t>«kan nyttes under post 76».</w:t>
      </w:r>
      <w:r w:rsidRPr="007C3060">
        <w:t xml:space="preserve"> Ved å tilføye stikkordet kan </w:t>
      </w:r>
      <w:proofErr w:type="spellStart"/>
      <w:r w:rsidRPr="007C3060">
        <w:t>utgiftsbruken</w:t>
      </w:r>
      <w:proofErr w:type="spellEnd"/>
      <w:r w:rsidRPr="007C3060">
        <w:t xml:space="preserve"> under de to postene sees mer under ett, og bidra til at midlene kan brukes på en mer effektiv måte.</w:t>
      </w:r>
    </w:p>
    <w:p w14:paraId="72F53CCD" w14:textId="77777777" w:rsidR="000A2A2B" w:rsidRPr="007C3060" w:rsidRDefault="000A2A2B" w:rsidP="007C3060">
      <w:r w:rsidRPr="007C3060">
        <w:t>Til sammen foreslås bevilgningen på posten økt med 42,7 mill. kroner.</w:t>
      </w:r>
    </w:p>
    <w:p w14:paraId="452A6D5F" w14:textId="77777777" w:rsidR="000A2A2B" w:rsidRPr="007C3060" w:rsidRDefault="000A2A2B" w:rsidP="007C3060">
      <w:pPr>
        <w:pStyle w:val="b-post"/>
      </w:pPr>
      <w:r w:rsidRPr="007C3060">
        <w:t>Post 70 Nordområdene og Antarktis, kan overføres, kan nyttes under post 21</w:t>
      </w:r>
    </w:p>
    <w:p w14:paraId="07B2BABE" w14:textId="77777777" w:rsidR="000A2A2B" w:rsidRPr="007C3060" w:rsidRDefault="000A2A2B" w:rsidP="007C3060">
      <w:r w:rsidRPr="007C3060">
        <w:t xml:space="preserve">Bevilgningen på posten foreslås redusert med 35 mill. kroner mot tilsvarende økning på post 21 </w:t>
      </w:r>
      <w:r w:rsidRPr="007C3060">
        <w:rPr>
          <w:rStyle w:val="kursiv"/>
        </w:rPr>
        <w:t xml:space="preserve">Spesielle driftsutgifter. </w:t>
      </w:r>
      <w:r w:rsidRPr="007C3060">
        <w:t>I en fase der regjeringen fornyer nordområdepolitikken og er i ferd med å legge frem en ny nordområdestrategi er det behov for å benytte en større andel av midlene under post 21. Se nærmere omtale under post 21.</w:t>
      </w:r>
    </w:p>
    <w:p w14:paraId="6EB2CDB5" w14:textId="77777777" w:rsidR="000A2A2B" w:rsidRPr="007C3060" w:rsidRDefault="000A2A2B" w:rsidP="007C3060">
      <w:r w:rsidRPr="007C3060">
        <w:t>I tillegg foreslås det å flytte 3 mill. kroner til kap. 115</w:t>
      </w:r>
      <w:r w:rsidRPr="007C3060">
        <w:rPr>
          <w:rStyle w:val="kursiv"/>
        </w:rPr>
        <w:t xml:space="preserve"> Næringsfremme, kultur og informasjon,</w:t>
      </w:r>
      <w:r w:rsidRPr="007C3060">
        <w:t xml:space="preserve"> post 70 </w:t>
      </w:r>
      <w:r w:rsidRPr="007C3060">
        <w:rPr>
          <w:rStyle w:val="kursiv"/>
        </w:rPr>
        <w:t>Kultur- og informasjonsformål</w:t>
      </w:r>
      <w:r w:rsidRPr="007C3060">
        <w:t>, se nærmere omtale under kap. 115, post 70.</w:t>
      </w:r>
    </w:p>
    <w:p w14:paraId="5C8A8BEB" w14:textId="77777777" w:rsidR="000A2A2B" w:rsidRPr="007C3060" w:rsidRDefault="000A2A2B" w:rsidP="007C3060">
      <w:r w:rsidRPr="007C3060">
        <w:t>Til sammen foreslås bevilgningen på posten redusert med 38 mill. kroner</w:t>
      </w:r>
    </w:p>
    <w:p w14:paraId="4A269741" w14:textId="77777777" w:rsidR="000A2A2B" w:rsidRPr="007C3060" w:rsidRDefault="000A2A2B" w:rsidP="007C3060">
      <w:pPr>
        <w:pStyle w:val="b-post"/>
      </w:pPr>
      <w:r w:rsidRPr="007C3060">
        <w:t>Post 71 Globale sikkerhetsspørsmål, kan overføres, kan nyttes under post 21</w:t>
      </w:r>
    </w:p>
    <w:p w14:paraId="45856D22" w14:textId="77777777" w:rsidR="000A2A2B" w:rsidRPr="007C3060" w:rsidRDefault="000A2A2B" w:rsidP="007C3060">
      <w:r w:rsidRPr="007C3060">
        <w:t xml:space="preserve">Bevilgningen på posten foreslås redusert med 2,7 mill. kroner mot tilsvarende økning på post 21 </w:t>
      </w:r>
      <w:r w:rsidRPr="007C3060">
        <w:rPr>
          <w:rStyle w:val="kursiv"/>
        </w:rPr>
        <w:t xml:space="preserve">Spesielle driftsutgifter. </w:t>
      </w:r>
      <w:r w:rsidRPr="007C3060">
        <w:t>Flyttingen gjelder midler til cybersikkerhet og transatlantisk sikkerhetspolitikk. Se nærmere omtale under post 21.</w:t>
      </w:r>
    </w:p>
    <w:p w14:paraId="2AB886FF" w14:textId="09F81907" w:rsidR="000A2A2B" w:rsidRPr="007C3060" w:rsidRDefault="000A2A2B" w:rsidP="007C3060">
      <w:pPr>
        <w:pStyle w:val="b-post"/>
      </w:pPr>
      <w:r w:rsidRPr="007C3060">
        <w:t>Post 72 Nedrustning, ikke-spredning og kjernefysisk sikkerhet mv., kan overføres, kan nyttes under post</w:t>
      </w:r>
      <w:r w:rsidR="00AC1986">
        <w:t xml:space="preserve"> </w:t>
      </w:r>
      <w:r w:rsidRPr="007C3060">
        <w:t>21</w:t>
      </w:r>
    </w:p>
    <w:p w14:paraId="041FAFB8" w14:textId="77777777" w:rsidR="000A2A2B" w:rsidRPr="007C3060" w:rsidRDefault="000A2A2B" w:rsidP="007C3060">
      <w:r w:rsidRPr="007C3060">
        <w:t xml:space="preserve">Bevilgningen på posten foreslås redusert med 5 mill. kroner mot tilsvarende økning på post 21 </w:t>
      </w:r>
      <w:r w:rsidRPr="007C3060">
        <w:rPr>
          <w:rStyle w:val="kursiv"/>
        </w:rPr>
        <w:t>Spesielle driftsutgifter</w:t>
      </w:r>
      <w:r w:rsidRPr="007C3060">
        <w:t>, der det er et merbehov til arbeid for nedrustnings- og ikke-spredningstiltak. Se nærmere omtale under post 21.</w:t>
      </w:r>
    </w:p>
    <w:p w14:paraId="4EA4D978" w14:textId="77777777" w:rsidR="000A2A2B" w:rsidRPr="007C3060" w:rsidRDefault="000A2A2B" w:rsidP="007C3060">
      <w:r w:rsidRPr="007C3060">
        <w:t xml:space="preserve">I tillegg foreslås det å flytte 6 mill. kroner til post 76 </w:t>
      </w:r>
      <w:r w:rsidRPr="007C3060">
        <w:rPr>
          <w:rStyle w:val="kursiv"/>
        </w:rPr>
        <w:t>Russland</w:t>
      </w:r>
      <w:r w:rsidRPr="007C3060">
        <w:t>, som en følge av opphør i det bilaterale atomsikkerhetsarbeidet med Russland. Se nærmere omtale under post 76.</w:t>
      </w:r>
    </w:p>
    <w:p w14:paraId="2537B034" w14:textId="77777777" w:rsidR="000A2A2B" w:rsidRPr="007C3060" w:rsidRDefault="000A2A2B" w:rsidP="007C3060">
      <w:r w:rsidRPr="007C3060">
        <w:t>Til sammen foreslås bevilgningen på posten redusert med 11 mill. kroner.</w:t>
      </w:r>
    </w:p>
    <w:p w14:paraId="646F8C09" w14:textId="77777777" w:rsidR="000A2A2B" w:rsidRPr="007C3060" w:rsidRDefault="000A2A2B" w:rsidP="007C3060">
      <w:pPr>
        <w:pStyle w:val="b-post"/>
      </w:pPr>
      <w:r w:rsidRPr="007C3060">
        <w:t>Post 76 Russland, kan overføres, kan nyttes under post 21</w:t>
      </w:r>
    </w:p>
    <w:p w14:paraId="265C2A9C" w14:textId="77777777" w:rsidR="000A2A2B" w:rsidRPr="007C3060" w:rsidRDefault="000A2A2B" w:rsidP="007C3060">
      <w:r w:rsidRPr="007C3060">
        <w:t xml:space="preserve">Bevilgningen på posten foreslås økt med 6 mill. kroner mot en tilsvarende reduksjon på post 72 </w:t>
      </w:r>
      <w:r w:rsidRPr="007C3060">
        <w:rPr>
          <w:rStyle w:val="kursiv"/>
        </w:rPr>
        <w:t xml:space="preserve">Nedrustning, ikke-spredning og kjernefysisk sikkerhet </w:t>
      </w:r>
      <w:r w:rsidRPr="007C3060">
        <w:t>som følge av opphør i det bilaterale atomsikkerhetsarbeidet med Russland. Midlene skal styrke arbeidet med å sikre russlandskompetanse og støtte russisk sivilsamfunn.</w:t>
      </w:r>
    </w:p>
    <w:p w14:paraId="38DB6762" w14:textId="77777777" w:rsidR="000A2A2B" w:rsidRPr="007C3060" w:rsidRDefault="000A2A2B" w:rsidP="007C3060">
      <w:pPr>
        <w:pStyle w:val="b-post"/>
      </w:pPr>
      <w:r w:rsidRPr="007C3060">
        <w:t>Post 77 Norges forskningsråd – utenriksområdet, kan overføres</w:t>
      </w:r>
    </w:p>
    <w:p w14:paraId="5419E3BB" w14:textId="77777777" w:rsidR="000A2A2B" w:rsidRPr="007C3060" w:rsidRDefault="000A2A2B" w:rsidP="007C3060">
      <w:r w:rsidRPr="007C3060">
        <w:t xml:space="preserve">Bevilgningen på posten foreslås økt med 0,6 mill. kroner. Forskningsrådet estimerer bevilgningsbehovet for 2025 til 51,4 mill. kroner, som betyr en utgiftsøkning på 0,6 mill. kroner </w:t>
      </w:r>
      <w:r w:rsidRPr="007C3060">
        <w:lastRenderedPageBreak/>
        <w:t>sammenlignet med saldert budsjett for 2025. Økningen har sammenheng med overgang til bruttobudsjettering per 1. januar.</w:t>
      </w:r>
    </w:p>
    <w:p w14:paraId="00426191" w14:textId="77777777" w:rsidR="000A2A2B" w:rsidRPr="007C3060" w:rsidRDefault="000A2A2B" w:rsidP="007C3060">
      <w:pPr>
        <w:pStyle w:val="b-post"/>
      </w:pPr>
      <w:r w:rsidRPr="007C3060">
        <w:t>Post 78 Initiativ om humanitære konsekvenser av kjernevåpen, kan overføres</w:t>
      </w:r>
    </w:p>
    <w:p w14:paraId="0DA5A8FB" w14:textId="77777777" w:rsidR="000A2A2B" w:rsidRPr="007C3060" w:rsidRDefault="000A2A2B" w:rsidP="007C3060">
      <w:r w:rsidRPr="007C3060">
        <w:t xml:space="preserve">I Stortingets behandling av statsbudsjettet for 2025, jf. </w:t>
      </w:r>
      <w:proofErr w:type="spellStart"/>
      <w:r w:rsidRPr="007C3060">
        <w:t>Innst</w:t>
      </w:r>
      <w:proofErr w:type="spellEnd"/>
      <w:r w:rsidRPr="007C3060">
        <w:t xml:space="preserve">. 7 S (2024–2025), ble det opprettet en ny tilskuddspost for initiativ om humanitære konsekvenser av kjernevåpen. Det foreslås at post 78 tilføyes stikkordet </w:t>
      </w:r>
      <w:r w:rsidRPr="007C3060">
        <w:rPr>
          <w:rStyle w:val="kursiv"/>
        </w:rPr>
        <w:t>«kan overføres».</w:t>
      </w:r>
      <w:r w:rsidRPr="007C3060">
        <w:t xml:space="preserve"> Utbetalingstakten til prosjekter som mottar tilskudd fra post 78 kan være usikker, stikkordsfullmakten vil bidra til at midlene kan brukes på en mer effektiv måte.</w:t>
      </w:r>
    </w:p>
    <w:p w14:paraId="27506C98" w14:textId="77777777" w:rsidR="000A2A2B" w:rsidRPr="007C3060" w:rsidRDefault="000A2A2B" w:rsidP="007C3060">
      <w:pPr>
        <w:pStyle w:val="b-progomr"/>
      </w:pPr>
      <w:r w:rsidRPr="007C3060">
        <w:t>Programområde 03 Internasjonal bistand</w:t>
      </w:r>
    </w:p>
    <w:p w14:paraId="5362C908" w14:textId="77777777" w:rsidR="000A2A2B" w:rsidRPr="007C3060" w:rsidRDefault="000A2A2B" w:rsidP="007C3060">
      <w:r w:rsidRPr="007C3060">
        <w:t>Det er regjeringens målsetting å bruke 1 pst. av BNI til internasjonal innsats for å oppnå FN-målene om sosial, økonomisk og miljømessig bærekraft. Bistandsbudsjettet foreslås redusert med 927,2 mill. kroner sammenlignet med saldert budsjett, til 57,1 mrd. kroner i 2025. Dette tilsvarer 1 pst. av BNI-anslaget i Nasjonalbudsjettet 2025, en reduksjon fra 1,01 pst. i Saldert budsjett 2025. Hoveddelen av reduksjonen skyldes lavere flyktningutgifter i Norge som refunderes over bistandsbudsjettet. Oppdaterte anslag fra Beregningsgruppen for utenriksforvaltningen (BGU) tilsier at det vil komme færre flyktninger fra Ukraina under ordningen om midlertidig kollektiv beskyttelse enn tidligere lagt til grunn. Resten av reduksjon kommer av en anslagsendring for bevilgningsbehovet til Norges forskningsråd i 2025 og en justering av Utenriksdepartementets driftsutgifter tilknyttet større anskaffelser i eiendomsprosjekter ved utenriksstasjonene i utviklingsland.</w:t>
      </w:r>
    </w:p>
    <w:p w14:paraId="0FC724B5" w14:textId="77777777" w:rsidR="000A2A2B" w:rsidRPr="007C3060" w:rsidRDefault="000A2A2B" w:rsidP="007C3060">
      <w:r w:rsidRPr="007C3060">
        <w:t xml:space="preserve">Regjeringen foreslår også å omprioritere 259 mill. kroner for å kunne øke deler av bistanden som er hardest rammet av andre lands kutt, på områder der Norge kan gjøre en viktig forskjell i tråd med våre interesser. Dette gjelder blant annet kvinners rett til å bestemme over egen kropp, kampen for menneskerettigheter som ytringsfrihet i Øst- og Sørøst-Europa og LHBT+ og støtte til gjenoppbyggingen av Syria etter </w:t>
      </w:r>
      <w:proofErr w:type="spellStart"/>
      <w:r w:rsidRPr="007C3060">
        <w:t>Assad</w:t>
      </w:r>
      <w:proofErr w:type="spellEnd"/>
      <w:r w:rsidRPr="007C3060">
        <w:t>-regimets fall.</w:t>
      </w:r>
    </w:p>
    <w:p w14:paraId="65D7DD56" w14:textId="77777777" w:rsidR="000A2A2B" w:rsidRPr="007C3060" w:rsidRDefault="000A2A2B" w:rsidP="007C3060">
      <w:r w:rsidRPr="007C3060">
        <w:t>I tillegg vil avviklingen av dagens gjelds-brevordning og overgang til kontantbidrag gi en økt inntekt på bistandsbudsjettet på anslagsvis 230 mill. kroner i 2025. Med ny ordning får utviklingsbankene raskere tilgang på giverbidragene, og dermed økt realverdi av pengene. Økt realverdi gjør at Norge får tilbakebetalt en «rabatt» i forbindelse med overgangen.</w:t>
      </w:r>
    </w:p>
    <w:p w14:paraId="2553252E" w14:textId="77777777" w:rsidR="000A2A2B" w:rsidRPr="007C3060" w:rsidRDefault="000A2A2B" w:rsidP="007C3060">
      <w:pPr>
        <w:pStyle w:val="b-budkaptit"/>
      </w:pPr>
      <w:r w:rsidRPr="007C3060">
        <w:t>Kap. 140 Utenriksdepartementet</w:t>
      </w:r>
    </w:p>
    <w:p w14:paraId="01C60FA2" w14:textId="77777777" w:rsidR="000A2A2B" w:rsidRPr="007C3060" w:rsidRDefault="000A2A2B" w:rsidP="007C3060">
      <w:pPr>
        <w:pStyle w:val="b-post"/>
      </w:pPr>
      <w:r w:rsidRPr="007C3060">
        <w:t>Post 21 Spesielle driftsutgifter, kan overføres</w:t>
      </w:r>
    </w:p>
    <w:p w14:paraId="26527CFD" w14:textId="77777777" w:rsidR="000A2A2B" w:rsidRPr="007C3060" w:rsidRDefault="000A2A2B" w:rsidP="007C3060">
      <w:r w:rsidRPr="007C3060">
        <w:t xml:space="preserve">Bevilgningen på posten foreslås økt med 1 mill. kroner mot en tilsvarende reduksjon på kap. 159 </w:t>
      </w:r>
      <w:r w:rsidRPr="007C3060">
        <w:rPr>
          <w:rStyle w:val="kursiv"/>
        </w:rPr>
        <w:t>Regionbevilgninger</w:t>
      </w:r>
      <w:r w:rsidRPr="007C3060">
        <w:t xml:space="preserve">, post 73 </w:t>
      </w:r>
      <w:r w:rsidRPr="007C3060">
        <w:rPr>
          <w:rStyle w:val="kursiv"/>
        </w:rPr>
        <w:t>Ukraina og naboland</w:t>
      </w:r>
      <w:r w:rsidRPr="007C3060">
        <w:t>. Stortinget har vedtatt å utvide Nansen-programmet for 2025 og det er behov for økt innsats i arbeidet med forvaltning av atomsikkerhet gjennom Direktoratet for strålevern og atomsikkerhet. Se nærmere omtale under kap. 159, post 73. Bevilgningen foreslås redusert med 7,5 mill. kroner mot tilsvarende økning under kap. 1720 -</w:t>
      </w:r>
      <w:r w:rsidRPr="007C3060">
        <w:rPr>
          <w:rStyle w:val="kursiv"/>
        </w:rPr>
        <w:t>Forsvaret</w:t>
      </w:r>
      <w:r w:rsidRPr="007C3060">
        <w:t>, post 01 Driftsutgifter under Forsvarsdepartementet. Dette for å dekke Utenriksdepartementets andel av utgifter til Afghanistanutvalget.</w:t>
      </w:r>
    </w:p>
    <w:p w14:paraId="4591C629" w14:textId="77777777" w:rsidR="000A2A2B" w:rsidRPr="007C3060" w:rsidRDefault="000A2A2B" w:rsidP="007C3060">
      <w:r w:rsidRPr="007C3060">
        <w:lastRenderedPageBreak/>
        <w:t>Samlet foreslås bevilgningen på posten redusert med 6,5 mill. kroner.</w:t>
      </w:r>
    </w:p>
    <w:p w14:paraId="046BF1FC" w14:textId="77777777" w:rsidR="000A2A2B" w:rsidRPr="007C3060" w:rsidRDefault="000A2A2B" w:rsidP="007C3060">
      <w:pPr>
        <w:pStyle w:val="b-budkaptit"/>
      </w:pPr>
      <w:r w:rsidRPr="007C3060">
        <w:t>Kap. 141 Direktoratet for utviklings-samarbeid (Norad)</w:t>
      </w:r>
    </w:p>
    <w:p w14:paraId="3C2EF0EB" w14:textId="77777777" w:rsidR="000A2A2B" w:rsidRPr="007C3060" w:rsidRDefault="000A2A2B" w:rsidP="007C3060">
      <w:pPr>
        <w:pStyle w:val="b-post"/>
      </w:pPr>
      <w:r w:rsidRPr="007C3060">
        <w:t>Post 01 Driftsutgifter</w:t>
      </w:r>
    </w:p>
    <w:p w14:paraId="6FDD2CD4" w14:textId="77777777" w:rsidR="000A2A2B" w:rsidRPr="007C3060" w:rsidRDefault="000A2A2B" w:rsidP="007C3060">
      <w:r w:rsidRPr="007C3060">
        <w:t xml:space="preserve">Bevilgningen på posten foreslås økt med 4,8 mill. kroner mot en tilsvarende reduksjon på kap. 159 </w:t>
      </w:r>
      <w:r w:rsidRPr="007C3060">
        <w:rPr>
          <w:rStyle w:val="kursiv"/>
        </w:rPr>
        <w:t>Regionbevilgninger</w:t>
      </w:r>
      <w:r w:rsidRPr="007C3060">
        <w:t xml:space="preserve">, post 73 </w:t>
      </w:r>
      <w:r w:rsidRPr="007C3060">
        <w:rPr>
          <w:rStyle w:val="kursiv"/>
        </w:rPr>
        <w:t>Ukraina og naboland</w:t>
      </w:r>
      <w:r w:rsidRPr="007C3060">
        <w:t>. Stortinget har vedtatt å utvide Nansen-programmet for 2025 og det er behov for å styrke arbeidet med forvaltningen av den sivile støtten. Se nærmere omtale under kap. 159, post 73.</w:t>
      </w:r>
    </w:p>
    <w:p w14:paraId="130DA978" w14:textId="0DE4C942" w:rsidR="000A2A2B" w:rsidRPr="007C3060" w:rsidRDefault="000A2A2B" w:rsidP="007C3060">
      <w:pPr>
        <w:pStyle w:val="b-budkaptit"/>
      </w:pPr>
      <w:r w:rsidRPr="007C3060">
        <w:t>Kap. 144 Norsk senter for utvekslings-samarbeid (</w:t>
      </w:r>
      <w:proofErr w:type="spellStart"/>
      <w:r w:rsidRPr="007C3060">
        <w:t>Norec</w:t>
      </w:r>
      <w:proofErr w:type="spellEnd"/>
      <w:r w:rsidRPr="007C3060">
        <w:t>)</w:t>
      </w:r>
    </w:p>
    <w:p w14:paraId="0E2B1C2A" w14:textId="77777777" w:rsidR="000A2A2B" w:rsidRPr="007C3060" w:rsidRDefault="000A2A2B" w:rsidP="007C3060">
      <w:pPr>
        <w:pStyle w:val="b-post"/>
      </w:pPr>
      <w:r w:rsidRPr="007C3060">
        <w:t>Post 01 Driftsutgifter</w:t>
      </w:r>
    </w:p>
    <w:p w14:paraId="26E43A3F" w14:textId="77777777" w:rsidR="000A2A2B" w:rsidRPr="007C3060" w:rsidRDefault="000A2A2B" w:rsidP="007C3060">
      <w:r w:rsidRPr="007C3060">
        <w:t>Bevilgningen på posten foreslås økt med 0,4 mill. kroner. Økningen vil bli benyttet til å dekke økte pensjons- og forsikringsforpliktelser for personer som rekrutteres som junior- og senioreksperter til FN og utviklingsbankene samt økte annonsekostnader i forbindelse med rekrutteringer til internasjonale organisasjoner.</w:t>
      </w:r>
    </w:p>
    <w:p w14:paraId="1C9B4533" w14:textId="77777777" w:rsidR="000A2A2B" w:rsidRPr="007C3060" w:rsidRDefault="000A2A2B" w:rsidP="007C3060">
      <w:pPr>
        <w:pStyle w:val="b-budkaptit"/>
      </w:pPr>
      <w:r w:rsidRPr="007C3060">
        <w:t>Kap. 151 Fred, sikkerhet og globalt -samarbeid</w:t>
      </w:r>
    </w:p>
    <w:p w14:paraId="0BBA85DB" w14:textId="77777777" w:rsidR="000A2A2B" w:rsidRPr="007C3060" w:rsidRDefault="000A2A2B" w:rsidP="007C3060">
      <w:pPr>
        <w:pStyle w:val="b-post"/>
      </w:pPr>
      <w:r w:rsidRPr="007C3060">
        <w:t>Post 74 Pliktige bidrag til FN-organisasjoner mv.</w:t>
      </w:r>
    </w:p>
    <w:p w14:paraId="0DADCB40" w14:textId="77777777" w:rsidR="000A2A2B" w:rsidRPr="007C3060" w:rsidRDefault="000A2A2B" w:rsidP="007C3060">
      <w:r w:rsidRPr="007C3060">
        <w:t>Det er et merbehov i 2025 som følge av endringer i valutakurser og økning i kontingenter. De fleste pliktige bidragene utbetales i utenlandsk valuta, først og fremst euro og amerikanske dollar. I tillegg ble de pliktige bidragene til blant annet FN, Den internasjonale arbeidslivsorganisasjon (ILO), Europarådet og Det internasjonale atomenergi-byrået (IAEA) høyere enn antatt som følge av at organisasjonene vedtar budsjettene etter at statsbudsjettet for 2025 ble utarbeidet.</w:t>
      </w:r>
    </w:p>
    <w:p w14:paraId="5F5AFB90" w14:textId="77777777" w:rsidR="000A2A2B" w:rsidRPr="007C3060" w:rsidRDefault="000A2A2B" w:rsidP="007C3060">
      <w:r w:rsidRPr="007C3060">
        <w:t>Bevilgningen på posten foreslås økt med 24,2 mill. kroner.</w:t>
      </w:r>
    </w:p>
    <w:p w14:paraId="4071AEAF" w14:textId="77777777" w:rsidR="000A2A2B" w:rsidRPr="007C3060" w:rsidRDefault="000A2A2B" w:rsidP="007C3060">
      <w:pPr>
        <w:pStyle w:val="b-budkaptit"/>
      </w:pPr>
      <w:r w:rsidRPr="007C3060">
        <w:t>Kap. 152 Menneskerettigheter</w:t>
      </w:r>
    </w:p>
    <w:p w14:paraId="64475493" w14:textId="77777777" w:rsidR="000A2A2B" w:rsidRPr="007C3060" w:rsidRDefault="000A2A2B" w:rsidP="007C3060">
      <w:pPr>
        <w:pStyle w:val="b-post"/>
      </w:pPr>
      <w:r w:rsidRPr="007C3060">
        <w:t>Post 70 Menneskerettigheter, kan overføres</w:t>
      </w:r>
    </w:p>
    <w:p w14:paraId="1F8485EA" w14:textId="77777777" w:rsidR="000A2A2B" w:rsidRPr="007C3060" w:rsidRDefault="000A2A2B" w:rsidP="007C3060">
      <w:r w:rsidRPr="007C3060">
        <w:t>Det foreslås å øke bevilgningen med 20 mill. kroner til arbeid for LHBT+ personers menneskerettigheter og deres beskyttelse. Midlene omprioriteres fra annen bistand. Dette arbeidet er hardt rammet av globale kutt og motarbeides aktivt i mange land. Økt finansiell støtte er nødvendig for å opprettholde internasjonalt menneskerettighets-arbeid for skeive. I tillegg foreslås bevilgningen økt med 30 mill. kroner til arbeid for ytringsfrihet i Europa. Midlene innrettes blant annet mot innsatser i Øst- og Sørøst-Europa samt Sentral-Asia, og koordineres tett med støtte fra EU. Undersøkende journalistikk, frie medier, inkludert redaktørstyrte medier, opplever store utfordringer i Europa. Den økte støtten vil bidra til økt motstandskraft til demokratier under press.</w:t>
      </w:r>
    </w:p>
    <w:p w14:paraId="3A1214CF" w14:textId="77777777" w:rsidR="000A2A2B" w:rsidRPr="007C3060" w:rsidRDefault="000A2A2B" w:rsidP="007C3060">
      <w:r w:rsidRPr="007C3060">
        <w:t>Til sammen foreslås bevilgningen på posten økt med 50 mill. kroner.</w:t>
      </w:r>
    </w:p>
    <w:p w14:paraId="62B528E1" w14:textId="77777777" w:rsidR="000A2A2B" w:rsidRPr="007C3060" w:rsidRDefault="000A2A2B" w:rsidP="007C3060">
      <w:pPr>
        <w:pStyle w:val="b-budkaptit"/>
      </w:pPr>
      <w:r w:rsidRPr="007C3060">
        <w:lastRenderedPageBreak/>
        <w:t>Kap. 153 Flyktninger, fordrevne og -</w:t>
      </w:r>
      <w:proofErr w:type="spellStart"/>
      <w:r w:rsidRPr="007C3060">
        <w:t>vertssamfunn</w:t>
      </w:r>
      <w:proofErr w:type="spellEnd"/>
    </w:p>
    <w:p w14:paraId="5AEE3E37" w14:textId="77777777" w:rsidR="000A2A2B" w:rsidRPr="007C3060" w:rsidRDefault="000A2A2B" w:rsidP="007C3060">
      <w:pPr>
        <w:pStyle w:val="b-post"/>
      </w:pPr>
      <w:r w:rsidRPr="007C3060">
        <w:t xml:space="preserve">Post 72 Bærekraftige løsninger og </w:t>
      </w:r>
      <w:proofErr w:type="spellStart"/>
      <w:r w:rsidRPr="007C3060">
        <w:t>vertssamfunn</w:t>
      </w:r>
      <w:proofErr w:type="spellEnd"/>
      <w:r w:rsidRPr="007C3060">
        <w:t>, kan overføres</w:t>
      </w:r>
    </w:p>
    <w:p w14:paraId="00D5B534" w14:textId="77777777" w:rsidR="000A2A2B" w:rsidRPr="007C3060" w:rsidRDefault="000A2A2B" w:rsidP="007C3060">
      <w:r w:rsidRPr="007C3060">
        <w:t>Bevilgningen på posten foreslås økt med 10 mill. kroner til kjernestøtte til Den internasjonale organisasjonen for migrasjon (IOM). Midlene omprioriteres fra annen bistand. IOMs kjernestøtte er viktig for å styrke organisasjonens oppfølging og kontroll med sin prosjektvirksomhet. Organisasjonen har fått redusert sine bidrag betydelig som følge av nedtrapping av USAs bistand.</w:t>
      </w:r>
    </w:p>
    <w:p w14:paraId="21952A9D" w14:textId="77777777" w:rsidR="000A2A2B" w:rsidRPr="007C3060" w:rsidRDefault="000A2A2B" w:rsidP="007C3060">
      <w:pPr>
        <w:pStyle w:val="b-budkaptit"/>
      </w:pPr>
      <w:r w:rsidRPr="007C3060">
        <w:t>Kap. 159 Regionbevilgninger</w:t>
      </w:r>
    </w:p>
    <w:p w14:paraId="72908EA4" w14:textId="77777777" w:rsidR="000A2A2B" w:rsidRPr="007C3060" w:rsidRDefault="000A2A2B" w:rsidP="007C3060">
      <w:pPr>
        <w:pStyle w:val="b-post"/>
      </w:pPr>
      <w:r w:rsidRPr="007C3060">
        <w:t>Post 70 Midtøsten, kan overføres</w:t>
      </w:r>
    </w:p>
    <w:p w14:paraId="2EBD2B78" w14:textId="77777777" w:rsidR="000A2A2B" w:rsidRPr="007C3060" w:rsidRDefault="000A2A2B" w:rsidP="007C3060">
      <w:r w:rsidRPr="007C3060">
        <w:t xml:space="preserve">Bevilgningen på posten foreslås økt med 37,9 mill. kroner for å støtte økonomisk gjenoppbygging og en vellykket politisk overgang etter </w:t>
      </w:r>
      <w:proofErr w:type="spellStart"/>
      <w:r w:rsidRPr="007C3060">
        <w:t>Assad</w:t>
      </w:r>
      <w:proofErr w:type="spellEnd"/>
      <w:r w:rsidRPr="007C3060">
        <w:t>-regimets fall, til et mer inkluderende samfunn i Syria. Midlene omprioriteres fra annen bistand. Det er stor mangel på elektrisitet som er en viktig forutsetning for gjenoppbygging. Støtten er planlagt benyttet til reparasjoner og vedlikehold av kraftverk for å bedre strømforsyningen.</w:t>
      </w:r>
    </w:p>
    <w:p w14:paraId="2A395C75" w14:textId="77777777" w:rsidR="000A2A2B" w:rsidRPr="007C3060" w:rsidRDefault="000A2A2B" w:rsidP="007C3060">
      <w:pPr>
        <w:pStyle w:val="b-post"/>
      </w:pPr>
      <w:r w:rsidRPr="007C3060">
        <w:t>Post 71 Europa og Sentral-Asia, kan overføres</w:t>
      </w:r>
    </w:p>
    <w:p w14:paraId="759CC161" w14:textId="77777777" w:rsidR="000A2A2B" w:rsidRPr="007C3060" w:rsidRDefault="000A2A2B" w:rsidP="007C3060">
      <w:r w:rsidRPr="007C3060">
        <w:t xml:space="preserve">Bevilgningen på posten foreslås redusert med 10 mill. kroner mot tilsvarende økning på kap. 152, post 70 </w:t>
      </w:r>
      <w:r w:rsidRPr="007C3060">
        <w:rPr>
          <w:rStyle w:val="kursiv"/>
        </w:rPr>
        <w:t>Menneskerettigheter</w:t>
      </w:r>
      <w:r w:rsidRPr="007C3060">
        <w:t>. Reduksjonen er et ledd i nedtrappingen og konsolideringen av norsk bistand til Vest-Balkan. Midlene skal benyttes til økt støtte til ytringsfrihet i Øst- og Sørøst-Europa. Se nærmere omtale under kap. 152, post 70.</w:t>
      </w:r>
    </w:p>
    <w:p w14:paraId="19B38E04" w14:textId="77777777" w:rsidR="000A2A2B" w:rsidRPr="007C3060" w:rsidRDefault="000A2A2B" w:rsidP="007C3060">
      <w:pPr>
        <w:pStyle w:val="b-post"/>
      </w:pPr>
      <w:r w:rsidRPr="007C3060">
        <w:t>Post 73 Ukraina og naboland, kan overføres</w:t>
      </w:r>
    </w:p>
    <w:p w14:paraId="185BF8F6" w14:textId="77777777" w:rsidR="000A2A2B" w:rsidRPr="007C3060" w:rsidRDefault="000A2A2B" w:rsidP="007C3060">
      <w:r w:rsidRPr="007C3060">
        <w:t>Russlands krig mot Ukraina er den største sikkerhetspolitiske krisen i Europa i vår tid. Nansen-programmets sivile del er det største programmet i norsk bistandshistorie. Ved etableringen av Nansen-programmet i 2023 ble det vedtatt at behov for driftsmidler vurderes på nytt ved større endringer i beløp og innhold for programmet. Stortinget vedtok i desember 2024 å utvide Nansen-programmet til 2030 og øke støtten til minst 154,5 mrd. kroner. 24. april vedtok Stortinget å øke den militære støtten for 2025 med ytterligere 50 mrd. kroner, som øker rammen for programmet til minst 204,5 mrd. kroner. Erfaringene etter tre år med krig og to år med Nansen-programmet, viser at det er behov for ytterligere kapasitet både i Utenriksdepartementet, ved ambassaden i Kyiv, i Norad og i Direktoratet for strålevern og atomsikkerhet (DSA) for å håndtere det vedvarende høye aktivitetsnivået og kompleksiteten i oppgavene.</w:t>
      </w:r>
    </w:p>
    <w:p w14:paraId="1B6AB01D" w14:textId="77777777" w:rsidR="000A2A2B" w:rsidRPr="007C3060" w:rsidRDefault="000A2A2B" w:rsidP="007C3060">
      <w:r w:rsidRPr="007C3060">
        <w:t>Utvidelsen av Nansen-programmet innebærer store bevilgninger til et land i krig med betydelige utfordringer knyttet til korrupsjon. Det kreves økte ressurser både for å sikre god og forsvarlig forvaltning av midlene, samt håndtere den sikkerhetspolitiske krisen og følge opp den politiske og økonomiske støtten gjennom Nansen-programmet.</w:t>
      </w:r>
    </w:p>
    <w:p w14:paraId="66F30B98" w14:textId="77777777" w:rsidR="000A2A2B" w:rsidRPr="007C3060" w:rsidRDefault="000A2A2B" w:rsidP="007C3060">
      <w:r w:rsidRPr="007C3060">
        <w:lastRenderedPageBreak/>
        <w:t xml:space="preserve">Det foreslås å redusere bevilgningen med 14,2 mill. kroner mot en økning på henholdsvis 8,4 mill. kroner på kap. 100 </w:t>
      </w:r>
      <w:r w:rsidRPr="007C3060">
        <w:rPr>
          <w:rStyle w:val="kursiv"/>
        </w:rPr>
        <w:t>Utenriksdepartementet</w:t>
      </w:r>
      <w:r w:rsidRPr="007C3060">
        <w:t xml:space="preserve">, post 01 </w:t>
      </w:r>
      <w:r w:rsidRPr="007C3060">
        <w:rPr>
          <w:rStyle w:val="kursiv"/>
        </w:rPr>
        <w:t>Driftsutgifter</w:t>
      </w:r>
      <w:r w:rsidRPr="007C3060">
        <w:t xml:space="preserve">, 4,8 mill. kroner på kap. 141 </w:t>
      </w:r>
      <w:r w:rsidRPr="007C3060">
        <w:rPr>
          <w:rStyle w:val="kursiv"/>
        </w:rPr>
        <w:t>Direktoratet for utviklingssamarbeid (Norad)</w:t>
      </w:r>
      <w:r w:rsidRPr="007C3060">
        <w:t xml:space="preserve">, post 01 </w:t>
      </w:r>
      <w:r w:rsidRPr="007C3060">
        <w:rPr>
          <w:rStyle w:val="kursiv"/>
        </w:rPr>
        <w:t xml:space="preserve">Driftsutgifter </w:t>
      </w:r>
      <w:r w:rsidRPr="007C3060">
        <w:t>og 1 mill. kroner på kap. 140</w:t>
      </w:r>
      <w:r w:rsidRPr="007C3060">
        <w:rPr>
          <w:rStyle w:val="kursiv"/>
        </w:rPr>
        <w:t xml:space="preserve"> Utenriksdepartementet, </w:t>
      </w:r>
      <w:r w:rsidRPr="007C3060">
        <w:t xml:space="preserve">post 21 </w:t>
      </w:r>
      <w:r w:rsidRPr="007C3060">
        <w:rPr>
          <w:rStyle w:val="kursiv"/>
        </w:rPr>
        <w:t xml:space="preserve">Spesielle driftsutgifter </w:t>
      </w:r>
      <w:r w:rsidRPr="007C3060">
        <w:t>til DSA. Midlene skal benyttes til å styrke forvaltning og oppfølging av Nansen-programmet.</w:t>
      </w:r>
    </w:p>
    <w:p w14:paraId="1510B5DD" w14:textId="77777777" w:rsidR="000A2A2B" w:rsidRPr="007C3060" w:rsidRDefault="000A2A2B" w:rsidP="007C3060">
      <w:r w:rsidRPr="007C3060">
        <w:t xml:space="preserve">I 2024 vedtok Stortinget at </w:t>
      </w:r>
      <w:proofErr w:type="spellStart"/>
      <w:r w:rsidRPr="007C3060">
        <w:t>Norfund</w:t>
      </w:r>
      <w:proofErr w:type="spellEnd"/>
      <w:r w:rsidRPr="007C3060">
        <w:t xml:space="preserve"> skal investere i Ukraina, jf. </w:t>
      </w:r>
      <w:proofErr w:type="spellStart"/>
      <w:r w:rsidRPr="007C3060">
        <w:t>Prop</w:t>
      </w:r>
      <w:proofErr w:type="spellEnd"/>
      <w:r w:rsidRPr="007C3060">
        <w:t xml:space="preserve">. 24 S (2024–2025). Regjeringen foreslår en videreføring av midler til </w:t>
      </w:r>
      <w:proofErr w:type="spellStart"/>
      <w:r w:rsidRPr="007C3060">
        <w:t>Norfunds</w:t>
      </w:r>
      <w:proofErr w:type="spellEnd"/>
      <w:r w:rsidRPr="007C3060">
        <w:t xml:space="preserve"> nye Ukraina-fond i 2025 og foreslår å flytte 250 mill. kroner til kap. 162 </w:t>
      </w:r>
      <w:r w:rsidRPr="007C3060">
        <w:rPr>
          <w:rStyle w:val="kursiv"/>
        </w:rPr>
        <w:t xml:space="preserve">Næringsutvikling, </w:t>
      </w:r>
      <w:proofErr w:type="spellStart"/>
      <w:r w:rsidRPr="007C3060">
        <w:rPr>
          <w:rStyle w:val="kursiv"/>
        </w:rPr>
        <w:t>matsystemer</w:t>
      </w:r>
      <w:proofErr w:type="spellEnd"/>
      <w:r w:rsidRPr="007C3060">
        <w:rPr>
          <w:rStyle w:val="kursiv"/>
        </w:rPr>
        <w:t xml:space="preserve"> og fornybar energi</w:t>
      </w:r>
      <w:r w:rsidRPr="007C3060">
        <w:t xml:space="preserve">, post 77 </w:t>
      </w:r>
      <w:proofErr w:type="spellStart"/>
      <w:r w:rsidRPr="007C3060">
        <w:rPr>
          <w:rStyle w:val="kursiv"/>
        </w:rPr>
        <w:t>Norfund</w:t>
      </w:r>
      <w:proofErr w:type="spellEnd"/>
      <w:r w:rsidRPr="007C3060">
        <w:rPr>
          <w:rStyle w:val="kursiv"/>
        </w:rPr>
        <w:t xml:space="preserve"> – Ukraina risikokapital</w:t>
      </w:r>
      <w:r w:rsidRPr="007C3060">
        <w:t xml:space="preserve"> og post 97 </w:t>
      </w:r>
      <w:proofErr w:type="spellStart"/>
      <w:r w:rsidRPr="007C3060">
        <w:rPr>
          <w:rStyle w:val="kursiv"/>
        </w:rPr>
        <w:t>Norfund</w:t>
      </w:r>
      <w:proofErr w:type="spellEnd"/>
      <w:r w:rsidRPr="007C3060">
        <w:rPr>
          <w:rStyle w:val="kursiv"/>
        </w:rPr>
        <w:t xml:space="preserve"> – Ukraina kapitalinnskudd</w:t>
      </w:r>
      <w:r w:rsidRPr="007C3060">
        <w:t>, jf. omtale under disse postene.</w:t>
      </w:r>
    </w:p>
    <w:p w14:paraId="3D1DAB7D" w14:textId="77777777" w:rsidR="000A2A2B" w:rsidRPr="007C3060" w:rsidRDefault="000A2A2B" w:rsidP="007C3060">
      <w:r w:rsidRPr="007C3060">
        <w:t>Til sammen foreslås bevilgningen på posten redusert med 264,2 mill. kroner.</w:t>
      </w:r>
    </w:p>
    <w:p w14:paraId="3648A9D6" w14:textId="77777777" w:rsidR="000A2A2B" w:rsidRPr="007C3060" w:rsidRDefault="000A2A2B" w:rsidP="007C3060">
      <w:pPr>
        <w:pStyle w:val="avsnitt-undertittel"/>
      </w:pPr>
      <w:r w:rsidRPr="007C3060">
        <w:t>Redegjørelse for arbeidet med korrupsjonsrisiko i Nansen-programmet</w:t>
      </w:r>
    </w:p>
    <w:p w14:paraId="1CA83EE7" w14:textId="77777777" w:rsidR="000A2A2B" w:rsidRPr="007C3060" w:rsidRDefault="000A2A2B" w:rsidP="007C3060">
      <w:r w:rsidRPr="007C3060">
        <w:t>Da partiene på Stortinget 28. november 2024 ble enige om å utvide Nansen-programmet for 2025, understreket alle partiene betydningen av god kontroll og revisjon med så store bevilgninger til et land i krig med betydelige utfordringer knyttet til korrupsjon. Regjeringen varslet at den ville komme tilbake til Stortinget med en nærmere redegjørelse for dette arbeidet og gjøre en vurdering av ytterligere tiltak i dialog med Stortinget.</w:t>
      </w:r>
    </w:p>
    <w:p w14:paraId="7D81D451" w14:textId="77777777" w:rsidR="000A2A2B" w:rsidRPr="007C3060" w:rsidRDefault="000A2A2B" w:rsidP="007C3060">
      <w:r w:rsidRPr="007C3060">
        <w:t>Regjeringen har nulltoleranse mot økonomiske misligheter og stiller tydelige krav til kontroll og revisjon av all norsk støtte.</w:t>
      </w:r>
    </w:p>
    <w:p w14:paraId="78BB34AA" w14:textId="77777777" w:rsidR="000A2A2B" w:rsidRPr="007C3060" w:rsidRDefault="000A2A2B" w:rsidP="007C3060">
      <w:r w:rsidRPr="007C3060">
        <w:t xml:space="preserve">Gjennom Nansen-programmet yter Norge omfattende støtte til Ukraina. Håndtering av risiko er beskrevet i </w:t>
      </w:r>
      <w:proofErr w:type="spellStart"/>
      <w:r w:rsidRPr="007C3060">
        <w:t>Prop</w:t>
      </w:r>
      <w:proofErr w:type="spellEnd"/>
      <w:r w:rsidRPr="007C3060">
        <w:t xml:space="preserve">. 44 S (2022–2023) </w:t>
      </w:r>
      <w:r w:rsidRPr="007C3060">
        <w:rPr>
          <w:rStyle w:val="kursiv"/>
        </w:rPr>
        <w:t>Endringer i statsbudsjettet 2023 under Utenriksdepartementet og Forsvarsdepartementet (nytt Nansen-program for Ukraina og ettårig ekstrabevilgning til utviklingsland som er særlig rammet av krigens ringvirkninger)</w:t>
      </w:r>
      <w:r w:rsidRPr="007C3060">
        <w:t xml:space="preserve">, Meld. St. 8 (2023–2024) </w:t>
      </w:r>
      <w:r w:rsidRPr="007C3060">
        <w:rPr>
          <w:rStyle w:val="kursiv"/>
        </w:rPr>
        <w:t>Nansen-programmet for Ukraina</w:t>
      </w:r>
      <w:r w:rsidRPr="007C3060">
        <w:t xml:space="preserve"> og </w:t>
      </w:r>
      <w:proofErr w:type="spellStart"/>
      <w:r w:rsidRPr="007C3060">
        <w:t>Prop</w:t>
      </w:r>
      <w:proofErr w:type="spellEnd"/>
      <w:r w:rsidRPr="007C3060">
        <w:t xml:space="preserve">. 107 S (2024–2025) </w:t>
      </w:r>
      <w:r w:rsidRPr="007C3060">
        <w:rPr>
          <w:rStyle w:val="kursiv"/>
        </w:rPr>
        <w:t>Endringer i statsbudsjettet 2025 under Utenriksdepartementet og Forsvarsdepartementet (økt militær støtte til Ukraina).</w:t>
      </w:r>
    </w:p>
    <w:p w14:paraId="40E046BC" w14:textId="77777777" w:rsidR="000A2A2B" w:rsidRPr="007C3060" w:rsidRDefault="000A2A2B" w:rsidP="007C3060">
      <w:r w:rsidRPr="007C3060">
        <w:t xml:space="preserve">Korrupsjonsrisiko er utfordrende for både norsk og internasjonal støtte til Ukraina. Risikoen forsterkes av at Ukraina er i krig og mottar svært omfattende sivil og militær støtte. Utover risiko for korrupsjon, identifiserte regjeringen i </w:t>
      </w:r>
      <w:proofErr w:type="spellStart"/>
      <w:r w:rsidRPr="007C3060">
        <w:t>Prop</w:t>
      </w:r>
      <w:proofErr w:type="spellEnd"/>
      <w:r w:rsidRPr="007C3060">
        <w:t>. 44 S (2022–2023) flere risikoer forbundet med støtte til Ukraina, blant annet risiko for feilinvesteringer, risiko forbundet med at militær støtte kan misbrukes eller komme på avveie, makroøkonomisk risiko og risiko for at humanitær innsats politiseres. Regjeringen vurderte imidlertid da, som nå, at Norge vil løpe en enda større risiko ved å ikke støtte Ukraina i landets forsvarskamp mot Russlands aggresjon. Ukraina kjemper for sitt eget land, men også for Europas sikkerhet og et verdenssamfunn bygget på folkerett og demokratiske verdier. Det legges derfor til grunn en høyere risikoaksept enn normalt, i lys av behovet for å gi Ukraina omfattende og nødvendig støtte raskt.</w:t>
      </w:r>
    </w:p>
    <w:p w14:paraId="77066034" w14:textId="77777777" w:rsidR="000A2A2B" w:rsidRPr="007C3060" w:rsidRDefault="000A2A2B" w:rsidP="007C3060">
      <w:r w:rsidRPr="007C3060">
        <w:t>Utenriksdepartementet og Forsvarsdepartementet følger opp underliggende etaters kontroll og styring av risiko som del av den ordinære etatsstyringen.</w:t>
      </w:r>
    </w:p>
    <w:p w14:paraId="4AA596C9" w14:textId="77777777" w:rsidR="000A2A2B" w:rsidRPr="007C3060" w:rsidRDefault="000A2A2B" w:rsidP="007C3060">
      <w:pPr>
        <w:pStyle w:val="avsnitt-under-undertittel"/>
      </w:pPr>
      <w:r w:rsidRPr="007C3060">
        <w:lastRenderedPageBreak/>
        <w:t>Sivil bistand</w:t>
      </w:r>
    </w:p>
    <w:p w14:paraId="4D968C70" w14:textId="77777777" w:rsidR="000A2A2B" w:rsidRPr="007C3060" w:rsidRDefault="000A2A2B" w:rsidP="007C3060">
      <w:r w:rsidRPr="007C3060">
        <w:t xml:space="preserve">Det politiske grunnlaget for Nansen-programmet er avtalen inngått 16. februar 2023 mellom alle partiene på Stortinget. I den politiske avtalen ble det lagt til grunn at de foretrukne kanalene for Norges støtte skal være etablerte og internasjonalt anerkjente organisasjoner og partnere, med dokumentert evne til å kontrollere og levere resultater, god kapasitet og gode kontrollsystemer. 86 pst. av norsk sivil bistand til Ukraina går derfor gjennom organisasjoner som Verdensbanken, Den europeiske banken for </w:t>
      </w:r>
      <w:proofErr w:type="spellStart"/>
      <w:r w:rsidRPr="007C3060">
        <w:t>gjennoppbygging</w:t>
      </w:r>
      <w:proofErr w:type="spellEnd"/>
      <w:r w:rsidRPr="007C3060">
        <w:t xml:space="preserve"> og utvikling (EBRD), FN og de største humanitære organisasjonene.</w:t>
      </w:r>
    </w:p>
    <w:p w14:paraId="2396825A" w14:textId="77777777" w:rsidR="000A2A2B" w:rsidRPr="007C3060" w:rsidRDefault="000A2A2B" w:rsidP="007C3060">
      <w:r w:rsidRPr="007C3060">
        <w:t>Disse organisasjonene har nulltoleranse for økonomisk mislighold. Norge stiller også krav til at organisasjonene har systemer som forebygger, avdekker og håndterer økonomiske og andre misligheter på en god måte. Dette ansvaret ligger hos de multilaterale organisasjonene. Norge arbeider både gjennom deltakelse i styrende organer og på andre måter for å styrke multilaterale organisasjoners arbeid for nulltoleranse. Norge er representert i styrene i de multilaterale organisasjonene, og følger opp arbeidet med forebygging og håndtering av korrupsjon i disse foraene.</w:t>
      </w:r>
    </w:p>
    <w:p w14:paraId="60136C1E" w14:textId="77777777" w:rsidR="000A2A2B" w:rsidRPr="007C3060" w:rsidRDefault="000A2A2B" w:rsidP="007C3060">
      <w:r w:rsidRPr="007C3060">
        <w:t>Styrene i de multilaterale utviklingsbankene blir løpende orientert om bankenes rutiner for kontroll og oppfølging av korrupsjonsrisiko i Ukraina. I tillegg følges korrupsjonsrisiko opp i hvert enkelt fond i de multilaterale utviklingsbankene som Norge støtter.</w:t>
      </w:r>
    </w:p>
    <w:p w14:paraId="6427A84B" w14:textId="77777777" w:rsidR="000A2A2B" w:rsidRPr="007C3060" w:rsidRDefault="000A2A2B" w:rsidP="007C3060">
      <w:r w:rsidRPr="007C3060">
        <w:t xml:space="preserve">Norge stiller krav til og følger med på hvordan FN-organisasjonene håndterer </w:t>
      </w:r>
      <w:proofErr w:type="spellStart"/>
      <w:r w:rsidRPr="007C3060">
        <w:t>misligholdssaker</w:t>
      </w:r>
      <w:proofErr w:type="spellEnd"/>
      <w:r w:rsidRPr="007C3060">
        <w:t xml:space="preserve"> og samarbeider med andre land om reaksjoner når det er aktuelt. Regelmessig oppfølging fra Norad styrker risikostyring og internkontroll hos partnerne.</w:t>
      </w:r>
    </w:p>
    <w:p w14:paraId="60702694" w14:textId="77777777" w:rsidR="000A2A2B" w:rsidRPr="007C3060" w:rsidRDefault="000A2A2B" w:rsidP="007C3060">
      <w:r w:rsidRPr="007C3060">
        <w:t>UD har delegert ansvar for tilskuddsforvaltningen av størstedelen av den sivile støtten over Nansen-programmet til Norad. Risikostyring er en helt sentral del av forvaltningen, både i UD og Norad.</w:t>
      </w:r>
    </w:p>
    <w:p w14:paraId="4984D3BB" w14:textId="77777777" w:rsidR="000A2A2B" w:rsidRPr="007C3060" w:rsidRDefault="000A2A2B" w:rsidP="007C3060">
      <w:r w:rsidRPr="007C3060">
        <w:t>Norad arbeider kontinuerlig med å styrke håndteringen av korrupsjonsrisiko i Nansen-programmet. Korrupsjonsrisiko i Ukraina er kartlagt og overvåkes. Norad gjennomfører løpende risikovurderinger av våre partneres kontrollsystemer.</w:t>
      </w:r>
    </w:p>
    <w:p w14:paraId="07BB9038" w14:textId="77777777" w:rsidR="000A2A2B" w:rsidRPr="007C3060" w:rsidRDefault="000A2A2B" w:rsidP="007C3060">
      <w:r w:rsidRPr="007C3060">
        <w:t xml:space="preserve">Norad gjennomførte i oktober 2024 en gjennomgang av risikostyringen i forvaltningen av midler til sivil støtte gjennom Nansen-programmet. Denne gjennomgangen samt Riksrevisjonens rapport om </w:t>
      </w:r>
      <w:r w:rsidRPr="007C3060">
        <w:rPr>
          <w:rStyle w:val="kursiv"/>
        </w:rPr>
        <w:t>UD og Norads håndtering av risikoen for økonomiske misligheter i forvaltningen av bistanden</w:t>
      </w:r>
      <w:r w:rsidRPr="007C3060">
        <w:t xml:space="preserve"> (Dokument 3:4 (2024–2025)), har bidratt til en forsterket innsats for risikostyring i Norad og Nansen-programmet. Blant annet har Norad etablert et risikoregister for kartlegging av korrupsjonsrisiko og røde flagg tilknyttet avtaler og partnere.</w:t>
      </w:r>
    </w:p>
    <w:p w14:paraId="41985B4F" w14:textId="77777777" w:rsidR="000A2A2B" w:rsidRPr="007C3060" w:rsidRDefault="000A2A2B" w:rsidP="007C3060">
      <w:r w:rsidRPr="007C3060">
        <w:t>Norads internrevisjon håndterer alle varslingssaker som gjelder mistanke om økonomiske misligheter. Alle kan varsle, og både UD og Norad har en dedikert varslingsepost, webside og ekstern varslingskanal som er tilgjengelig globalt.</w:t>
      </w:r>
    </w:p>
    <w:p w14:paraId="0CF3AA90" w14:textId="77777777" w:rsidR="000A2A2B" w:rsidRPr="007C3060" w:rsidRDefault="000A2A2B" w:rsidP="007C3060">
      <w:r w:rsidRPr="007C3060">
        <w:t>Riksrevisjonen er i gang med en forvaltningsrevisjon av den sivile norske støtten til Ukraina fra starten av fullskalainvasjonen i 2022 og ut 2025. Håndtering av risiko, arbeidet med anti-korrupsjon og gode kontrollrutiner for bruken av midlene er sentrale problemstillinger.</w:t>
      </w:r>
    </w:p>
    <w:p w14:paraId="7AE30703" w14:textId="77777777" w:rsidR="000A2A2B" w:rsidRPr="007C3060" w:rsidRDefault="000A2A2B" w:rsidP="007C3060">
      <w:pPr>
        <w:pStyle w:val="avsnitt-under-undertittel"/>
      </w:pPr>
      <w:r w:rsidRPr="007C3060">
        <w:lastRenderedPageBreak/>
        <w:t>Militær støtte</w:t>
      </w:r>
    </w:p>
    <w:p w14:paraId="729100D6" w14:textId="77777777" w:rsidR="000A2A2B" w:rsidRPr="007C3060" w:rsidRDefault="000A2A2B" w:rsidP="007C3060">
      <w:r w:rsidRPr="007C3060">
        <w:t>Forsvarsdepartementet forvalter den militære støtten til Ukraina gjennom Nansen-programmet, foretar kontroll og følger opp styring av risiko relatert til støtten.</w:t>
      </w:r>
    </w:p>
    <w:p w14:paraId="3FDA1099" w14:textId="77777777" w:rsidR="000A2A2B" w:rsidRPr="007C3060" w:rsidRDefault="000A2A2B" w:rsidP="007C3060">
      <w:r w:rsidRPr="007C3060">
        <w:t>Den militære støtten gis i form av donasjoner av materiell fra forsvarssektoren, anskaffelser av materiell for donasjon fra industrien, støtte gjennom internasjonale samarbeidsmekanismer samt trening og opplæring av ukrainsk personell. I tillegg gis det støtte til tiltak for økt industriproduksjonskapasitet i Norge og Ukraina.</w:t>
      </w:r>
    </w:p>
    <w:p w14:paraId="2BBB84FE" w14:textId="77777777" w:rsidR="000A2A2B" w:rsidRPr="007C3060" w:rsidRDefault="000A2A2B" w:rsidP="007C3060">
      <w:r w:rsidRPr="007C3060">
        <w:t>Forsvarsdepartementets internrevisjon har gitt rådgivning og gjennomført revisjon av Nansen-programmet med søkelys på internkontroll og risikostyring. Dette legger til rette for å forbedre departementets kapasitet og kompetanse til å iverksette og videreutvikle systemer for kontroll og risikostyring av den militære støtten.</w:t>
      </w:r>
    </w:p>
    <w:p w14:paraId="53E9BBB8" w14:textId="77777777" w:rsidR="000A2A2B" w:rsidRPr="007C3060" w:rsidRDefault="000A2A2B" w:rsidP="007C3060">
      <w:r w:rsidRPr="007C3060">
        <w:t>Varslingssaker som gjelder mistanker om økonomiske misligheter for Forsvarsdepartementet og Forsvarsmateriell blir håndtert av Forsvarsdepartementets internrevisjon. Forsvaret har en sentral varslingsenhet som håndterer slike saker i Forsvaret. Sakene av prinsipiell art blir likevel overført fra Forsvaret til Forsvarsdepartementets internrevisjon.</w:t>
      </w:r>
    </w:p>
    <w:p w14:paraId="48D36B91" w14:textId="77777777" w:rsidR="000A2A2B" w:rsidRPr="007C3060" w:rsidRDefault="000A2A2B" w:rsidP="007C3060">
      <w:r w:rsidRPr="007C3060">
        <w:t>Regjeringen har siden høsten 2024 vektlagt tiltak til støtte for ukrainsk forsvarsindustri og økt produksjonskapasitet i Ukraina. Stortinget er i brev av 15. november 2024 informert om at slike tiltak innebærer større risiko enn andre tiltak for militær støtte gjennom Nansen-programmet. Forsvarsdepartementet har derfor lagt særskilt vekt på kontroll og sporbarhet forbundet med slike tiltak.</w:t>
      </w:r>
    </w:p>
    <w:p w14:paraId="71D27ED4" w14:textId="77777777" w:rsidR="000A2A2B" w:rsidRPr="007C3060" w:rsidRDefault="000A2A2B" w:rsidP="007C3060">
      <w:r w:rsidRPr="007C3060">
        <w:t>Høsten 2024 underskrev Norge og Ukraina en avtale om materiellsamarbeid, som slår fast nødvendigheten av eksportkontroll, anti-korrupsjonsarbeid, beskyttelse av intellektuelle rettigheter, transport, logistikk og trening.</w:t>
      </w:r>
    </w:p>
    <w:p w14:paraId="33586D19" w14:textId="77777777" w:rsidR="000A2A2B" w:rsidRPr="007C3060" w:rsidRDefault="000A2A2B" w:rsidP="007C3060">
      <w:pPr>
        <w:pStyle w:val="avsnitt-under-undertittel"/>
      </w:pPr>
      <w:r w:rsidRPr="007C3060">
        <w:t>Støtte til reformarbeidet og kapasitetsbygging</w:t>
      </w:r>
    </w:p>
    <w:p w14:paraId="625E2914" w14:textId="77777777" w:rsidR="000A2A2B" w:rsidRPr="007C3060" w:rsidRDefault="000A2A2B" w:rsidP="007C3060">
      <w:r w:rsidRPr="007C3060">
        <w:t>Ukraina søker medlemskap i EU og større euro-atlantisk integrasjon. Ukraina har gjennomført vesentlige reformer mot korrupsjon og økonomisk kriminalitet, særlig i årene etter 2014. Dette arbeidet har Norge støttet.</w:t>
      </w:r>
    </w:p>
    <w:p w14:paraId="515ACBAA" w14:textId="77777777" w:rsidR="000A2A2B" w:rsidRPr="007C3060" w:rsidRDefault="000A2A2B" w:rsidP="007C3060">
      <w:r w:rsidRPr="007C3060">
        <w:t xml:space="preserve">Gjennom Nansen-programmet støtter Norge reformarbeid og kapasitetsbygging i offentlig og privat sektor og hos sivile samfunnsaktører i Ukraina. Støtten gis blant annet gjennom Verdensbanken, Europarådet, Organisasjonen for økonomisk samarbeid og utvikling (OECD), FNs kontor for narkotika og kriminalitet (UNODC) og Forsvarsdepartementets Centre for </w:t>
      </w:r>
      <w:proofErr w:type="spellStart"/>
      <w:r w:rsidRPr="007C3060">
        <w:t>Integrity</w:t>
      </w:r>
      <w:proofErr w:type="spellEnd"/>
      <w:r w:rsidRPr="007C3060">
        <w:t xml:space="preserve"> in </w:t>
      </w:r>
      <w:proofErr w:type="spellStart"/>
      <w:r w:rsidRPr="007C3060">
        <w:t>the</w:t>
      </w:r>
      <w:proofErr w:type="spellEnd"/>
      <w:r w:rsidRPr="007C3060">
        <w:t xml:space="preserve"> </w:t>
      </w:r>
      <w:proofErr w:type="spellStart"/>
      <w:r w:rsidRPr="007C3060">
        <w:t>Defence</w:t>
      </w:r>
      <w:proofErr w:type="spellEnd"/>
      <w:r w:rsidRPr="007C3060">
        <w:t xml:space="preserve"> </w:t>
      </w:r>
      <w:proofErr w:type="spellStart"/>
      <w:r w:rsidRPr="007C3060">
        <w:t>Sector</w:t>
      </w:r>
      <w:proofErr w:type="spellEnd"/>
      <w:r w:rsidRPr="007C3060">
        <w:t xml:space="preserve"> (CIDS). Dette inkluderer også støtte til folkeopplysning mot korrupsjon, påvirkningsarbeid og gravejournalistikk. På denne måten bidrar Norge til rettsreform, nasjonal ressursmobilisering og forebygging av korrupsjon. Dessuten gis støtte til rådgivning om hvordan ukrainske forsvarsmyndigheter selv kan forebygge korrupsjon. Norske leverandører som ønsker å etablere seg i Ukraina får også tilgang på rådgivning for å redusere risikoen for korrupsjon.</w:t>
      </w:r>
    </w:p>
    <w:p w14:paraId="23442C13" w14:textId="77777777" w:rsidR="000A2A2B" w:rsidRPr="007C3060" w:rsidRDefault="000A2A2B" w:rsidP="007C3060">
      <w:r w:rsidRPr="007C3060">
        <w:t xml:space="preserve">Det er besluttet å etablere en stilling som spesialutsending for politisaker ved ambassaden i Kyiv fra høsten 2025. Dette vil gi et bedre grunnlag for å følge utviklingen og det økonomiske </w:t>
      </w:r>
      <w:r w:rsidRPr="007C3060">
        <w:lastRenderedPageBreak/>
        <w:t>kriminalitetsbildet i Ukraina med internasjonale forgreininger. Denne stillingen kommer i tillegg til styrkingen av forsvarsattachekontoret ved ambassaden i Kyiv, som gir et godt grunnlag for å ivareta dialog med og oppfølging av norsk militær støtte med ukrainske forsvarsmyndigheter og industri.</w:t>
      </w:r>
    </w:p>
    <w:p w14:paraId="095B9D49" w14:textId="77777777" w:rsidR="000A2A2B" w:rsidRPr="007C3060" w:rsidRDefault="000A2A2B" w:rsidP="007C3060">
      <w:pPr>
        <w:pStyle w:val="b-budkaptit"/>
      </w:pPr>
      <w:r w:rsidRPr="007C3060">
        <w:t>Kap. 161 Utdanning, forskning og offentlige institusjoner</w:t>
      </w:r>
    </w:p>
    <w:p w14:paraId="1AADBED5" w14:textId="77777777" w:rsidR="000A2A2B" w:rsidRPr="007C3060" w:rsidRDefault="000A2A2B" w:rsidP="007C3060">
      <w:pPr>
        <w:pStyle w:val="b-post"/>
      </w:pPr>
      <w:r w:rsidRPr="007C3060">
        <w:t>Post 70 Utdanning, kan overføres</w:t>
      </w:r>
    </w:p>
    <w:p w14:paraId="167EA588" w14:textId="77777777" w:rsidR="000A2A2B" w:rsidRPr="007C3060" w:rsidRDefault="000A2A2B" w:rsidP="007C3060">
      <w:r w:rsidRPr="007C3060">
        <w:t xml:space="preserve">Bevilgningen på posten foreslås redusert med 68 mill. kroner for å øke bevilgninger til annen bistand. Det er beregnet et </w:t>
      </w:r>
      <w:proofErr w:type="spellStart"/>
      <w:r w:rsidRPr="007C3060">
        <w:t>mindrebehov</w:t>
      </w:r>
      <w:proofErr w:type="spellEnd"/>
      <w:r w:rsidRPr="007C3060">
        <w:t xml:space="preserve"> på 18 mill. kroner for NORHED-programmet i år, og utbetaling av 50 mill. kroner av avtalt bidrag til Det globale partnerskapet for utdanning (GPE) som har god likviditet, utsettes til 2026. Det foreslås å omprioritere midlene til økt støtte til blant annet kvinners og skeives rettigheter, ytrings-frihet og Syria.</w:t>
      </w:r>
    </w:p>
    <w:p w14:paraId="13A11612" w14:textId="77777777" w:rsidR="000A2A2B" w:rsidRPr="007C3060" w:rsidRDefault="000A2A2B" w:rsidP="007C3060">
      <w:pPr>
        <w:pStyle w:val="b-post"/>
      </w:pPr>
      <w:r w:rsidRPr="007C3060">
        <w:t>Post 71 Forskning, kan overføres</w:t>
      </w:r>
    </w:p>
    <w:p w14:paraId="25D864D7" w14:textId="77777777" w:rsidR="000A2A2B" w:rsidRPr="007C3060" w:rsidRDefault="000A2A2B" w:rsidP="007C3060">
      <w:r w:rsidRPr="007C3060">
        <w:t xml:space="preserve">Bevilgningen på posten foreslås redusert med 8,5 mill. kroner som følge av at planlagt første utbetaling av ny fase med Science </w:t>
      </w:r>
      <w:proofErr w:type="spellStart"/>
      <w:r w:rsidRPr="007C3060">
        <w:t>Granting</w:t>
      </w:r>
      <w:proofErr w:type="spellEnd"/>
      <w:r w:rsidRPr="007C3060">
        <w:t xml:space="preserve"> -Councils Initiative (SGCI III), et partnerskap med 17 nasjonale forskningsråd i Afrika sør for Sahara, er utsatt til 2026. Det foreslås å omprioritere midlene til økt støtte til blant annet kvinners og skeives rettigheter, ytringsfrihet og Syria.</w:t>
      </w:r>
    </w:p>
    <w:p w14:paraId="79A15DB3" w14:textId="77777777" w:rsidR="000A2A2B" w:rsidRPr="007C3060" w:rsidRDefault="000A2A2B" w:rsidP="007C3060">
      <w:pPr>
        <w:pStyle w:val="b-post"/>
      </w:pPr>
      <w:r w:rsidRPr="007C3060">
        <w:t>Post 74 Norges forskningsråd – utviklingsområdet, kan overføres</w:t>
      </w:r>
    </w:p>
    <w:p w14:paraId="3E9494D0" w14:textId="77777777" w:rsidR="000A2A2B" w:rsidRPr="007C3060" w:rsidRDefault="000A2A2B" w:rsidP="007C3060">
      <w:r w:rsidRPr="007C3060">
        <w:t>Bevilgningen på posten foreslås redusert med 56 mill. kroner. Reduksjonen skyldes at Forskningsrådet estimerer et lavere behov for utbetalinger i 2025 på bakgrunn av overgang til bruttobudsjettering per 1. januar.</w:t>
      </w:r>
    </w:p>
    <w:p w14:paraId="651DC1E8" w14:textId="77777777" w:rsidR="000A2A2B" w:rsidRPr="007C3060" w:rsidRDefault="000A2A2B" w:rsidP="007C3060">
      <w:r w:rsidRPr="007C3060">
        <w:t xml:space="preserve">I tillegg foreslås det å rammeoverføre 2 mill. kroner fra posten til Kunnskapsdepartementets kap. 285 </w:t>
      </w:r>
      <w:r w:rsidRPr="007C3060">
        <w:rPr>
          <w:rStyle w:val="kursiv"/>
        </w:rPr>
        <w:t>Norges forskningsråd</w:t>
      </w:r>
      <w:r w:rsidRPr="007C3060">
        <w:t xml:space="preserve">, post 21 </w:t>
      </w:r>
      <w:r w:rsidRPr="007C3060">
        <w:rPr>
          <w:rStyle w:val="kursiv"/>
        </w:rPr>
        <w:t>Spesielle driftsutgifter</w:t>
      </w:r>
      <w:r w:rsidRPr="007C3060">
        <w:t xml:space="preserve"> for å dekke driftsutgifter for forskningsdelen av en norsk-indisk forsknings- og næringslivskonferanse som planlegges avholdt i 2025.</w:t>
      </w:r>
    </w:p>
    <w:p w14:paraId="41A4D306" w14:textId="77777777" w:rsidR="000A2A2B" w:rsidRPr="007C3060" w:rsidRDefault="000A2A2B" w:rsidP="007C3060">
      <w:r w:rsidRPr="007C3060">
        <w:t>Til sammen foreslås bevilgningen på posten redusert med 58 mill. kroner.</w:t>
      </w:r>
    </w:p>
    <w:p w14:paraId="6B405CAD" w14:textId="77777777" w:rsidR="000A2A2B" w:rsidRPr="007C3060" w:rsidRDefault="000A2A2B" w:rsidP="007C3060">
      <w:pPr>
        <w:pStyle w:val="b-budkaptit"/>
      </w:pPr>
      <w:r w:rsidRPr="007C3060">
        <w:t xml:space="preserve">Kap. 162 Næringsutvikling, </w:t>
      </w:r>
      <w:proofErr w:type="spellStart"/>
      <w:r w:rsidRPr="007C3060">
        <w:t>matsystemer</w:t>
      </w:r>
      <w:proofErr w:type="spellEnd"/>
      <w:r w:rsidRPr="007C3060">
        <w:t xml:space="preserve"> og fornybar energi</w:t>
      </w:r>
    </w:p>
    <w:p w14:paraId="1F304E56" w14:textId="1D09A6CB" w:rsidR="000A2A2B" w:rsidRPr="007C3060" w:rsidRDefault="000A2A2B" w:rsidP="007C3060">
      <w:pPr>
        <w:pStyle w:val="b-post"/>
      </w:pPr>
      <w:r w:rsidRPr="007C3060">
        <w:t>Post 71 Matsikkerhet, fisk og landbruk, kan overføres</w:t>
      </w:r>
    </w:p>
    <w:p w14:paraId="1B3A0BE4" w14:textId="77777777" w:rsidR="000A2A2B" w:rsidRPr="007C3060" w:rsidRDefault="000A2A2B" w:rsidP="007C3060">
      <w:r w:rsidRPr="007C3060">
        <w:t xml:space="preserve">Bevilgningen foreslås redusert med 100 mill. kroner som omprioriteres til økt støtte til blant annet kvinners og skeives rettigheter, ytringsfrihet og Syria. I tillegg foreslås det å flytte 50 mill. kroner fra matrelatert klimatilpasning til kap. 163 </w:t>
      </w:r>
      <w:r w:rsidRPr="007C3060">
        <w:rPr>
          <w:rStyle w:val="kursiv"/>
        </w:rPr>
        <w:t>Klima, miljø og hav</w:t>
      </w:r>
      <w:r w:rsidRPr="007C3060">
        <w:t xml:space="preserve">, post 70 </w:t>
      </w:r>
      <w:r w:rsidRPr="007C3060">
        <w:rPr>
          <w:rStyle w:val="kursiv"/>
        </w:rPr>
        <w:t>Miljø og klima</w:t>
      </w:r>
      <w:r w:rsidRPr="007C3060">
        <w:t xml:space="preserve">. Midlene skal benyttes som bidrag til </w:t>
      </w:r>
      <w:proofErr w:type="spellStart"/>
      <w:r w:rsidRPr="007C3060">
        <w:t>Climate</w:t>
      </w:r>
      <w:proofErr w:type="spellEnd"/>
      <w:r w:rsidRPr="007C3060">
        <w:t xml:space="preserve"> Risk and </w:t>
      </w:r>
      <w:proofErr w:type="spellStart"/>
      <w:r w:rsidRPr="007C3060">
        <w:t>Early</w:t>
      </w:r>
      <w:proofErr w:type="spellEnd"/>
      <w:r w:rsidRPr="007C3060">
        <w:t xml:space="preserve"> </w:t>
      </w:r>
      <w:proofErr w:type="spellStart"/>
      <w:r w:rsidRPr="007C3060">
        <w:t>Warning</w:t>
      </w:r>
      <w:proofErr w:type="spellEnd"/>
      <w:r w:rsidRPr="007C3060">
        <w:t xml:space="preserve"> Systems (CREWS), som også kan telles som klimatilpasning. Se også omtale under kap. 163, post 70.</w:t>
      </w:r>
    </w:p>
    <w:p w14:paraId="1CE6EAB8" w14:textId="77777777" w:rsidR="000A2A2B" w:rsidRPr="007C3060" w:rsidRDefault="000A2A2B" w:rsidP="007C3060">
      <w:r w:rsidRPr="007C3060">
        <w:t>Til sammen foreslås bevilgningen på posten redusert med 150 mill. kroner.</w:t>
      </w:r>
    </w:p>
    <w:p w14:paraId="61C753DB" w14:textId="77777777" w:rsidR="000A2A2B" w:rsidRPr="007C3060" w:rsidRDefault="000A2A2B" w:rsidP="007C3060">
      <w:pPr>
        <w:pStyle w:val="b-post"/>
      </w:pPr>
      <w:r w:rsidRPr="007C3060">
        <w:lastRenderedPageBreak/>
        <w:t xml:space="preserve">Post 77 (Ny) </w:t>
      </w:r>
      <w:proofErr w:type="spellStart"/>
      <w:r w:rsidRPr="007C3060">
        <w:t>Norfund</w:t>
      </w:r>
      <w:proofErr w:type="spellEnd"/>
      <w:r w:rsidRPr="007C3060">
        <w:t xml:space="preserve"> – Ukraina risikokapital</w:t>
      </w:r>
    </w:p>
    <w:p w14:paraId="36E8EF8C" w14:textId="77777777" w:rsidR="000A2A2B" w:rsidRPr="007C3060" w:rsidRDefault="000A2A2B" w:rsidP="007C3060">
      <w:r w:rsidRPr="007C3060">
        <w:t xml:space="preserve">Det foreslås å bevilge 125 mill. kroner på posten mot tilsvarende reduksjon på kap. 159 </w:t>
      </w:r>
      <w:r w:rsidRPr="007C3060">
        <w:rPr>
          <w:rStyle w:val="kursiv"/>
        </w:rPr>
        <w:t>Regionbevilgninger</w:t>
      </w:r>
      <w:r w:rsidRPr="007C3060">
        <w:t xml:space="preserve">, post 73 </w:t>
      </w:r>
      <w:r w:rsidRPr="007C3060">
        <w:rPr>
          <w:rStyle w:val="kursiv"/>
        </w:rPr>
        <w:t>Ukraina og naboland</w:t>
      </w:r>
      <w:r w:rsidRPr="007C3060">
        <w:t xml:space="preserve">. Bevilgningen dekker risikokapital for </w:t>
      </w:r>
      <w:proofErr w:type="spellStart"/>
      <w:r w:rsidRPr="007C3060">
        <w:t>Norfunds</w:t>
      </w:r>
      <w:proofErr w:type="spellEnd"/>
      <w:r w:rsidRPr="007C3060">
        <w:t xml:space="preserve"> nye Ukraina-fond som utgjør 50 pst. av total kapitaltilførsel til fondet. For mål og bruk av bevilgningen, se omtale under post 97 </w:t>
      </w:r>
      <w:proofErr w:type="spellStart"/>
      <w:r w:rsidRPr="007C3060">
        <w:rPr>
          <w:rStyle w:val="kursiv"/>
        </w:rPr>
        <w:t>Norfund</w:t>
      </w:r>
      <w:proofErr w:type="spellEnd"/>
      <w:r w:rsidRPr="007C3060">
        <w:rPr>
          <w:rStyle w:val="kursiv"/>
        </w:rPr>
        <w:t xml:space="preserve"> – Ukraina kapitalinnskudd</w:t>
      </w:r>
      <w:r w:rsidRPr="007C3060">
        <w:t>.</w:t>
      </w:r>
    </w:p>
    <w:p w14:paraId="213A926C" w14:textId="77777777" w:rsidR="000A2A2B" w:rsidRPr="007C3060" w:rsidRDefault="000A2A2B" w:rsidP="007C3060">
      <w:pPr>
        <w:pStyle w:val="b-post"/>
      </w:pPr>
      <w:r w:rsidRPr="007C3060">
        <w:t xml:space="preserve">Post 97 (Ny) </w:t>
      </w:r>
      <w:proofErr w:type="spellStart"/>
      <w:r w:rsidRPr="007C3060">
        <w:t>Norfund</w:t>
      </w:r>
      <w:proofErr w:type="spellEnd"/>
      <w:r w:rsidRPr="007C3060">
        <w:t xml:space="preserve"> – Ukraina kapitalinnskudd</w:t>
      </w:r>
    </w:p>
    <w:p w14:paraId="5F0FF46D" w14:textId="77777777" w:rsidR="000A2A2B" w:rsidRPr="007C3060" w:rsidRDefault="000A2A2B" w:rsidP="007C3060">
      <w:r w:rsidRPr="007C3060">
        <w:t xml:space="preserve">Det foreslås å bevilge 125 mill. kroner på posten mot tilsvarende reduksjon på kap. 159 </w:t>
      </w:r>
      <w:r w:rsidRPr="007C3060">
        <w:rPr>
          <w:rStyle w:val="kursiv"/>
        </w:rPr>
        <w:t>Regionbevilgninger</w:t>
      </w:r>
      <w:r w:rsidRPr="007C3060">
        <w:t xml:space="preserve">, post 73 </w:t>
      </w:r>
      <w:r w:rsidRPr="007C3060">
        <w:rPr>
          <w:rStyle w:val="kursiv"/>
        </w:rPr>
        <w:t>Ukraina og naboland</w:t>
      </w:r>
      <w:r w:rsidRPr="007C3060">
        <w:t xml:space="preserve">. Bevilgningen dekker tilførsel av ny investeringskapital til et nytt Ukraina-fond som ble opprettet av Stortinget i forbindelse med nysalderingen av statsbudsjettet for 2024 jf. </w:t>
      </w:r>
      <w:proofErr w:type="spellStart"/>
      <w:r w:rsidRPr="007C3060">
        <w:t>Prop</w:t>
      </w:r>
      <w:proofErr w:type="spellEnd"/>
      <w:r w:rsidRPr="007C3060">
        <w:t xml:space="preserve">. 24 S (2024–2025) og </w:t>
      </w:r>
      <w:proofErr w:type="spellStart"/>
      <w:r w:rsidRPr="007C3060">
        <w:t>Innst</w:t>
      </w:r>
      <w:proofErr w:type="spellEnd"/>
      <w:r w:rsidRPr="007C3060">
        <w:t>. 82 S (2024–2025). Fondet forvaltes av Statens investeringsfond for næringsvirksomhet i utviklingsland (</w:t>
      </w:r>
      <w:proofErr w:type="spellStart"/>
      <w:r w:rsidRPr="007C3060">
        <w:t>Norfund</w:t>
      </w:r>
      <w:proofErr w:type="spellEnd"/>
      <w:r w:rsidRPr="007C3060">
        <w:t xml:space="preserve">). </w:t>
      </w:r>
      <w:proofErr w:type="spellStart"/>
      <w:r w:rsidRPr="007C3060">
        <w:t>Norfund</w:t>
      </w:r>
      <w:proofErr w:type="spellEnd"/>
      <w:r w:rsidRPr="007C3060">
        <w:t xml:space="preserve"> er Norges viktigste instrument for å investere i virksomheter som bidrar til jobbskaping og fattigdomsreduksjon i utviklingsland.</w:t>
      </w:r>
    </w:p>
    <w:p w14:paraId="0220E679" w14:textId="77777777" w:rsidR="000A2A2B" w:rsidRPr="007C3060" w:rsidRDefault="000A2A2B" w:rsidP="007C3060">
      <w:r w:rsidRPr="007C3060">
        <w:t>Ukraina har behov for investeringer for å bygge opp igjen det som russiske angrep har ødelagt, og for å bygge opp samfunnet i et fritt og selvstendig Ukraina. Bevilgningen skal bidra til å nå følgende mål:</w:t>
      </w:r>
    </w:p>
    <w:p w14:paraId="43366083" w14:textId="77777777" w:rsidR="000A2A2B" w:rsidRPr="007C3060" w:rsidRDefault="000A2A2B" w:rsidP="007C3060">
      <w:pPr>
        <w:pStyle w:val="Liste"/>
      </w:pPr>
      <w:r w:rsidRPr="007C3060">
        <w:t>Det er skapt bærekraftig næringsvirksomhet i Ukraina.</w:t>
      </w:r>
    </w:p>
    <w:p w14:paraId="1821500B" w14:textId="77777777" w:rsidR="000A2A2B" w:rsidRPr="007C3060" w:rsidRDefault="000A2A2B" w:rsidP="007C3060">
      <w:pPr>
        <w:pStyle w:val="Liste"/>
      </w:pPr>
      <w:r w:rsidRPr="007C3060">
        <w:t>Det er skapt jobber i Ukraina.</w:t>
      </w:r>
    </w:p>
    <w:p w14:paraId="5108874B" w14:textId="77777777" w:rsidR="000A2A2B" w:rsidRPr="007C3060" w:rsidRDefault="000A2A2B" w:rsidP="007C3060">
      <w:proofErr w:type="spellStart"/>
      <w:r w:rsidRPr="007C3060">
        <w:t>Norfunds</w:t>
      </w:r>
      <w:proofErr w:type="spellEnd"/>
      <w:r w:rsidRPr="007C3060">
        <w:t xml:space="preserve"> investeringer i Ukraina vil være langsiktige og vil basere seg på </w:t>
      </w:r>
      <w:proofErr w:type="spellStart"/>
      <w:r w:rsidRPr="007C3060">
        <w:t>Norfundloven</w:t>
      </w:r>
      <w:proofErr w:type="spellEnd"/>
      <w:r w:rsidRPr="007C3060">
        <w:t xml:space="preserve"> og egen instruks for dette investeringsmandatet. Ukraina-fondet skal bidra til utvikling av bærekraftig næringsvirksomhet og jobbskaping i Ukraina. Fondet skal bidra til investeringer som ellers ikke ville blitt gjennomført som følge av den høye risikoen i Ukraina. Fondet skal benytte virkemidler som egenkapital, lån og garantier for å nå dette formålet. Fondet vil utnytte den investerings- og markedskompetansen som </w:t>
      </w:r>
      <w:proofErr w:type="spellStart"/>
      <w:r w:rsidRPr="007C3060">
        <w:t>Norfund</w:t>
      </w:r>
      <w:proofErr w:type="spellEnd"/>
      <w:r w:rsidRPr="007C3060">
        <w:t xml:space="preserve"> har opparbeidet seg over tid, og vil ved behov øke kompetansen på dette investeringsområdet. Fondet vil investere med utgangspunkt i dagens forretningsområder: Fornybar energi, finansiell inkludering, bærekraftige virksomheter, slik som investeringer i verdikjeden for landbruk og grønn infrastruktur. Se også omtale under kap. 159 </w:t>
      </w:r>
      <w:r w:rsidRPr="007C3060">
        <w:rPr>
          <w:rStyle w:val="kursiv"/>
        </w:rPr>
        <w:t>Regionbevilgninger</w:t>
      </w:r>
      <w:r w:rsidRPr="007C3060">
        <w:t xml:space="preserve">, post 73 </w:t>
      </w:r>
      <w:r w:rsidRPr="007C3060">
        <w:rPr>
          <w:rStyle w:val="kursiv"/>
        </w:rPr>
        <w:t>Ukraina og naboland.</w:t>
      </w:r>
    </w:p>
    <w:p w14:paraId="4F3B2528" w14:textId="77777777" w:rsidR="000A2A2B" w:rsidRPr="007C3060" w:rsidRDefault="000A2A2B" w:rsidP="007C3060">
      <w:pPr>
        <w:pStyle w:val="b-budkaptit"/>
      </w:pPr>
      <w:r w:rsidRPr="007C3060">
        <w:t>Kap. 163 Klima, miljø og hav</w:t>
      </w:r>
    </w:p>
    <w:p w14:paraId="2B0D525D" w14:textId="77777777" w:rsidR="000A2A2B" w:rsidRPr="007C3060" w:rsidRDefault="000A2A2B" w:rsidP="007C3060">
      <w:pPr>
        <w:pStyle w:val="b-post"/>
      </w:pPr>
      <w:r w:rsidRPr="007C3060">
        <w:t>Post 70 Miljø og klima, kan overføres</w:t>
      </w:r>
    </w:p>
    <w:p w14:paraId="391D83AA" w14:textId="77777777" w:rsidR="000A2A2B" w:rsidRPr="007C3060" w:rsidRDefault="000A2A2B" w:rsidP="007C3060">
      <w:r w:rsidRPr="007C3060">
        <w:t xml:space="preserve">Bevilgningen på posten foreslås økt med 50 mill. kroner mot tilsvarende reduksjon på kap. 162 </w:t>
      </w:r>
      <w:r w:rsidRPr="007C3060">
        <w:rPr>
          <w:rStyle w:val="kursiv"/>
        </w:rPr>
        <w:t xml:space="preserve">Næringsutvikling, </w:t>
      </w:r>
      <w:proofErr w:type="spellStart"/>
      <w:r w:rsidRPr="007C3060">
        <w:rPr>
          <w:rStyle w:val="kursiv"/>
        </w:rPr>
        <w:t>matsystemer</w:t>
      </w:r>
      <w:proofErr w:type="spellEnd"/>
      <w:r w:rsidRPr="007C3060">
        <w:rPr>
          <w:rStyle w:val="kursiv"/>
        </w:rPr>
        <w:t xml:space="preserve"> og fornybar energi, </w:t>
      </w:r>
      <w:r w:rsidRPr="007C3060">
        <w:t xml:space="preserve">post 71 </w:t>
      </w:r>
      <w:r w:rsidRPr="007C3060">
        <w:rPr>
          <w:rStyle w:val="kursiv"/>
        </w:rPr>
        <w:t>Matsikkerhet, fisk og landbruk</w:t>
      </w:r>
      <w:r w:rsidRPr="007C3060">
        <w:t xml:space="preserve">. Midlene vil gå til </w:t>
      </w:r>
      <w:proofErr w:type="spellStart"/>
      <w:r w:rsidRPr="007C3060">
        <w:t>Climate</w:t>
      </w:r>
      <w:proofErr w:type="spellEnd"/>
      <w:r w:rsidRPr="007C3060">
        <w:t xml:space="preserve"> Risk and </w:t>
      </w:r>
      <w:proofErr w:type="spellStart"/>
      <w:r w:rsidRPr="007C3060">
        <w:t>Early</w:t>
      </w:r>
      <w:proofErr w:type="spellEnd"/>
      <w:r w:rsidRPr="007C3060">
        <w:t xml:space="preserve"> </w:t>
      </w:r>
      <w:proofErr w:type="spellStart"/>
      <w:r w:rsidRPr="007C3060">
        <w:t>Warning</w:t>
      </w:r>
      <w:proofErr w:type="spellEnd"/>
      <w:r w:rsidRPr="007C3060">
        <w:t xml:space="preserve"> Systems (CREWS) og kan telles som klimatilpasning. Dette flergiverfondet finansierer investeringer i varslingssystemer for ekstremvær i de minst utviklede land og små øystater. Det overordnede målet for CREWS er å støtte innsats i disse landene for å øke produksjonen av vær- og klima-tjenester, samt styrke landenes kapasitet til å utvikle og kommunisere effektiv tidlig varsling av ekstremvær for å beskytte liv, levekår og eiendom. Se også omtale under kap. 162, post 71.</w:t>
      </w:r>
    </w:p>
    <w:p w14:paraId="3C50EE58" w14:textId="77777777" w:rsidR="000A2A2B" w:rsidRPr="007C3060" w:rsidRDefault="000A2A2B" w:rsidP="007C3060">
      <w:pPr>
        <w:pStyle w:val="b-budkaptit"/>
      </w:pPr>
      <w:r w:rsidRPr="007C3060">
        <w:lastRenderedPageBreak/>
        <w:t>Kap. 164 Likestilling</w:t>
      </w:r>
    </w:p>
    <w:p w14:paraId="07D47ACB" w14:textId="77777777" w:rsidR="000A2A2B" w:rsidRPr="007C3060" w:rsidRDefault="000A2A2B" w:rsidP="007C3060">
      <w:pPr>
        <w:pStyle w:val="b-post"/>
      </w:pPr>
      <w:r w:rsidRPr="007C3060">
        <w:t>Post 70 Likestilling, kan overføres</w:t>
      </w:r>
    </w:p>
    <w:p w14:paraId="7D776288" w14:textId="77777777" w:rsidR="000A2A2B" w:rsidRPr="007C3060" w:rsidRDefault="000A2A2B" w:rsidP="007C3060">
      <w:r w:rsidRPr="007C3060">
        <w:t>Bevilgningen foreslås økt med 50 mill. kroner til økt støtte til seksuell og reproduktiv helse og rettigheter (SRHR). Midlene omprioriteres fra annen bistand. Dette vil særlig gjelde tiltak for å styrke kvinners rett til å bestemme over egen kropp. Kunnskap om og tilgang til prevensjon og trygg abort er en integrert del av Norges internasjonale arbeid for kvinners rettigheter og kjønnslikestilling. Global innsats for SRHR er hardt rammet av kutt og opplever koordinert politisk motstand fra flere land. Økt støtte vil bidra til å videreføre innsats som redder liv og styrker kvinners mulighet til å leve frie og likeverdige liv. Denne økningen foreslås kanalisert gjennom sivilt samfunn, med ungdom som en særlig målgruppe.</w:t>
      </w:r>
    </w:p>
    <w:p w14:paraId="680C02BA" w14:textId="77777777" w:rsidR="000A2A2B" w:rsidRPr="007C3060" w:rsidRDefault="000A2A2B" w:rsidP="007C3060">
      <w:pPr>
        <w:pStyle w:val="b-post"/>
      </w:pPr>
      <w:r w:rsidRPr="007C3060">
        <w:t>Post 72 FNs befolkningsfond (UNFPA)</w:t>
      </w:r>
    </w:p>
    <w:p w14:paraId="2FD17535" w14:textId="77777777" w:rsidR="000A2A2B" w:rsidRPr="007C3060" w:rsidRDefault="000A2A2B" w:rsidP="007C3060">
      <w:r w:rsidRPr="007C3060">
        <w:t>Bevilgningen foreslås økt med 36,5 mill. kroner i kjernestøtte til FNs befolkningsprogram (UNFPA). Midlene omprioriteres fra annen bistand. UNFPA er Norges viktigste partner i arbeidet for SRHR og den største aktøren globalt. UNFPA er hardt rammet av kutt. Økningen vil redusere skadevirkningene av disse kuttene. Støtten til UNFPA vil komplimentere støtten til SRHR over post 70 slik at ulike aktører kan støttes for maksimal effekt på landnivå.</w:t>
      </w:r>
    </w:p>
    <w:p w14:paraId="118A51B7" w14:textId="77777777" w:rsidR="000A2A2B" w:rsidRPr="007C3060" w:rsidRDefault="000A2A2B" w:rsidP="007C3060">
      <w:pPr>
        <w:pStyle w:val="b-budkaptit"/>
      </w:pPr>
      <w:r w:rsidRPr="007C3060">
        <w:t>Kap. 172 Multilaterale finansinstitusjoner og gjeldslette</w:t>
      </w:r>
    </w:p>
    <w:p w14:paraId="026D9CB2" w14:textId="77777777" w:rsidR="000A2A2B" w:rsidRPr="007C3060" w:rsidRDefault="000A2A2B" w:rsidP="007C3060">
      <w:pPr>
        <w:pStyle w:val="avsnitt-undertittel"/>
      </w:pPr>
      <w:r w:rsidRPr="007C3060">
        <w:t>Avvikling av gjeldsbrevordningen</w:t>
      </w:r>
    </w:p>
    <w:p w14:paraId="42210984" w14:textId="77777777" w:rsidR="000A2A2B" w:rsidRPr="007C3060" w:rsidRDefault="000A2A2B" w:rsidP="007C3060">
      <w:r w:rsidRPr="007C3060">
        <w:t>Norske gavebidrag til giverlandspåfyllingene i fondene for de fattigste landene i Verdensbanken (IDA), Afrikabanken (Afrikafondet) og Asiabanken (Asiafondet), har vært formalisert gjennom gjeldsbrev. De tre multilaterale utviklingsbankene trekker suksessivt på disse gjeldsbrevene over henholdsvis ni, ti eller elleve år, selv om påfyllingsperiodene normalt er på kun tre år. Stortinget ble i nysalderingen for 2024 (</w:t>
      </w:r>
      <w:proofErr w:type="spellStart"/>
      <w:r w:rsidRPr="007C3060">
        <w:t>Prop</w:t>
      </w:r>
      <w:proofErr w:type="spellEnd"/>
      <w:r w:rsidRPr="007C3060">
        <w:t>. 24 S (2024–2025)) orientert om at regjeringen planlegger å gjennomføre overgang fra gjeldsbrev til kontantbidrag, med avvikling av gjeldsbrevordningen i 2025. Utviklingsbankene foretrekker at giverland går over til kontantbidrag, slik som med nesten all annen norsk bistand. Mange giverland har allerede avviklet sine gjeldsbrevordninger til fordel for årlige bidrag.</w:t>
      </w:r>
    </w:p>
    <w:p w14:paraId="0876F748" w14:textId="77777777" w:rsidR="000A2A2B" w:rsidRPr="007C3060" w:rsidRDefault="000A2A2B" w:rsidP="007C3060">
      <w:r w:rsidRPr="007C3060">
        <w:t xml:space="preserve">Ved overgang til kontantbidrag vil utviklingsbankene få raskere tilgang på giverbidragene. Dette øker realverdien av bidragene. Som godtgjørelse for dette får giverland to opsjoner. Man kan få godskrevet et påslag, utover forpliktet og innbetalt beløp. Dette gir økt giverandel og økt stemmerett. Alternativt kan giverlandene få en rabatt uten tap av stemmevekt. Med rabatt forstås i denne sammenheng avslag som giverne får som følge av raskere innbetaling av giverbidrag ved kontantbidrag fremfor nedbetaling av gjeldsbrev over flere år. Regjeringen fremmer med dette forslag om overgang til kontantbidrag og avvikling av gjeldsbrevordningen, jf. forslag til nytt romertallsvedtak. Dette innebærer at dagens fullmakt til at Utenriksdepartementet kan fravike bevilgnings-reglementet når vi utsteder gjeldsbrev, jf. </w:t>
      </w:r>
      <w:proofErr w:type="spellStart"/>
      <w:r w:rsidRPr="007C3060">
        <w:t>Prop</w:t>
      </w:r>
      <w:proofErr w:type="spellEnd"/>
      <w:r w:rsidRPr="007C3060">
        <w:t>. 1 S (2024–2025), ikke vil bli benyttet når gjeldende gjeldsbrevordning avvikles.</w:t>
      </w:r>
    </w:p>
    <w:p w14:paraId="56F945F8" w14:textId="77777777" w:rsidR="000A2A2B" w:rsidRPr="007C3060" w:rsidRDefault="000A2A2B" w:rsidP="007C3060">
      <w:r w:rsidRPr="007C3060">
        <w:lastRenderedPageBreak/>
        <w:t xml:space="preserve">Regjeringen vil informere Stortinget om status for avviklingen av gjeldsbrevordningen i </w:t>
      </w:r>
      <w:proofErr w:type="spellStart"/>
      <w:r w:rsidRPr="007C3060">
        <w:t>Prop</w:t>
      </w:r>
      <w:proofErr w:type="spellEnd"/>
      <w:r w:rsidRPr="007C3060">
        <w:t>. 1 S for 2026.</w:t>
      </w:r>
    </w:p>
    <w:p w14:paraId="33FE1981" w14:textId="77777777" w:rsidR="000A2A2B" w:rsidRPr="007C3060" w:rsidRDefault="000A2A2B" w:rsidP="007C3060">
      <w:pPr>
        <w:pStyle w:val="avsnitt-undertittel"/>
      </w:pPr>
      <w:r w:rsidRPr="007C3060">
        <w:t>Overgang fra gjeldsbrev til kontantbidrag for nye påfyllinger til IDA, Afrikafondet og Asiafondet</w:t>
      </w:r>
    </w:p>
    <w:p w14:paraId="36253E9C" w14:textId="77777777" w:rsidR="000A2A2B" w:rsidRPr="007C3060" w:rsidRDefault="000A2A2B" w:rsidP="007C3060">
      <w:r w:rsidRPr="007C3060">
        <w:t>For Asiafondet (</w:t>
      </w:r>
      <w:proofErr w:type="spellStart"/>
      <w:r w:rsidRPr="007C3060">
        <w:t>AsDF</w:t>
      </w:r>
      <w:proofErr w:type="spellEnd"/>
      <w:r w:rsidRPr="007C3060">
        <w:t xml:space="preserve">) vil overgangen fra gjeldsbrev til kontantbidrag gjennomføres i forbindelse med avtaleinngåelse i år for Norges bidrag til </w:t>
      </w:r>
      <w:proofErr w:type="spellStart"/>
      <w:r w:rsidRPr="007C3060">
        <w:t>AsDF</w:t>
      </w:r>
      <w:proofErr w:type="spellEnd"/>
      <w:r w:rsidRPr="007C3060">
        <w:t xml:space="preserve"> for perioden 2025–2028 (AsDF14). For AsDF14 har Norge gitt tilsagn om støtte, jf. omtale i </w:t>
      </w:r>
      <w:proofErr w:type="spellStart"/>
      <w:r w:rsidRPr="007C3060">
        <w:t>Prop</w:t>
      </w:r>
      <w:proofErr w:type="spellEnd"/>
      <w:r w:rsidRPr="007C3060">
        <w:t>. 1 S (2024–2025), og avtalen vil inngås innen 1. juli 2025. Det foreslås å endre beløpet i fullmakten fra 262,15 mill. kroner til 248,71 mill. kroner fordi overgang til kontantbidrag gir Norge en rabatt som reduserer beløpet. Det foreslås ikke å endre bevilgningen på kap. 172, post 71 fordi innsparingen i 2025 vil brukes til å dekke mindre økninger for noen av de andre tiltakene på posten på grunn av svekket norsk krone. Se forslag til romertallsvedtak.</w:t>
      </w:r>
    </w:p>
    <w:p w14:paraId="4DDFAADB" w14:textId="77777777" w:rsidR="000A2A2B" w:rsidRPr="007C3060" w:rsidRDefault="000A2A2B" w:rsidP="007C3060">
      <w:r w:rsidRPr="007C3060">
        <w:t>For de kommende påfyllingene til Verdensbankens fond for de fattigste landene (IDA21) for 2026–2028 og Afrikafondets AfDF17 for 2026–2028 gjennomføres overgangen i forbindelse med avtaleinngåelse, planlagt medio 2025 for IDA21 og våren 2026 for AfDF17. For IDA21 er påfyllingsforhandlingene avsluttet og det vises til omtale og anmodning om fullmakt for nytt norsk bidrag under post 70, inkludert rabatt knyttet til IDA21 ved overgang til kontantbidrag. For AfDF17 er det pågående forhandlinger og anmodning om fullmakt til norsk tilsagn til AfDF17 vil derfor fremmes i statsbudsjettet for 2026, inkludert rabatt knyttet til denne påfyllingen.</w:t>
      </w:r>
    </w:p>
    <w:p w14:paraId="18AA78A4" w14:textId="77777777" w:rsidR="000A2A2B" w:rsidRPr="007C3060" w:rsidRDefault="000A2A2B" w:rsidP="007C3060">
      <w:pPr>
        <w:pStyle w:val="avsnitt-undertittel"/>
      </w:pPr>
      <w:r w:rsidRPr="007C3060">
        <w:t>Håndtering av aktive gjeldsbrev for tidligere -påfyllinger til IDA, Afrikafondet og Asiafondet</w:t>
      </w:r>
    </w:p>
    <w:p w14:paraId="5EE2E053" w14:textId="77777777" w:rsidR="000A2A2B" w:rsidRPr="007C3060" w:rsidRDefault="000A2A2B" w:rsidP="007C3060">
      <w:r w:rsidRPr="007C3060">
        <w:t>Ved overgang fra gjeldsbrev til kontantbidrag vil aktive gjeldsbrev fra tidligere inngåtte forpliktelser trekkes helt ned, det vil si nedbetales, i 2025, med tilhørende engangsrabatt som tilfaller Norge fordi utviklingsbankene får raskere tilgang på midlene, jf. omtale over. Rabattbeløpene er av bankene estimert til 2,4 mill. kroner for Asiafondet, i underkant av 60 mill. kroner for IDA og om lag 170 mill. kroner for Afrikafondet. Beløpene er anslag, endelige beløp avhenger blant annet av markedsrente og utbetalingstidspunkt.</w:t>
      </w:r>
    </w:p>
    <w:p w14:paraId="40C4CB8F" w14:textId="77777777" w:rsidR="000A2A2B" w:rsidRPr="007C3060" w:rsidRDefault="000A2A2B" w:rsidP="007C3060">
      <w:r w:rsidRPr="007C3060">
        <w:t xml:space="preserve">I nysalderingen for 2024 står det at regjeringen kommer tilbake til Stortinget med forslag til budsjetteknisk håndtering av engangsrabatten i RNB 2025. I lys av norske budsjettprinsipper og hvordan utviklingsbankene håndterer disse rabattene innenfor sine regelverk, foreslår regjeringen at det samlede beløpet på anslagsvis 230 mill. kroner inntektsføres på en egen inntektspost, jf. omtale under kap. 3100 </w:t>
      </w:r>
      <w:r w:rsidRPr="007C3060">
        <w:rPr>
          <w:rStyle w:val="kursiv"/>
        </w:rPr>
        <w:t>Utenriksdepartementet</w:t>
      </w:r>
      <w:r w:rsidRPr="007C3060">
        <w:t xml:space="preserve">, post 06 </w:t>
      </w:r>
      <w:r w:rsidRPr="007C3060">
        <w:rPr>
          <w:rStyle w:val="kursiv"/>
        </w:rPr>
        <w:t>Tilbakebetaling ifm. avvikling av gjeldsbrevordningen</w:t>
      </w:r>
      <w:r w:rsidRPr="007C3060">
        <w:t>. Med dette forslaget vil det samlede rabatt-beløpet tilbakeføres til statskassen.</w:t>
      </w:r>
    </w:p>
    <w:p w14:paraId="58C20D02" w14:textId="77777777" w:rsidR="000A2A2B" w:rsidRPr="007C3060" w:rsidRDefault="000A2A2B" w:rsidP="007C3060">
      <w:pPr>
        <w:pStyle w:val="b-post"/>
      </w:pPr>
      <w:r w:rsidRPr="007C3060">
        <w:lastRenderedPageBreak/>
        <w:t>Post 70 Verdensbanken, kan overføres</w:t>
      </w:r>
    </w:p>
    <w:p w14:paraId="2779DA53" w14:textId="77777777" w:rsidR="000A2A2B" w:rsidRPr="007C3060" w:rsidRDefault="000A2A2B" w:rsidP="007C3060">
      <w:pPr>
        <w:pStyle w:val="avsnitt-undertittel"/>
      </w:pPr>
      <w:r w:rsidRPr="007C3060">
        <w:t>Påfylling til IDA21</w:t>
      </w:r>
    </w:p>
    <w:p w14:paraId="08B95867" w14:textId="77777777" w:rsidR="000A2A2B" w:rsidRPr="007C3060" w:rsidRDefault="000A2A2B" w:rsidP="007C3060">
      <w:r w:rsidRPr="007C3060">
        <w:t>Det gjennomføres normalt giverlandspåfyllinger i Verdensbankens fond for de fattigste landene, IDA (International Development Association), hvert tredje år. Nåværende IDA20 løper til 30. juni 2025. Forhandlinger om den 21. giverlandspåfyllingen av IDA (IDA21) pågikk gjennom hele 2024 og ble konkludert under tilsagnsmøtet i Seoul, Sør-Korea, i desember 2024. IDA21 starter opp 1. juli 2025, men bevilgningsbehovet vil først oppstå i perioden 2026–2028. Det er derfor ikke behov for en bevilgningsendring i RNB, men fordi avtalen med Verdensbanken må inngås innen 15. desember 2025 ber regjeringen Stortinget om fullmakt til å forplikte Norges IDA21-bidrag nå, jf. forslag til romertallsvedtak.</w:t>
      </w:r>
    </w:p>
    <w:p w14:paraId="49812E60" w14:textId="77777777" w:rsidR="000A2A2B" w:rsidRPr="007C3060" w:rsidRDefault="000A2A2B" w:rsidP="007C3060">
      <w:r w:rsidRPr="007C3060">
        <w:t xml:space="preserve">Ved det avsluttende giverlandsmøtet </w:t>
      </w:r>
      <w:proofErr w:type="gramStart"/>
      <w:r w:rsidRPr="007C3060">
        <w:t>avga</w:t>
      </w:r>
      <w:proofErr w:type="gramEnd"/>
      <w:r w:rsidRPr="007C3060">
        <w:t xml:space="preserve"> Norge et tilsagn til IDA21 på 5 024 mill. kroner, en økning på 50 pst. fra IDA20, med forbehold om Stortingets samtykke. Selve bevilgningsbehovet vil bli om lag 538 mill. kroner lavere enn tilsagnsbeløpet på grunn av overgang fra gjeldsbrev til kontantbidrag, jf. omtale over. Norge var blant de giverlandene som løftet sitt bidrag aller mest og bidro med dette til at man oppnådde en rekordstor påfylling på 100 mrd. USD for den neste treårs-perioden. Under Verdensbankens styrebehandling av IDA21 i mars 2025 stemte USA avstående, og tok forbehold om </w:t>
      </w:r>
      <w:proofErr w:type="spellStart"/>
      <w:r w:rsidRPr="007C3060">
        <w:t>Biden</w:t>
      </w:r>
      <w:proofErr w:type="spellEnd"/>
      <w:r w:rsidRPr="007C3060">
        <w:t>-administrasjonens tilsagn på 4 mrd. USD. I Trump-administrasjonens budsjettforslag til Kongressen primo mai inngår 3,2 mrd. USD til IDA21, men det er usikkert hva Kongressen vil vedta. Storbritannias bidrag er også fortsatt til vurdering.</w:t>
      </w:r>
    </w:p>
    <w:p w14:paraId="7BDCF33C" w14:textId="77777777" w:rsidR="000A2A2B" w:rsidRPr="007C3060" w:rsidRDefault="000A2A2B" w:rsidP="007C3060">
      <w:r w:rsidRPr="007C3060">
        <w:t xml:space="preserve">Regjeringen vurderer forhandlingsresultatet som sterkt og </w:t>
      </w:r>
      <w:proofErr w:type="gramStart"/>
      <w:r w:rsidRPr="007C3060">
        <w:t>robust</w:t>
      </w:r>
      <w:proofErr w:type="gramEnd"/>
      <w:r w:rsidRPr="007C3060">
        <w:t>. Det svarer svært godt på Norges utviklingspolitiske prioriteringer, herunder på klima og klimatilpasning, vesentlig økt tilgang på energi i Afrika, styrket matsikkerhet, kvinner og likestilling, nasjonal ressursmobilisering, styrking av private investeringer, subsidiert finansiering og gavebistand til gjeldsrammede land, fremme av ansvarlig gjeldsforvaltning og støtte til sårbare stater. Regjeringen vurderer IDA, som er den klart største og viktigste multilaterale finansieringskanalen for de fattigste landene, særlig i Afrika, som leveringsdyktig og resultatorientert. IDA gir også mye utvikling og fattigdomsbekjempelse for pengene, ved at den gjennom sin unike finansieringsmodell gir 4 dollar i finansiering for hver dollar fra giverlandene. Et stort bidrag til IDA21 vil også medvirke til et løft i Norges kjernebidrag til multilaterale institusjoner, i en stadig mer fragmentert bistandsverden. Regjeringen ber om at Stortinget samtykker til et bidrag til IDA21 i samsvar med avgitt tilsagn, og at det inngås juridisk bindende avtale om dette høsten 2025.</w:t>
      </w:r>
    </w:p>
    <w:p w14:paraId="666C473F" w14:textId="77777777" w:rsidR="000A2A2B" w:rsidRPr="007C3060" w:rsidRDefault="000A2A2B" w:rsidP="007C3060">
      <w:r w:rsidRPr="007C3060">
        <w:t>Se også omtale under post 73 om IDA21 og konsekvenser for gjeldslette.</w:t>
      </w:r>
    </w:p>
    <w:p w14:paraId="62F61EDD" w14:textId="77777777" w:rsidR="000A2A2B" w:rsidRPr="007C3060" w:rsidRDefault="000A2A2B" w:rsidP="007C3060">
      <w:pPr>
        <w:pStyle w:val="avsnitt-undertittel"/>
      </w:pPr>
      <w:r w:rsidRPr="007C3060">
        <w:t>Kjøp av hybridkapital i IBRD</w:t>
      </w:r>
    </w:p>
    <w:p w14:paraId="170B0278" w14:textId="77777777" w:rsidR="000A2A2B" w:rsidRPr="007C3060" w:rsidRDefault="000A2A2B" w:rsidP="007C3060">
      <w:r w:rsidRPr="007C3060">
        <w:t xml:space="preserve">I statsbudsjettet for 2025 bevilget Stortinget 250 mill. kroner til kjøp av hybridkapital i Den internasjonale bank for gjenoppbygging og utvikling (IBRD). IBRD er institusjonen i Verdensbanken som gir lån på gunstige vilkår og rådgivningstjenester til mellominntektsland og kredittverdige lavinntektsland for kamp mot fattigdom, ulikhet og globale utfordringer. Med dette vil Norge bidra til løsninger for å mobilisere midler til fattigdomsbekjempelse og til globale utfordringer som matsikkerhet, pandemi, konflikt og klima. Hybrid-kapital er et låneinstrument </w:t>
      </w:r>
      <w:r w:rsidRPr="007C3060">
        <w:lastRenderedPageBreak/>
        <w:t>strukturert slik at det norske bidraget regnes som egenkapital, og som Verdensbanken dermed kan bruke til å innhente kapital i det private markedet. Gjennom denne mobiliseringen av privat kapital, vil det norske bidraget utløse opp til 2 mrd. kroner i utviklings- og klimafinansiering over det neste tiåret. Gitt at hybridkapital er et evigvarende lån og regnes som egenkapital (kjernebidrag), vil norsk innbetaling også skje i forkant av behov. Det foreslås derfor et nytt romertallsvedtak. Hele beløpet utbetales som en engangsutbetaling i 2025.</w:t>
      </w:r>
    </w:p>
    <w:p w14:paraId="1C6A6494" w14:textId="77777777" w:rsidR="000A2A2B" w:rsidRPr="007C3060" w:rsidRDefault="000A2A2B" w:rsidP="007C3060">
      <w:pPr>
        <w:pStyle w:val="b-post"/>
      </w:pPr>
      <w:r w:rsidRPr="007C3060">
        <w:t>Post 73 Gjeldslette, kan overføres</w:t>
      </w:r>
    </w:p>
    <w:p w14:paraId="38A130F9" w14:textId="77777777" w:rsidR="000A2A2B" w:rsidRPr="007C3060" w:rsidRDefault="000A2A2B" w:rsidP="007C3060">
      <w:r w:rsidRPr="007C3060">
        <w:t>Bevilgningen dekker Norges forpliktelser under de multilaterale gjeldsletteinitiativene «</w:t>
      </w:r>
      <w:proofErr w:type="spellStart"/>
      <w:r w:rsidRPr="007C3060">
        <w:t>Heavily</w:t>
      </w:r>
      <w:proofErr w:type="spellEnd"/>
      <w:r w:rsidRPr="007C3060">
        <w:t xml:space="preserve"> </w:t>
      </w:r>
      <w:proofErr w:type="spellStart"/>
      <w:r w:rsidRPr="007C3060">
        <w:t>Indebted</w:t>
      </w:r>
      <w:proofErr w:type="spellEnd"/>
      <w:r w:rsidRPr="007C3060">
        <w:t xml:space="preserve"> </w:t>
      </w:r>
      <w:proofErr w:type="spellStart"/>
      <w:r w:rsidRPr="007C3060">
        <w:t>Poor</w:t>
      </w:r>
      <w:proofErr w:type="spellEnd"/>
      <w:r w:rsidRPr="007C3060">
        <w:t xml:space="preserve"> </w:t>
      </w:r>
      <w:proofErr w:type="spellStart"/>
      <w:r w:rsidRPr="007C3060">
        <w:t>Countries</w:t>
      </w:r>
      <w:proofErr w:type="spellEnd"/>
      <w:r w:rsidRPr="007C3060">
        <w:t xml:space="preserve"> Initiative» (HIPC) fra 1996, og «Multilateral </w:t>
      </w:r>
      <w:proofErr w:type="spellStart"/>
      <w:r w:rsidRPr="007C3060">
        <w:t>Debt</w:t>
      </w:r>
      <w:proofErr w:type="spellEnd"/>
      <w:r w:rsidRPr="007C3060">
        <w:t xml:space="preserve"> </w:t>
      </w:r>
      <w:proofErr w:type="spellStart"/>
      <w:r w:rsidRPr="007C3060">
        <w:t>Relief</w:t>
      </w:r>
      <w:proofErr w:type="spellEnd"/>
      <w:r w:rsidRPr="007C3060">
        <w:t xml:space="preserve"> Initiative» (MDRI) fra 2005, for sletting av fattige lands gjeld til multilaterale utviklingsbanker og finansinstitusjoner. Norge er politisk forpliktet til å delta i disse store internasjonale spleiselagene frem til 2044 og 2054 for henholdsvis Verdensbanken og Afrikabanken. For hver giverlandspåfylling i Verdensbankens fond for de fattigste landene (IDA) og Afrikafondet i Afrikabanken, inngår Norges bidrag til HIPC i Norges totale forpliktelse gjennom de treårige påfyllingsperiodene. Parallelt med hver slik giverlandspåfylling må alle land omgjøre sine politiske MDRI-forpliktelser til juridisk bindende forpliktelser, for tre nye år, som ligger 10 til 12 år frem i tid. Dette gjøres for at utviklingsbankene skal ha størst mulig sikkerhet for at midlene vil bli innbetalt, med </w:t>
      </w:r>
      <w:proofErr w:type="gramStart"/>
      <w:r w:rsidRPr="007C3060">
        <w:t>robust</w:t>
      </w:r>
      <w:proofErr w:type="gramEnd"/>
      <w:r w:rsidRPr="007C3060">
        <w:t xml:space="preserve"> tidshorisont. Utvidelsen av Norges juridisk bindende forpliktelser nedfelles i romertallsvedtak XIII (sist frem til henholdsvis 2033 og 2035). Det foreslås derfor å utvide dagens fullmakt i forbindelse med giverlandspåfyllingen for IDA21 om at Norge, samtidig som det inngås bindende avtale om Norges ordinære giverbidrag til IDA21, kan utstede en bindende forpliktelse til IDA for Norges bidrag til Det internasjonale gjeldsletteinitiativet (MDRI) i perioden fra og med 2034 til og med 2036. Se forslag til romertallsvedtak XXXVIII.</w:t>
      </w:r>
    </w:p>
    <w:p w14:paraId="1AE08492" w14:textId="77777777" w:rsidR="000A2A2B" w:rsidRPr="007C3060" w:rsidRDefault="000A2A2B" w:rsidP="007C3060">
      <w:pPr>
        <w:pStyle w:val="b-budkaptit"/>
      </w:pPr>
      <w:r w:rsidRPr="007C3060">
        <w:t>Kap. 179 Flyktningtiltak i Norge</w:t>
      </w:r>
    </w:p>
    <w:p w14:paraId="324A8CC9" w14:textId="77777777" w:rsidR="000A2A2B" w:rsidRPr="007C3060" w:rsidRDefault="000A2A2B" w:rsidP="007C3060">
      <w:pPr>
        <w:pStyle w:val="b-post"/>
      </w:pPr>
      <w:r w:rsidRPr="007C3060">
        <w:t>Post 21 Spesielle driftsutgifter</w:t>
      </w:r>
    </w:p>
    <w:p w14:paraId="7107DA40" w14:textId="77777777" w:rsidR="000A2A2B" w:rsidRPr="007C3060" w:rsidRDefault="000A2A2B" w:rsidP="007C3060">
      <w:r w:rsidRPr="007C3060">
        <w:t xml:space="preserve">I henhold til OECD/DACs retningslinjer kan visse </w:t>
      </w:r>
      <w:proofErr w:type="spellStart"/>
      <w:r w:rsidRPr="007C3060">
        <w:t>førsteårsutgifter</w:t>
      </w:r>
      <w:proofErr w:type="spellEnd"/>
      <w:r w:rsidRPr="007C3060">
        <w:t xml:space="preserve"> til flyktninger og asylsøkere i Norge klassifiseres som bistand (ODA). Ansvaret for flyktningtiltak i Norge ligger under Justis- og beredskapsdepartementet, Arbeids- og inkluderingsdepartementet, Kunnskapsdepartementet, Helse- og omsorgsdepartementet og Barne- og familiedepartementet og budsjetteres over disse departementenes budsjetter. Bevilgningen under kap. 179, post 21 benyttes til å refundere beregnet ODA-andel av utgiftene til de fem departementene.</w:t>
      </w:r>
    </w:p>
    <w:p w14:paraId="554CC448" w14:textId="77777777" w:rsidR="000A2A2B" w:rsidRPr="007C3060" w:rsidRDefault="000A2A2B" w:rsidP="007C3060">
      <w:r w:rsidRPr="007C3060">
        <w:t>Bevilgningen for 2025 var basert på et anslag om 22 000 flyktninger og asylsøkere til Norge i 2025, inkludert 16 000 fra Ukraina under ordningen om midlertidig kollektiv beskyttelse. Utlendingsdirektoratets planleggingstall er nå redusert til at det vil komme 18 200 til Norge i år, der 12 000 faller inn under ordningen om midlertidig kollektiv beskyttelse. Anslagene er usikre. Se nærmere omtale under de respektive departementene.</w:t>
      </w:r>
    </w:p>
    <w:p w14:paraId="7D12E1E2" w14:textId="77777777" w:rsidR="000A2A2B" w:rsidRPr="007C3060" w:rsidRDefault="000A2A2B" w:rsidP="007C3060">
      <w:r w:rsidRPr="007C3060">
        <w:t>Bevilgningen på posten foreslås redusert med 843,7 mill. kroner.</w:t>
      </w:r>
    </w:p>
    <w:p w14:paraId="5870923D" w14:textId="77777777" w:rsidR="000A2A2B" w:rsidRPr="007C3060" w:rsidRDefault="000A2A2B" w:rsidP="007C3060">
      <w:pPr>
        <w:pStyle w:val="b-budkaptit"/>
      </w:pPr>
      <w:r w:rsidRPr="007C3060">
        <w:lastRenderedPageBreak/>
        <w:t>Kap. 3100 Utenriksdepartementet</w:t>
      </w:r>
    </w:p>
    <w:p w14:paraId="71A700CE" w14:textId="77777777" w:rsidR="000A2A2B" w:rsidRPr="007C3060" w:rsidRDefault="000A2A2B" w:rsidP="007C3060">
      <w:pPr>
        <w:pStyle w:val="b-post"/>
      </w:pPr>
      <w:r w:rsidRPr="007C3060">
        <w:t>Post 02 Gebyrer for utlendingssaker ved utenriksstasjonene</w:t>
      </w:r>
    </w:p>
    <w:p w14:paraId="2ED6C617" w14:textId="77777777" w:rsidR="000A2A2B" w:rsidRPr="007C3060" w:rsidRDefault="000A2A2B" w:rsidP="007C3060">
      <w:r w:rsidRPr="007C3060">
        <w:t>Utlendingsdirektoratets oppdaterte prognoser for utlendingssaker ved utenriksstasjonene viser at antallet søknader om visum øker sammenlignet med anslaget som lå til grunn i Saldert budsjett 2025.</w:t>
      </w:r>
    </w:p>
    <w:p w14:paraId="007A1F86" w14:textId="77777777" w:rsidR="000A2A2B" w:rsidRPr="007C3060" w:rsidRDefault="000A2A2B" w:rsidP="007C3060">
      <w:r w:rsidRPr="007C3060">
        <w:t>Bevilgningen på posten foreslås økt med 4 mill. kroner.</w:t>
      </w:r>
    </w:p>
    <w:p w14:paraId="68180FE0" w14:textId="77777777" w:rsidR="000A2A2B" w:rsidRPr="007C3060" w:rsidRDefault="000A2A2B" w:rsidP="007C3060">
      <w:pPr>
        <w:pStyle w:val="b-post"/>
      </w:pPr>
      <w:r w:rsidRPr="007C3060">
        <w:t>Post 06 (Ny) Tilbakebetaling ifm. avvikling av gjeldsbrevordningen</w:t>
      </w:r>
    </w:p>
    <w:p w14:paraId="7E25E70E" w14:textId="77777777" w:rsidR="000A2A2B" w:rsidRPr="007C3060" w:rsidRDefault="000A2A2B" w:rsidP="007C3060">
      <w:r w:rsidRPr="007C3060">
        <w:t xml:space="preserve">Regjeringen foreslår at Norge avvikler ordningen med gjeldsbrev og går over til kontantbidrag ved påfyllinger til fondene for de fattigste landene i Verdensbanken (IDA), Afrikabanken (Afrikafondet) og Asiabanken (Asiafondet), jf. omtale under kap. 172 </w:t>
      </w:r>
      <w:r w:rsidRPr="007C3060">
        <w:rPr>
          <w:rStyle w:val="kursiv"/>
        </w:rPr>
        <w:t>Multilaterale finansinstitusjoner og gjeldslette</w:t>
      </w:r>
      <w:r w:rsidRPr="007C3060">
        <w:t>. Samtidig foreslår regjeringen også at aktive gjeldsbrev fra tidligere inngåtte forpliktelser trekkes helt ned, det vil si nedbetales, i 2025, med tilhørende engangsrabatt som tilfaller Norge.</w:t>
      </w:r>
    </w:p>
    <w:p w14:paraId="0F1DF1DC" w14:textId="77777777" w:rsidR="000A2A2B" w:rsidRPr="007C3060" w:rsidRDefault="000A2A2B" w:rsidP="007C3060">
      <w:r w:rsidRPr="007C3060">
        <w:t>Rabattbeløpene er av bankene estimert til 2,4 mill. kroner for Asiafondet, i underkant av 60 mill. kroner for IDA og om lag 170 mill. kroner for Afrikafondet. Beløpene er anslag, endelige beløp avhenger blant annet av markedsrente og utbetalingstidspunkt. Det foreslås å opprette en ny inntektspost under Utenriksdepartementet for tilbakebetalingen av disse engangsrabattene i 2025. Tilbakebetaling av bistandsmidler rapporteres som negativ bistand i rapporteringen til OECD for Norges offisielle utviklingsbistand (ODA).</w:t>
      </w:r>
    </w:p>
    <w:p w14:paraId="0AD43C73" w14:textId="77777777" w:rsidR="000A2A2B" w:rsidRPr="007C3060" w:rsidRDefault="000A2A2B" w:rsidP="007C3060">
      <w:r w:rsidRPr="007C3060">
        <w:t>Det foreslås en bevilgning på 230 mill. kroner på posten for 2025.</w:t>
      </w:r>
    </w:p>
    <w:p w14:paraId="0B1FABBF" w14:textId="77777777" w:rsidR="000A2A2B" w:rsidRPr="007C3060" w:rsidRDefault="000A2A2B" w:rsidP="007C3060">
      <w:pPr>
        <w:pStyle w:val="Undertittel"/>
      </w:pPr>
      <w:r w:rsidRPr="007C3060">
        <w:t>Andre saker</w:t>
      </w:r>
    </w:p>
    <w:p w14:paraId="590C790E" w14:textId="77777777" w:rsidR="000A2A2B" w:rsidRPr="007C3060" w:rsidRDefault="000A2A2B" w:rsidP="007C3060">
      <w:pPr>
        <w:pStyle w:val="avsnitt-undertittel"/>
      </w:pPr>
      <w:r w:rsidRPr="007C3060">
        <w:t>Statlig garantiordning for fornybar energi i utviklingsland – unntak, justeringer og presiseringer</w:t>
      </w:r>
    </w:p>
    <w:p w14:paraId="4E8CF08B" w14:textId="77777777" w:rsidR="000A2A2B" w:rsidRPr="007C3060" w:rsidRDefault="000A2A2B" w:rsidP="007C3060">
      <w:r w:rsidRPr="007C3060">
        <w:t xml:space="preserve">Regjeringen foreslo i </w:t>
      </w:r>
      <w:proofErr w:type="spellStart"/>
      <w:r w:rsidRPr="007C3060">
        <w:t>Prop</w:t>
      </w:r>
      <w:proofErr w:type="spellEnd"/>
      <w:r w:rsidRPr="007C3060">
        <w:t xml:space="preserve">. 1 S (2023–2024) å etablere en ny statlig garantiordning på 5 mrd. kroner for fornybar energi i utviklingsland, og Stortinget vedtok dette i tråd med </w:t>
      </w:r>
      <w:proofErr w:type="spellStart"/>
      <w:r w:rsidRPr="007C3060">
        <w:t>Innst</w:t>
      </w:r>
      <w:proofErr w:type="spellEnd"/>
      <w:r w:rsidRPr="007C3060">
        <w:t xml:space="preserve">. 7 S (2023–2024). I forbindelse med forslag til garantifullmakt for 2025 foreslo regjeringen i </w:t>
      </w:r>
      <w:proofErr w:type="spellStart"/>
      <w:r w:rsidRPr="007C3060">
        <w:t>Prop</w:t>
      </w:r>
      <w:proofErr w:type="spellEnd"/>
      <w:r w:rsidRPr="007C3060">
        <w:t xml:space="preserve">. 1 S (2024–2025) enkelte unntak, justeringer og presiseringer av ordningens innretning. Stortinget sluttet seg til forslagene i </w:t>
      </w:r>
      <w:proofErr w:type="spellStart"/>
      <w:r w:rsidRPr="007C3060">
        <w:t>Innst</w:t>
      </w:r>
      <w:proofErr w:type="spellEnd"/>
      <w:r w:rsidRPr="007C3060">
        <w:t xml:space="preserve">. 7 S (2024–25). Unntakene gjelder krav i bestemmelser om økonomistyring i staten kapittel 8 og er nødvendige for at garantiordningen kan levere på formålet om økte investeringer i fornybar energi i lav- og mellominntektsland. Regjeringen ønsker å presisere ytterligere grunnlaget for unntakene som er omtalt i </w:t>
      </w:r>
      <w:proofErr w:type="spellStart"/>
      <w:r w:rsidRPr="007C3060">
        <w:t>Prop</w:t>
      </w:r>
      <w:proofErr w:type="spellEnd"/>
      <w:r w:rsidRPr="007C3060">
        <w:t>. 1 S (2024–2025) når det gjelder retningslinjer for statlige garantiordninger som ble fremlagt for Stortinget i Nasjonalbudsjettet 1983 (kapittel 10). Dette gjelder først og fremst hovedvilkårene for stats-garanti omtalt i punkt 10.2.1-3 i meldingen, om henholdsvis selvfinansierende ordning, garantiform og risikofordeling. Disse retningslinjene danner grunnlaget for de aktuelle kravene i bestemmelser om økonomiregelverket for staten.</w:t>
      </w:r>
    </w:p>
    <w:p w14:paraId="0FF4D1E6" w14:textId="77777777" w:rsidR="000A2A2B" w:rsidRPr="007C3060" w:rsidRDefault="000A2A2B" w:rsidP="007C3060">
      <w:r w:rsidRPr="007C3060">
        <w:lastRenderedPageBreak/>
        <w:t xml:space="preserve">Det er vedtatt at ordningen skal være garantipremiefinansiert. Det legges opp til at ordningen skal gå i balanse på lang sikt gjennom risiko-premier og administrasjonsgebyrer som gjenspeiler risikoen og administrasjonskostnadene ved ordningen, herunder Norads utgifter til administrasjon og </w:t>
      </w:r>
      <w:proofErr w:type="spellStart"/>
      <w:r w:rsidRPr="007C3060">
        <w:t>Norfunds</w:t>
      </w:r>
      <w:proofErr w:type="spellEnd"/>
      <w:r w:rsidRPr="007C3060">
        <w:t xml:space="preserve"> arbeid knyttet til risiko og prising. Garantipremier vil innbetales løpende som en årlig premie (alternativt ved etablering) fra garantimottakeren over garantiperioden. Det vil imidlertid ta tid før ordningen har tilstrekkelige inntekter gitt at utstedelse av garantier med tilhørende garantipremier vil utstedes over flere år. Da deler av ordningens drift og administrasjon i oppstartsfasen dekkes fra Utenriksdepartementets kap. 140 </w:t>
      </w:r>
      <w:r w:rsidRPr="007C3060">
        <w:rPr>
          <w:rStyle w:val="kursiv"/>
        </w:rPr>
        <w:t>Utenriksdepartementet</w:t>
      </w:r>
      <w:r w:rsidRPr="007C3060">
        <w:t xml:space="preserve">, post 21 </w:t>
      </w:r>
      <w:r w:rsidRPr="007C3060">
        <w:rPr>
          <w:rStyle w:val="kursiv"/>
        </w:rPr>
        <w:t>Spesielle driftsutgifter</w:t>
      </w:r>
      <w:r w:rsidRPr="007C3060">
        <w:t>, samt at søkere av ordningen kan motta subsidier, vil imidlertid ikke ordningen fullt ut være selvfinansierende.</w:t>
      </w:r>
    </w:p>
    <w:p w14:paraId="3E253062" w14:textId="77777777" w:rsidR="000A2A2B" w:rsidRPr="007C3060" w:rsidRDefault="000A2A2B" w:rsidP="007C3060">
      <w:r w:rsidRPr="007C3060">
        <w:t>Retningslinjene for statlige garantiordninger som er fremlagt for Stortinget, har som et hovedvilkår at staten stiller seg som simpel kausjonist, ved at garantier forfaller først når långiver kan dokumentere manglende betalingsevne hos låntaker. Garantier innenfor den nye ordningen skal imidlertid gis sammen med eller til multilaterale banker og kommersielle banker som i hovedsak krever selvskyldner- eller påkravsgarantier. Ved selvskyldnerkausjon forfaller garantien når hovedfordringen er misligholdt, og ved påkravsgaranti inntrer kausjonistens betalingsplikt ved påkrav når hovedforpliktelsen formelt skulle forfalt. Med bakgrunn i dette vil garantiordningen derfor kunne fravike hovedvilkåret om simpel kausjon der dette er hensiktsmessig for å nå ordningens mål.</w:t>
      </w:r>
    </w:p>
    <w:p w14:paraId="33BDF28C" w14:textId="77777777" w:rsidR="000A2A2B" w:rsidRPr="007C3060" w:rsidRDefault="000A2A2B" w:rsidP="007C3060">
      <w:r w:rsidRPr="007C3060">
        <w:t>Unntaket fra hovedvilkåret om pro-rata risikodeling i retningslinjene har to aspekter. Det medfører både (i) unntak fra pro-rata risikodeling mellom staten og øvrige långivere og garantister ved at disse ikke må delta på linje med Norad i den enkelte finansiering (prosjekt). Kravet oppfylles ved at en eller flere profesjonelle tredjeparter påtar seg en andel av den gjenværende risikoen i finansieringen (prosjektet). Statens ansvar skal normalt begrenses til maksimalt 50 pst. av tapene. Videre innebærer unntaket fra pro-rata risiko-deling (ii) at staten kan påta seg førstetapsfasiliteter, det vil si at Norad tar hele eller deler av risikoen under en garanti før andre risikotagere kreves, oppad begrenset til 10 pst av garantiordningens totale ramme.</w:t>
      </w:r>
    </w:p>
    <w:p w14:paraId="190EC1A0" w14:textId="77777777" w:rsidR="000A2A2B" w:rsidRPr="007C3060" w:rsidRDefault="000A2A2B" w:rsidP="007C3060">
      <w:r w:rsidRPr="007C3060">
        <w:t>Garantiordningen startet pilotperioden på fem år i 2025. Den første garantiavtalen med en multilateral utviklingsbank (MDB) var planlagt signert i mai 2025. Tidslinjen har blitt endret på grunn av endret politikk hos andre sentrale givere. Det er pågående forhandlinger med MDB-er om transaksjoner som ventelig vil resultere i signering i 2025.</w:t>
      </w:r>
    </w:p>
    <w:p w14:paraId="6626C5A7" w14:textId="77777777" w:rsidR="000A2A2B" w:rsidRPr="007C3060" w:rsidRDefault="000A2A2B" w:rsidP="007C3060">
      <w:r w:rsidRPr="007C3060">
        <w:t>For private aktører ble det publisert en åpen utlysning i november 2024. På basis av utlysningen forhandles det om konkrete transaksjoner som det siktes mot at skal signeres mot slutten av 2025 og i 2026.</w:t>
      </w:r>
    </w:p>
    <w:p w14:paraId="78799026" w14:textId="77777777" w:rsidR="000A2A2B" w:rsidRPr="007C3060" w:rsidRDefault="000A2A2B" w:rsidP="007C3060">
      <w:pPr>
        <w:pStyle w:val="Overskrift2"/>
      </w:pPr>
      <w:r w:rsidRPr="007C3060">
        <w:t>Kunnskapsdepartementet</w:t>
      </w:r>
    </w:p>
    <w:p w14:paraId="6A9C0500" w14:textId="77777777" w:rsidR="000A2A2B" w:rsidRPr="007C3060" w:rsidRDefault="000A2A2B" w:rsidP="007C3060">
      <w:pPr>
        <w:pStyle w:val="b-budkaptit"/>
      </w:pPr>
      <w:r w:rsidRPr="007C3060">
        <w:t>Kap. 200 Kunnskapsdepartementet</w:t>
      </w:r>
    </w:p>
    <w:p w14:paraId="7E78D34C" w14:textId="77777777" w:rsidR="000A2A2B" w:rsidRPr="007C3060" w:rsidRDefault="000A2A2B" w:rsidP="007C3060">
      <w:pPr>
        <w:pStyle w:val="b-post"/>
      </w:pPr>
      <w:r w:rsidRPr="007C3060">
        <w:t>Post 01 Driftsutgifter</w:t>
      </w:r>
    </w:p>
    <w:p w14:paraId="7C4F05F0" w14:textId="77777777" w:rsidR="000A2A2B" w:rsidRPr="007C3060" w:rsidRDefault="000A2A2B" w:rsidP="007C3060">
      <w:r w:rsidRPr="007C3060">
        <w:t xml:space="preserve">Oppfølgingen i Kunnskapsdepartementet av styringssystemet RETHOS, de nasjonale retningslinjene for helse- og sosialfag, har gått over fra en prosjektfase til fast drift. Det foreslås derfor </w:t>
      </w:r>
      <w:r w:rsidRPr="007C3060">
        <w:lastRenderedPageBreak/>
        <w:t>å flytte bevilgningen på 1 mill. kroner til driftsutgifter fra kap. 275, post 21 til kap. 200, post 01.</w:t>
      </w:r>
    </w:p>
    <w:p w14:paraId="7EA3C7C9" w14:textId="77777777" w:rsidR="000A2A2B" w:rsidRPr="007C3060" w:rsidRDefault="000A2A2B" w:rsidP="007C3060">
      <w:pPr>
        <w:pStyle w:val="b-budkaptit"/>
      </w:pPr>
      <w:r w:rsidRPr="007C3060">
        <w:t>Kap. 201 Analyse og kunnskapsgrunnlag</w:t>
      </w:r>
    </w:p>
    <w:p w14:paraId="6C34771B" w14:textId="77777777" w:rsidR="000A2A2B" w:rsidRPr="007C3060" w:rsidRDefault="000A2A2B" w:rsidP="007C3060">
      <w:pPr>
        <w:pStyle w:val="b-post"/>
      </w:pPr>
      <w:r w:rsidRPr="007C3060">
        <w:t>Post 21 Spesielle driftsutgifter</w:t>
      </w:r>
    </w:p>
    <w:p w14:paraId="33CA4836" w14:textId="77777777" w:rsidR="000A2A2B" w:rsidRPr="007C3060" w:rsidRDefault="000A2A2B" w:rsidP="007C3060">
      <w:r w:rsidRPr="007C3060">
        <w:t>For at Forskningsrådet skal gjennomføre en evaluering av Senter for spesialpedagogisk forskning og inkludering (</w:t>
      </w:r>
      <w:proofErr w:type="spellStart"/>
      <w:r w:rsidRPr="007C3060">
        <w:t>SpedAims</w:t>
      </w:r>
      <w:proofErr w:type="spellEnd"/>
      <w:r w:rsidRPr="007C3060">
        <w:t>) i 2025, foreslås det å flytte 125 000 kroner fra posten til kap. 285, post 21.</w:t>
      </w:r>
    </w:p>
    <w:p w14:paraId="72410DC4" w14:textId="77777777" w:rsidR="000A2A2B" w:rsidRPr="007C3060" w:rsidRDefault="000A2A2B" w:rsidP="007C3060">
      <w:r w:rsidRPr="007C3060">
        <w:t>For å legge til rette for økt bruk av forsøk i forvaltningen vil regjeringen etablere en veiledningstjeneste organisert av Statistisk Sentralbyrå (SSB). For å bidra til opprettelse og drift av tjenesten i SSB foreslås det å flytte 1 mill. kroner fra posten til Finansdepartementets kap. 1620, post 01.</w:t>
      </w:r>
    </w:p>
    <w:p w14:paraId="44BA035A" w14:textId="77777777" w:rsidR="000A2A2B" w:rsidRPr="007C3060" w:rsidRDefault="000A2A2B" w:rsidP="007C3060">
      <w:r w:rsidRPr="007C3060">
        <w:t>Samlet foreslås bevilgningen på posten redusert med 1,1 mill. kroner.</w:t>
      </w:r>
    </w:p>
    <w:p w14:paraId="2F1F63F2" w14:textId="77777777" w:rsidR="000A2A2B" w:rsidRPr="007C3060" w:rsidRDefault="000A2A2B" w:rsidP="007C3060">
      <w:pPr>
        <w:pStyle w:val="b-budkaptit"/>
      </w:pPr>
      <w:r w:rsidRPr="007C3060">
        <w:t>Kap. 3200 Kunnskapsdepartementet</w:t>
      </w:r>
    </w:p>
    <w:p w14:paraId="624A02FE" w14:textId="77777777" w:rsidR="000A2A2B" w:rsidRPr="007C3060" w:rsidRDefault="000A2A2B" w:rsidP="007C3060">
      <w:pPr>
        <w:pStyle w:val="b-post"/>
      </w:pPr>
      <w:r w:rsidRPr="007C3060">
        <w:t>Post 03 Inntekter fra fremleie</w:t>
      </w:r>
    </w:p>
    <w:p w14:paraId="4C61C06F" w14:textId="77777777" w:rsidR="000A2A2B" w:rsidRPr="007C3060" w:rsidRDefault="000A2A2B" w:rsidP="007C3060">
      <w:r w:rsidRPr="007C3060">
        <w:t>I 2024 ble det opprettet en budsjettpost for inntekter fra fremleie av deler av Kunnskapsdepartementets lokaler i Tollbugata 12 til annen statlig virksomhet. Inntektene på posten tilfaller statskassen. Det foreslås å øke bevilgningen på kap. 3200, post 03 med 0,5 mill. kroner.</w:t>
      </w:r>
    </w:p>
    <w:p w14:paraId="5D204D52" w14:textId="77777777" w:rsidR="000A2A2B" w:rsidRPr="007C3060" w:rsidRDefault="000A2A2B" w:rsidP="007C3060">
      <w:pPr>
        <w:pStyle w:val="b-budkaptit"/>
      </w:pPr>
      <w:r w:rsidRPr="007C3060">
        <w:t>Kap. 220 Utdanningsdirektoratet</w:t>
      </w:r>
    </w:p>
    <w:p w14:paraId="3B432B51" w14:textId="77777777" w:rsidR="000A2A2B" w:rsidRPr="007C3060" w:rsidRDefault="000A2A2B" w:rsidP="007C3060">
      <w:pPr>
        <w:pStyle w:val="b-post"/>
      </w:pPr>
      <w:r w:rsidRPr="007C3060">
        <w:t>Post 01 Driftsutgifter</w:t>
      </w:r>
    </w:p>
    <w:p w14:paraId="1AE184D1" w14:textId="77777777" w:rsidR="000A2A2B" w:rsidRPr="007C3060" w:rsidRDefault="000A2A2B" w:rsidP="007C3060">
      <w:r w:rsidRPr="007C3060">
        <w:t>Bevilgningen på posten ble ikke fullt ut prisjustert i 2025. Det foreslås derfor å øke bevilgningen med 0,8 mill. kroner.</w:t>
      </w:r>
    </w:p>
    <w:p w14:paraId="58B0F6DA" w14:textId="77777777" w:rsidR="000A2A2B" w:rsidRPr="007C3060" w:rsidRDefault="000A2A2B" w:rsidP="007C3060">
      <w:pPr>
        <w:pStyle w:val="b-budkaptit"/>
      </w:pPr>
      <w:r w:rsidRPr="007C3060">
        <w:t>Kap. 224 Tilskudd til freds- og -menneskerettighetssentre</w:t>
      </w:r>
    </w:p>
    <w:p w14:paraId="17FAFA7D" w14:textId="77777777" w:rsidR="000A2A2B" w:rsidRPr="007C3060" w:rsidRDefault="000A2A2B" w:rsidP="007C3060">
      <w:pPr>
        <w:pStyle w:val="b-post"/>
      </w:pPr>
      <w:r w:rsidRPr="007C3060">
        <w:t>Post 70 Freds- og menneskerettighetssentre</w:t>
      </w:r>
    </w:p>
    <w:p w14:paraId="12685977" w14:textId="77777777" w:rsidR="000A2A2B" w:rsidRPr="007C3060" w:rsidRDefault="000A2A2B" w:rsidP="007C3060">
      <w:r w:rsidRPr="007C3060">
        <w:t xml:space="preserve">I </w:t>
      </w:r>
      <w:proofErr w:type="spellStart"/>
      <w:r w:rsidRPr="007C3060">
        <w:t>Prop</w:t>
      </w:r>
      <w:proofErr w:type="spellEnd"/>
      <w:r w:rsidRPr="007C3060">
        <w:t>. 1 S (2024–2025) for Kunnskapsdepartementet ble tilskuddet til Stiftelsen 10. august flyttet til kap. 224, post 70. For å opprettholde stiftelsens undervisningstilbud foreslås det en ettårig økning i bevilgningen på 1,5 mill. kroner.</w:t>
      </w:r>
    </w:p>
    <w:p w14:paraId="483CEBB8" w14:textId="77777777" w:rsidR="000A2A2B" w:rsidRPr="007C3060" w:rsidRDefault="000A2A2B" w:rsidP="007C3060">
      <w:pPr>
        <w:pStyle w:val="b-budkaptit"/>
      </w:pPr>
      <w:r w:rsidRPr="007C3060">
        <w:t>Kap. 225 Tiltak i grunnopplæringen</w:t>
      </w:r>
    </w:p>
    <w:p w14:paraId="642BC23D" w14:textId="77777777" w:rsidR="000A2A2B" w:rsidRPr="007C3060" w:rsidRDefault="000A2A2B" w:rsidP="007C3060">
      <w:pPr>
        <w:pStyle w:val="b-post"/>
      </w:pPr>
      <w:r w:rsidRPr="007C3060">
        <w:t>Post 64 Tilskudd til opplæring av barn og unge som søker opphold i Norge</w:t>
      </w:r>
    </w:p>
    <w:p w14:paraId="7DC79A8A" w14:textId="77777777" w:rsidR="000A2A2B" w:rsidRPr="007C3060" w:rsidRDefault="000A2A2B" w:rsidP="007C3060">
      <w:r w:rsidRPr="007C3060">
        <w:t>Det foreslås å redusere bevilgningen med 92,5 mill. kroner som følge av et lavere anslag for antall elever som utløser tilskudd enn lagt til grunn i saldert budsjett. Det er et redusert anslag for både antall flyktninger fra Ukraina og antall ordinære flyktninger.</w:t>
      </w:r>
    </w:p>
    <w:p w14:paraId="6D808E0D" w14:textId="77777777" w:rsidR="000A2A2B" w:rsidRPr="007C3060" w:rsidRDefault="000A2A2B" w:rsidP="007C3060">
      <w:pPr>
        <w:pStyle w:val="b-post"/>
      </w:pPr>
      <w:r w:rsidRPr="007C3060">
        <w:lastRenderedPageBreak/>
        <w:t>Post 68 Tilskudd til opplæring i kriminalomsorgen</w:t>
      </w:r>
    </w:p>
    <w:p w14:paraId="77D6748B" w14:textId="77777777" w:rsidR="000A2A2B" w:rsidRPr="007C3060" w:rsidRDefault="000A2A2B" w:rsidP="007C3060">
      <w:r w:rsidRPr="007C3060">
        <w:t>Det foreslås å øke bevilgningen med 1,8 mill. kroner som følge av tidligere innflytting ved Romerike fengsel, Ullersmo avdeling. De første plassene ved Ullersmo planlegges tatt i bruk fra november/desember 2025.</w:t>
      </w:r>
    </w:p>
    <w:p w14:paraId="7941E105" w14:textId="77777777" w:rsidR="000A2A2B" w:rsidRPr="007C3060" w:rsidRDefault="000A2A2B" w:rsidP="007C3060">
      <w:pPr>
        <w:pStyle w:val="b-budkaptit"/>
      </w:pPr>
      <w:r w:rsidRPr="007C3060">
        <w:t>Kap. 3225 Tiltak i grunnopplæringen</w:t>
      </w:r>
    </w:p>
    <w:p w14:paraId="6F6265A3" w14:textId="77777777" w:rsidR="000A2A2B" w:rsidRPr="007C3060" w:rsidRDefault="000A2A2B" w:rsidP="007C3060">
      <w:pPr>
        <w:pStyle w:val="b-post"/>
      </w:pPr>
      <w:r w:rsidRPr="007C3060">
        <w:t>Post 04 Refusjon av ODA-godkjente utgifter</w:t>
      </w:r>
    </w:p>
    <w:p w14:paraId="2CE222EA" w14:textId="77777777" w:rsidR="000A2A2B" w:rsidRPr="007C3060" w:rsidRDefault="000A2A2B" w:rsidP="007C3060">
      <w:r w:rsidRPr="007C3060">
        <w:t>Det foreslås å redusere bevilgningen med 85,1 mill. kroner. Endringen skyldes i hovedsak redusert anslag for antall elever som utløser tilskudd, jf. kap. 225, post 64.</w:t>
      </w:r>
    </w:p>
    <w:p w14:paraId="7A6238DB" w14:textId="77777777" w:rsidR="000A2A2B" w:rsidRPr="007C3060" w:rsidRDefault="000A2A2B" w:rsidP="007C3060">
      <w:pPr>
        <w:pStyle w:val="b-budkaptit"/>
      </w:pPr>
      <w:r w:rsidRPr="007C3060">
        <w:t>Kap. 226 Kvalitetsutvikling i -grunnopplæringen</w:t>
      </w:r>
    </w:p>
    <w:p w14:paraId="252C1F33" w14:textId="77777777" w:rsidR="000A2A2B" w:rsidRPr="007C3060" w:rsidRDefault="000A2A2B" w:rsidP="007C3060">
      <w:pPr>
        <w:pStyle w:val="b-post"/>
      </w:pPr>
      <w:r w:rsidRPr="007C3060">
        <w:t>Post 21 Spesielle driftsutgifter, kan overføres</w:t>
      </w:r>
    </w:p>
    <w:p w14:paraId="28B5A1E6" w14:textId="77777777" w:rsidR="000A2A2B" w:rsidRPr="007C3060" w:rsidRDefault="000A2A2B" w:rsidP="007C3060">
      <w:r w:rsidRPr="007C3060">
        <w:t>Det foreslås å redusere bevilgningen med 11 mill. kroner for å finansiere andre tiltak på departementets område.</w:t>
      </w:r>
    </w:p>
    <w:p w14:paraId="5B10BB23" w14:textId="77777777" w:rsidR="000A2A2B" w:rsidRPr="007C3060" w:rsidRDefault="000A2A2B" w:rsidP="007C3060">
      <w:r w:rsidRPr="007C3060">
        <w:t xml:space="preserve">Innenfor handlingsrommet på posten, foreslås det å tildele 12 mill. kroner til et ettårig tilskudd til bøker på skolebibliotek og 5 mill. kroner til KS for å gjennomføre prosjektet «Nasjonal personvernkonsekvensvurdering (DPIA) av Microsoft-produkter i skolen». DPIA-prosjektet er under prosjektporteføljen </w:t>
      </w:r>
      <w:proofErr w:type="spellStart"/>
      <w:r w:rsidRPr="007C3060">
        <w:t>SkoleSec</w:t>
      </w:r>
      <w:proofErr w:type="spellEnd"/>
      <w:r w:rsidRPr="007C3060">
        <w:t>, og midlene skal brukes til oppstart og gjennomføring av DPIA for Microsoft 365, samt til veiledning, samordning og nettverks- og kompetanseutvikling.</w:t>
      </w:r>
    </w:p>
    <w:p w14:paraId="2BE80B9A" w14:textId="77777777" w:rsidR="000A2A2B" w:rsidRPr="007C3060" w:rsidRDefault="000A2A2B" w:rsidP="007C3060">
      <w:pPr>
        <w:pStyle w:val="b-post"/>
      </w:pPr>
      <w:r w:rsidRPr="007C3060">
        <w:t>Post 65 Tilskudd til skolemiljøteam og beredskapsteam</w:t>
      </w:r>
    </w:p>
    <w:p w14:paraId="0011DD47" w14:textId="77777777" w:rsidR="000A2A2B" w:rsidRPr="007C3060" w:rsidRDefault="000A2A2B" w:rsidP="007C3060">
      <w:r w:rsidRPr="007C3060">
        <w:t>Av gjeldende bevilgning på 115 mill. kroner på posten i 2025, går 45 mill. kroner til skolemiljøteam. Tilskudd til skolemiljøteam skal bidra til at skoler i større grad forebygger mobbing og annen negativ utvikling, og at skoler der behovet er særlig stort, får tett oppfølging. Skolemiljøteamene kan også ha barnehager som målgruppe. Det foreslås å øke bevilgningen til ordningen med skolemiljøteam med 10 mill. kroner, til totalt 55 mill. kroner i 2025.</w:t>
      </w:r>
    </w:p>
    <w:p w14:paraId="4862A776" w14:textId="77777777" w:rsidR="000A2A2B" w:rsidRPr="007C3060" w:rsidRDefault="000A2A2B" w:rsidP="007C3060">
      <w:pPr>
        <w:pStyle w:val="b-post"/>
      </w:pPr>
      <w:r w:rsidRPr="007C3060">
        <w:t>Post 71 Norges forskningsråd – Tilskudd til vitensentre</w:t>
      </w:r>
    </w:p>
    <w:p w14:paraId="0BBF3C54" w14:textId="77777777" w:rsidR="000A2A2B" w:rsidRPr="007C3060" w:rsidRDefault="000A2A2B" w:rsidP="007C3060">
      <w:r w:rsidRPr="007C3060">
        <w:t>Som følge av overgangen til bruttobudsjettering av Norges forskningsråd ble ikke midler til talentsentrene ved seks av vitensentrene utbetalt i 2024. Det foreslås derfor å øke bevilgningen på posten med 5 mill. kroner.</w:t>
      </w:r>
    </w:p>
    <w:p w14:paraId="427A1731" w14:textId="77777777" w:rsidR="000A2A2B" w:rsidRPr="007C3060" w:rsidRDefault="000A2A2B" w:rsidP="007C3060">
      <w:pPr>
        <w:pStyle w:val="b-budkaptit"/>
      </w:pPr>
      <w:r w:rsidRPr="007C3060">
        <w:t>Kap. 228 Tilskudd til private skoler mv.</w:t>
      </w:r>
    </w:p>
    <w:p w14:paraId="60D880E0" w14:textId="77777777" w:rsidR="000A2A2B" w:rsidRPr="007C3060" w:rsidRDefault="000A2A2B" w:rsidP="007C3060">
      <w:pPr>
        <w:pStyle w:val="b-post"/>
      </w:pPr>
      <w:r w:rsidRPr="007C3060">
        <w:t>Post 70 Private grunnskoler, overslagsbevilgning</w:t>
      </w:r>
    </w:p>
    <w:p w14:paraId="6CD4F58D" w14:textId="77777777" w:rsidR="000A2A2B" w:rsidRPr="007C3060" w:rsidRDefault="000A2A2B" w:rsidP="007C3060">
      <w:r w:rsidRPr="007C3060">
        <w:t xml:space="preserve">I statsbudsjettet for 2025 ble det lagt til grunn feil fordeling av elever i tilskuddsmodellen for private grunnskoler. Det foreslås å øke bevilgningen med 13,3 mill. kroner for å rette opp </w:t>
      </w:r>
      <w:r w:rsidRPr="007C3060">
        <w:lastRenderedPageBreak/>
        <w:t>denne feilen. Det foreslås videre å øke bevilgningen med 4,3 mill. kroner knyttet til overgangsordningen for private grunnskoler på grunn av oppdatert elevtall.</w:t>
      </w:r>
    </w:p>
    <w:p w14:paraId="40DD1CCE" w14:textId="77777777" w:rsidR="000A2A2B" w:rsidRPr="007C3060" w:rsidRDefault="000A2A2B" w:rsidP="007C3060">
      <w:r w:rsidRPr="007C3060">
        <w:t>Samlet foreslås det å øke bevilgningen med 17,6 mill. kroner.</w:t>
      </w:r>
    </w:p>
    <w:p w14:paraId="7DA6EAF7" w14:textId="145725DA" w:rsidR="000A2A2B" w:rsidRPr="007C3060" w:rsidRDefault="000A2A2B" w:rsidP="007C3060">
      <w:pPr>
        <w:pStyle w:val="b-post"/>
      </w:pPr>
      <w:r w:rsidRPr="007C3060">
        <w:t>Post 73 Private grunnskoler i utlandet, overslagsbevilgning</w:t>
      </w:r>
    </w:p>
    <w:p w14:paraId="079107A9" w14:textId="77777777" w:rsidR="000A2A2B" w:rsidRPr="007C3060" w:rsidRDefault="000A2A2B" w:rsidP="007C3060">
      <w:r w:rsidRPr="007C3060">
        <w:t>Det foreslås å øke bevilgningen med 0,8 mill. kroner knyttet til overgangsordningen for private grunnskoler i utlandet på grunn av oppdatert elevtall.</w:t>
      </w:r>
    </w:p>
    <w:p w14:paraId="61DF90AB" w14:textId="2B631CDD" w:rsidR="000A2A2B" w:rsidRPr="007C3060" w:rsidRDefault="000A2A2B" w:rsidP="007C3060">
      <w:pPr>
        <w:pStyle w:val="b-post"/>
      </w:pPr>
      <w:r w:rsidRPr="007C3060">
        <w:t>Post 77 Den tysk-norske skolen i Oslo, -overslags-bevilgning</w:t>
      </w:r>
    </w:p>
    <w:p w14:paraId="58BDEBC0" w14:textId="77777777" w:rsidR="000A2A2B" w:rsidRPr="007C3060" w:rsidRDefault="000A2A2B" w:rsidP="007C3060">
      <w:r w:rsidRPr="007C3060">
        <w:t>Den tysk-norske skolen i Oslo får et tilskudd som følger av artikkel 4 (1) i den bilaterale skoleavtalen mellom Norge og Tyskland. Tilskuddet blir gitt per elev og regnes ut på samme måte som tilskuddet til private skoler som er godkjent etter privatskoleloven, men med 54,4 pst. av satsen. I tillegg får skolen et særtilskudd som ikke følger av avtalen, over samme post på budsjettet til Kunnskapsdepartementet.</w:t>
      </w:r>
    </w:p>
    <w:p w14:paraId="090A19B7" w14:textId="77777777" w:rsidR="000A2A2B" w:rsidRPr="007C3060" w:rsidRDefault="000A2A2B" w:rsidP="007C3060">
      <w:r w:rsidRPr="007C3060">
        <w:t>Skolen har de siste årene hatt store økonomiske utfordringer, blant annet på grunn av en flytteprosess som har blitt dyrere enn forventet. Tyskland er en viktig samarbeidspartner i Europa og skolen står i en særstilling i et utenrikspolitisk perspektiv. Regjeringen foreslår derfor å øke særtilskuddet med 8 mill. kroner for å bidra til videre drift av skolen.</w:t>
      </w:r>
    </w:p>
    <w:p w14:paraId="638949B6" w14:textId="77777777" w:rsidR="000A2A2B" w:rsidRPr="007C3060" w:rsidRDefault="000A2A2B" w:rsidP="007C3060">
      <w:r w:rsidRPr="007C3060">
        <w:t>Kunnskapsdepartementet har også satt i gang et arbeid med å fastsette et tilskuddsregelverk for særtilskuddet skolen mottar. Det tas sikte på at det nye tilskuddsregelverket trer i kraft høsten 2025.</w:t>
      </w:r>
    </w:p>
    <w:p w14:paraId="24DDA8DB" w14:textId="77777777" w:rsidR="000A2A2B" w:rsidRPr="007C3060" w:rsidRDefault="000A2A2B" w:rsidP="007C3060">
      <w:pPr>
        <w:pStyle w:val="b-budkaptit"/>
      </w:pPr>
      <w:r w:rsidRPr="007C3060">
        <w:t>Kap. 230 Statlig spesialpedagogisk tjeneste</w:t>
      </w:r>
    </w:p>
    <w:p w14:paraId="66A395F3" w14:textId="77777777" w:rsidR="000A2A2B" w:rsidRPr="007C3060" w:rsidRDefault="000A2A2B" w:rsidP="007C3060">
      <w:pPr>
        <w:pStyle w:val="b-post"/>
      </w:pPr>
      <w:r w:rsidRPr="007C3060">
        <w:t>Post 01 Driftsutgifter</w:t>
      </w:r>
    </w:p>
    <w:p w14:paraId="2CBC748E" w14:textId="77777777" w:rsidR="000A2A2B" w:rsidRPr="007C3060" w:rsidRDefault="000A2A2B" w:rsidP="007C3060">
      <w:r w:rsidRPr="007C3060">
        <w:t xml:space="preserve">Som følge av reduserte inntekter fra kurs og konferanser de siste årene ble inntektskravet under kap. 3230, post 02 redusert med 4,3 mill. kroner mot en tilsvarende utgiftsreduksjon under kap. 230, post 01 i </w:t>
      </w:r>
      <w:proofErr w:type="spellStart"/>
      <w:r w:rsidRPr="007C3060">
        <w:t>nysaldert</w:t>
      </w:r>
      <w:proofErr w:type="spellEnd"/>
      <w:r w:rsidRPr="007C3060">
        <w:t xml:space="preserve"> budsjett for 2024. Dette tilsvarer 4,4 mill. kroner i 2025. Inntektskravet under kap. 3230, post 01 foreslås dermed redusert med 4,4 mill. kroner, mot en tilsvarende utgifts-reduksjon under kap. 230, post 01.</w:t>
      </w:r>
    </w:p>
    <w:p w14:paraId="54D026EE" w14:textId="77777777" w:rsidR="000A2A2B" w:rsidRPr="007C3060" w:rsidRDefault="000A2A2B" w:rsidP="007C3060">
      <w:r w:rsidRPr="007C3060">
        <w:t xml:space="preserve">Det foreslås å øke bevilgningen med 4 mill. kroner for at </w:t>
      </w:r>
      <w:proofErr w:type="spellStart"/>
      <w:r w:rsidRPr="007C3060">
        <w:t>Statped</w:t>
      </w:r>
      <w:proofErr w:type="spellEnd"/>
      <w:r w:rsidRPr="007C3060">
        <w:t xml:space="preserve"> skal videreføre og videreutvikle elevkurs for punktskriftbrukere og for hørselshemmede som ikke bruker tegnspråk.</w:t>
      </w:r>
    </w:p>
    <w:p w14:paraId="50724CE8" w14:textId="77777777" w:rsidR="000A2A2B" w:rsidRPr="007C3060" w:rsidRDefault="000A2A2B" w:rsidP="007C3060">
      <w:r w:rsidRPr="007C3060">
        <w:t xml:space="preserve">Det foreslås å øke bevilgningen med 2 mill. kroner til </w:t>
      </w:r>
      <w:proofErr w:type="spellStart"/>
      <w:r w:rsidRPr="007C3060">
        <w:t>Statpeds</w:t>
      </w:r>
      <w:proofErr w:type="spellEnd"/>
      <w:r w:rsidRPr="007C3060">
        <w:t xml:space="preserve"> produksjon av læremidler for tegnspråklige. Tiltaket er en oppfølging av NOU 2023: 20 </w:t>
      </w:r>
      <w:r w:rsidRPr="007C3060">
        <w:rPr>
          <w:rStyle w:val="kursiv"/>
        </w:rPr>
        <w:t>Tegnspråk for livet,</w:t>
      </w:r>
      <w:r w:rsidRPr="007C3060">
        <w:t xml:space="preserve"> og anmodningsvedtak 481 fra Stortinget av 20. februar 2025 om å øke satsingen på tegnspråklige læremidler. Det kommer nærmere beskrivelse av oppfølging av anmodningsvedtaket i </w:t>
      </w:r>
      <w:proofErr w:type="spellStart"/>
      <w:r w:rsidRPr="007C3060">
        <w:t>Prop</w:t>
      </w:r>
      <w:proofErr w:type="spellEnd"/>
      <w:r w:rsidRPr="007C3060">
        <w:t>. 1 S (2025–2026).</w:t>
      </w:r>
    </w:p>
    <w:p w14:paraId="4BFD2EF5" w14:textId="77777777" w:rsidR="000A2A2B" w:rsidRPr="007C3060" w:rsidRDefault="000A2A2B" w:rsidP="007C3060">
      <w:r w:rsidRPr="007C3060">
        <w:t>Samlet foreslås det å øke bevilgningen med 1,6 mill. kroner.</w:t>
      </w:r>
    </w:p>
    <w:p w14:paraId="4AFF3C34" w14:textId="77777777" w:rsidR="000A2A2B" w:rsidRPr="007C3060" w:rsidRDefault="000A2A2B" w:rsidP="007C3060">
      <w:pPr>
        <w:pStyle w:val="b-budkaptit"/>
      </w:pPr>
      <w:r w:rsidRPr="007C3060">
        <w:lastRenderedPageBreak/>
        <w:t>Kap. 3230 Statlig spesialpedagogisk tjeneste</w:t>
      </w:r>
    </w:p>
    <w:p w14:paraId="3CB57081" w14:textId="77777777" w:rsidR="000A2A2B" w:rsidRPr="007C3060" w:rsidRDefault="000A2A2B" w:rsidP="007C3060">
      <w:pPr>
        <w:pStyle w:val="b-post"/>
      </w:pPr>
      <w:r w:rsidRPr="007C3060">
        <w:t>Post 02 Salgsinntekter mv.</w:t>
      </w:r>
    </w:p>
    <w:p w14:paraId="17A9E7FF" w14:textId="77777777" w:rsidR="000A2A2B" w:rsidRPr="007C3060" w:rsidRDefault="000A2A2B" w:rsidP="007C3060">
      <w:r w:rsidRPr="007C3060">
        <w:t xml:space="preserve">Som følge av reduserte inntekter fra kurs og konferanser de siste årene ble inntektskravet under kap. 3230, post 02 redusert med 4,3 mill. kroner mot en tilsvarende utgiftsreduksjon under kap. 230, post 01 i </w:t>
      </w:r>
      <w:proofErr w:type="spellStart"/>
      <w:r w:rsidRPr="007C3060">
        <w:t>nysaldert</w:t>
      </w:r>
      <w:proofErr w:type="spellEnd"/>
      <w:r w:rsidRPr="007C3060">
        <w:t xml:space="preserve"> budsjett for 2024. Dette tilsvarer 4,4 mill. kroner i 2025. Inntektskravet under kap. 3230, post 01 foreslås dermed redusert med 4,4 mill. kroner, mot en tilsvarende utgifts-reduksjon under kap. 230, post 01.</w:t>
      </w:r>
    </w:p>
    <w:p w14:paraId="6C35E106" w14:textId="77777777" w:rsidR="000A2A2B" w:rsidRPr="007C3060" w:rsidRDefault="000A2A2B" w:rsidP="007C3060">
      <w:pPr>
        <w:pStyle w:val="b-budkaptit"/>
      </w:pPr>
      <w:r w:rsidRPr="007C3060">
        <w:t>Kap. 231 Barnehager</w:t>
      </w:r>
    </w:p>
    <w:p w14:paraId="6A0696A4" w14:textId="77777777" w:rsidR="000A2A2B" w:rsidRPr="007C3060" w:rsidRDefault="000A2A2B" w:rsidP="007C3060">
      <w:pPr>
        <w:pStyle w:val="b-post"/>
      </w:pPr>
      <w:r w:rsidRPr="007C3060">
        <w:t>Post 21 Spesielle driftsutgifter, kan overføres</w:t>
      </w:r>
    </w:p>
    <w:p w14:paraId="19CE0E56" w14:textId="77777777" w:rsidR="000A2A2B" w:rsidRPr="007C3060" w:rsidRDefault="000A2A2B" w:rsidP="007C3060">
      <w:r w:rsidRPr="007C3060">
        <w:t>Det foreslås å redusere bevilgningen med 5 mill. kroner for å finansiere andre tiltak på departementets område.</w:t>
      </w:r>
    </w:p>
    <w:p w14:paraId="1108BD48" w14:textId="77777777" w:rsidR="000A2A2B" w:rsidRPr="007C3060" w:rsidRDefault="000A2A2B" w:rsidP="007C3060">
      <w:pPr>
        <w:pStyle w:val="b-budkaptit"/>
      </w:pPr>
      <w:r w:rsidRPr="007C3060">
        <w:t>Kap. 253 Folkehøyskoler</w:t>
      </w:r>
    </w:p>
    <w:p w14:paraId="175223F0" w14:textId="77777777" w:rsidR="000A2A2B" w:rsidRPr="007C3060" w:rsidRDefault="000A2A2B" w:rsidP="007C3060">
      <w:pPr>
        <w:pStyle w:val="b-post"/>
      </w:pPr>
      <w:r w:rsidRPr="007C3060">
        <w:t>Post 70 Tilskudd til folkehøyskoler</w:t>
      </w:r>
    </w:p>
    <w:p w14:paraId="45396B2E" w14:textId="77777777" w:rsidR="000A2A2B" w:rsidRPr="007C3060" w:rsidRDefault="000A2A2B" w:rsidP="007C3060">
      <w:r w:rsidRPr="007C3060">
        <w:t>Svalbard folkehøgskole mottar et ekstra tilskudd fordi det er dyrere å drifte folkehøyskole på Svalbard enn på fastlandet. Folkehøgskolen er en del av norsk Svalbardpolitikk og bidrar til å befeste norsk bosetting i Longyearbyen. For å bidra til at skolen har en økonomisk bærekraftig drift foreslås det å øke bevilgningen med 1,5 mill. kroner.</w:t>
      </w:r>
    </w:p>
    <w:p w14:paraId="46D19801" w14:textId="77777777" w:rsidR="000A2A2B" w:rsidRPr="007C3060" w:rsidRDefault="000A2A2B" w:rsidP="007C3060">
      <w:pPr>
        <w:pStyle w:val="b-budkaptit"/>
      </w:pPr>
      <w:r w:rsidRPr="007C3060">
        <w:t>Kap. 256 Direktoratet for høyere utdanning og kompetanse</w:t>
      </w:r>
    </w:p>
    <w:p w14:paraId="71C14576" w14:textId="77777777" w:rsidR="000A2A2B" w:rsidRPr="007C3060" w:rsidRDefault="000A2A2B" w:rsidP="007C3060">
      <w:pPr>
        <w:pStyle w:val="b-post"/>
      </w:pPr>
      <w:r w:rsidRPr="007C3060">
        <w:t>Post 01 Driftsutgifter</w:t>
      </w:r>
    </w:p>
    <w:p w14:paraId="1E92BDAD" w14:textId="77777777" w:rsidR="000A2A2B" w:rsidRPr="007C3060" w:rsidRDefault="000A2A2B" w:rsidP="007C3060">
      <w:r w:rsidRPr="007C3060">
        <w:t>Det er besluttet at sekretariatsfunksjonen for Komité for kjønnsbalanse og mangfold i forskning skal overføres fra Universitets- og høyskolerådet til Direktoratet for høyere utdanning og kompetanse (HK-</w:t>
      </w:r>
      <w:proofErr w:type="spellStart"/>
      <w:r w:rsidRPr="007C3060">
        <w:t>dir</w:t>
      </w:r>
      <w:proofErr w:type="spellEnd"/>
      <w:r w:rsidRPr="007C3060">
        <w:t>). Det foreslås derfor å øke bevilgningen på posten med 3 mill. kroner, mot en tilsvarende reduksjon på kap. 275, post 70. Midlene skal dekke kostnader til sekretariatet og driftsmidler til komiteen. Komiteen forvalter selv egne driftsmidler.</w:t>
      </w:r>
    </w:p>
    <w:p w14:paraId="7E83486C" w14:textId="77777777" w:rsidR="000A2A2B" w:rsidRPr="007C3060" w:rsidRDefault="000A2A2B" w:rsidP="007C3060">
      <w:pPr>
        <w:pStyle w:val="b-budkaptit"/>
      </w:pPr>
      <w:r w:rsidRPr="007C3060">
        <w:t>Kap. 257 Kompetanseprogrammet</w:t>
      </w:r>
    </w:p>
    <w:p w14:paraId="0D7E4861" w14:textId="77777777" w:rsidR="000A2A2B" w:rsidRPr="007C3060" w:rsidRDefault="000A2A2B" w:rsidP="007C3060">
      <w:pPr>
        <w:pStyle w:val="b-post"/>
      </w:pPr>
      <w:r w:rsidRPr="007C3060">
        <w:t>Post 70 Tilskudd, kan overføres</w:t>
      </w:r>
    </w:p>
    <w:p w14:paraId="40AB6F81" w14:textId="77777777" w:rsidR="000A2A2B" w:rsidRPr="007C3060" w:rsidRDefault="000A2A2B" w:rsidP="007C3060">
      <w:r w:rsidRPr="007C3060">
        <w:t>Det er udisponerte midler på posten grunnet overføring av ubrukt bevilgning fra 2024. Det foreslås derfor å redusere bevilgningen med 54,8 mill. kroner. Bevilgningen på posten ble prisjustert for høyt i 2025. Det foreslås derfor å redusere bevilgningen med ytterligere 0,8 mill. kroner.</w:t>
      </w:r>
    </w:p>
    <w:p w14:paraId="0BE17F88" w14:textId="77777777" w:rsidR="000A2A2B" w:rsidRPr="007C3060" w:rsidRDefault="000A2A2B" w:rsidP="007C3060">
      <w:r w:rsidRPr="007C3060">
        <w:t>Samlet foreslås det å redusere bevilgningen med 55,6 mill. kroner.</w:t>
      </w:r>
    </w:p>
    <w:p w14:paraId="64E64BD0" w14:textId="77777777" w:rsidR="000A2A2B" w:rsidRPr="007C3060" w:rsidRDefault="000A2A2B" w:rsidP="007C3060">
      <w:pPr>
        <w:pStyle w:val="b-budkaptit"/>
      </w:pPr>
      <w:r w:rsidRPr="007C3060">
        <w:lastRenderedPageBreak/>
        <w:t>Kap. 258 Tiltak for livslang læring</w:t>
      </w:r>
    </w:p>
    <w:p w14:paraId="71F7485F" w14:textId="77777777" w:rsidR="000A2A2B" w:rsidRPr="007C3060" w:rsidRDefault="000A2A2B" w:rsidP="007C3060">
      <w:pPr>
        <w:pStyle w:val="b-post"/>
      </w:pPr>
      <w:r w:rsidRPr="007C3060">
        <w:t>Post 21 Spesielle driftsutgifter, kan overføres</w:t>
      </w:r>
    </w:p>
    <w:p w14:paraId="36A04E3D" w14:textId="77777777" w:rsidR="000A2A2B" w:rsidRPr="007C3060" w:rsidRDefault="000A2A2B" w:rsidP="007C3060">
      <w:r w:rsidRPr="007C3060">
        <w:t>Det er udisponerte midler på posten grunnet overføring av ubrukt bevilgning fra 2024. Det foreslås derfor å redusere bevilgningen med 6,6 mill. kroner.</w:t>
      </w:r>
    </w:p>
    <w:p w14:paraId="3EE63906" w14:textId="77777777" w:rsidR="000A2A2B" w:rsidRPr="007C3060" w:rsidRDefault="000A2A2B" w:rsidP="007C3060">
      <w:pPr>
        <w:pStyle w:val="b-budkaptit"/>
      </w:pPr>
      <w:r w:rsidRPr="007C3060">
        <w:t>Kap. 260 Universiteter og høyskoler</w:t>
      </w:r>
    </w:p>
    <w:p w14:paraId="2126843B" w14:textId="6E53CE52" w:rsidR="000A2A2B" w:rsidRPr="007C3060" w:rsidRDefault="000A2A2B" w:rsidP="007C3060">
      <w:pPr>
        <w:pStyle w:val="b-post"/>
      </w:pPr>
      <w:r w:rsidRPr="007C3060">
        <w:t>Post 50 Statlige universiteter og høyskoler, kan nyttes under post 70</w:t>
      </w:r>
    </w:p>
    <w:p w14:paraId="5DAB983C" w14:textId="77777777" w:rsidR="000A2A2B" w:rsidRPr="007C3060" w:rsidRDefault="000A2A2B" w:rsidP="007C3060">
      <w:pPr>
        <w:pStyle w:val="avsnitt-undertittel"/>
      </w:pPr>
      <w:proofErr w:type="spellStart"/>
      <w:r w:rsidRPr="007C3060">
        <w:t>Griegakademiet</w:t>
      </w:r>
      <w:proofErr w:type="spellEnd"/>
    </w:p>
    <w:p w14:paraId="1AFC169B" w14:textId="77777777" w:rsidR="000A2A2B" w:rsidRPr="007C3060" w:rsidRDefault="000A2A2B" w:rsidP="007C3060">
      <w:r w:rsidRPr="007C3060">
        <w:t xml:space="preserve">Et nytt bygg for </w:t>
      </w:r>
      <w:proofErr w:type="spellStart"/>
      <w:r w:rsidRPr="007C3060">
        <w:t>Griegakademiet</w:t>
      </w:r>
      <w:proofErr w:type="spellEnd"/>
      <w:r w:rsidRPr="007C3060">
        <w:t xml:space="preserve"> ved Universitetet i Bergen har vært prosjektert og blitt kvalitetssikret for videre fremdrift. Regjeringen vil komme tilbake til saken i forbindelse med den årlige budsjettprosessen. Det foreslås å redusere bevilgningen på kap. 260, post 50 med 10 mill. kroner i tråd med realistisk budsjettering.</w:t>
      </w:r>
    </w:p>
    <w:p w14:paraId="53FC05DC" w14:textId="77777777" w:rsidR="000A2A2B" w:rsidRPr="007C3060" w:rsidRDefault="000A2A2B" w:rsidP="007C3060">
      <w:pPr>
        <w:pStyle w:val="avsnitt-undertittel"/>
      </w:pPr>
      <w:r w:rsidRPr="007C3060">
        <w:t>Egenbetaling for gjentak av beståtte eksamener</w:t>
      </w:r>
    </w:p>
    <w:p w14:paraId="0679A2B1" w14:textId="77777777" w:rsidR="000A2A2B" w:rsidRPr="007C3060" w:rsidRDefault="000A2A2B" w:rsidP="007C3060">
      <w:r w:rsidRPr="007C3060">
        <w:t xml:space="preserve">Regjeringen foreslo i forbindelse med statsbudsjettet for 2025 å endre reglene for egenbetaling slik at også statlige universiteter og høyskoler kunne ta egenbetaling fra studenter som tar opp igjen eksamener de har bestått, jf. </w:t>
      </w:r>
      <w:proofErr w:type="spellStart"/>
      <w:r w:rsidRPr="007C3060">
        <w:t>Innst</w:t>
      </w:r>
      <w:proofErr w:type="spellEnd"/>
      <w:r w:rsidRPr="007C3060">
        <w:t xml:space="preserve">. 12 S (2024–2025) og </w:t>
      </w:r>
      <w:proofErr w:type="spellStart"/>
      <w:r w:rsidRPr="007C3060">
        <w:t>Prop</w:t>
      </w:r>
      <w:proofErr w:type="spellEnd"/>
      <w:r w:rsidRPr="007C3060">
        <w:t>. 1 S (2024–2025).</w:t>
      </w:r>
    </w:p>
    <w:p w14:paraId="036304A5" w14:textId="77777777" w:rsidR="000A2A2B" w:rsidRPr="007C3060" w:rsidRDefault="000A2A2B" w:rsidP="007C3060">
      <w:r w:rsidRPr="007C3060">
        <w:t xml:space="preserve">På bakgrunn av høringen av endringer i universitets- og høyskoleloven går regjeringen ikke videre med forslaget, jf. </w:t>
      </w:r>
      <w:proofErr w:type="spellStart"/>
      <w:r w:rsidRPr="007C3060">
        <w:t>Prop</w:t>
      </w:r>
      <w:proofErr w:type="spellEnd"/>
      <w:r w:rsidRPr="007C3060">
        <w:t>. 118 L (2024–2025).</w:t>
      </w:r>
    </w:p>
    <w:p w14:paraId="08B5E518" w14:textId="77777777" w:rsidR="000A2A2B" w:rsidRPr="007C3060" w:rsidRDefault="000A2A2B" w:rsidP="007C3060">
      <w:r w:rsidRPr="007C3060">
        <w:t xml:space="preserve">Bevilgningen på kap. 260 er redusert som følge av regjeringens opprinnelige forslag. Reduksjonen utgjør 22,3 mill. kroner i 2025 og fullt opptrappet 44,6 mill. kroner fra og med 2026. Budsjettreduksjonen i 2025 ble fordelt mellom statlige universiteter og høyskoler på post 50 og private høyskoler på post 70 på bakgrunn av faktiske gjentak av beståtte eksamener i 2022. Når statlige universiteter og høyskoler likevel ikke skal kunne ta egenbetaling for gjentak av beståtte eksamener, er en slik fordeling ikke lenger hensiktsmessig. Det foreslås at reduksjonen i stedet fordeles </w:t>
      </w:r>
      <w:proofErr w:type="spellStart"/>
      <w:r w:rsidRPr="007C3060">
        <w:t>andelsmessig</w:t>
      </w:r>
      <w:proofErr w:type="spellEnd"/>
      <w:r w:rsidRPr="007C3060">
        <w:t xml:space="preserve"> etter størrelsen på rammebevilgningen til statlige og private universiteter og høyskoler. Som følge av dette foreslås det å redusere bevilgningen på kap. 260, post 50 med 2,7 mill. kroner og tilsvarende øke den på kap. 260, post 70.</w:t>
      </w:r>
    </w:p>
    <w:p w14:paraId="45227135" w14:textId="77777777" w:rsidR="000A2A2B" w:rsidRPr="007C3060" w:rsidRDefault="000A2A2B" w:rsidP="007C3060">
      <w:pPr>
        <w:pStyle w:val="avsnitt-undertittel"/>
      </w:pPr>
      <w:r w:rsidRPr="007C3060">
        <w:t>Virksomhetsoverdragelse av rettsmedisinsk senter fra Universitetet i Bergen</w:t>
      </w:r>
    </w:p>
    <w:p w14:paraId="555DCD87" w14:textId="77777777" w:rsidR="000A2A2B" w:rsidRPr="007C3060" w:rsidRDefault="000A2A2B" w:rsidP="007C3060">
      <w:r w:rsidRPr="007C3060">
        <w:t>Helse Bergen HF og Universitetet i Bergen har inngått en avtale om virksomhetsoverføring av rettsmedisinsk senter fra universitetet til Helse Bergen HF med virkning fra 1. januar 2025. Avtalen innebærer at Helse Bergen HF skal få kompensert 6 mill. kroner til lønn og drift i forbindelse med virksomhetsoverføringen. Det foreslås derfor å redusere bevilgningen på kap. 260, post 50 med 6 mill. kroner mot en tilsvarende økning på Helse- og omsorgsdepartementets kap. 732, post 70.</w:t>
      </w:r>
    </w:p>
    <w:p w14:paraId="0AA294A1" w14:textId="77777777" w:rsidR="000A2A2B" w:rsidRPr="007C3060" w:rsidRDefault="000A2A2B" w:rsidP="007C3060">
      <w:pPr>
        <w:pStyle w:val="avsnitt-undertittel"/>
      </w:pPr>
      <w:r w:rsidRPr="007C3060">
        <w:lastRenderedPageBreak/>
        <w:t>Oppsummering</w:t>
      </w:r>
    </w:p>
    <w:p w14:paraId="1A2C9D23" w14:textId="77777777" w:rsidR="000A2A2B" w:rsidRPr="007C3060" w:rsidRDefault="000A2A2B" w:rsidP="007C3060">
      <w:r w:rsidRPr="007C3060">
        <w:t>Det foreslås å redusere bevilgningen på posten med 18,7 mill. kroner.</w:t>
      </w:r>
    </w:p>
    <w:p w14:paraId="3C95077B" w14:textId="77777777" w:rsidR="000A2A2B" w:rsidRPr="007C3060" w:rsidRDefault="000A2A2B" w:rsidP="007C3060">
      <w:pPr>
        <w:pStyle w:val="b-post"/>
      </w:pPr>
      <w:r w:rsidRPr="007C3060">
        <w:t>Post 70 Private høyskoler, kan nyttes under post 50</w:t>
      </w:r>
    </w:p>
    <w:p w14:paraId="3C4CC344" w14:textId="77777777" w:rsidR="000A2A2B" w:rsidRPr="007C3060" w:rsidRDefault="000A2A2B" w:rsidP="007C3060">
      <w:r w:rsidRPr="007C3060">
        <w:t>Som følge av at regjeringen foreslår at de statlige institusjonene ikke skal kunne ta egenbetaling for gjentak av beståtte eksamener, foreslås det å fordele bevilgningsreduksjonen på 22,3 mill. kroner som en generell reduksjon mellom både de statlige og private institusjonene. Det foreslås å øke bevilgningen på post 70 med 2,7 mill. kroner mot en tilsvarende reduksjon på post 50. Se omtale under post 50.</w:t>
      </w:r>
    </w:p>
    <w:p w14:paraId="67EBC96A" w14:textId="77777777" w:rsidR="000A2A2B" w:rsidRPr="007C3060" w:rsidRDefault="000A2A2B" w:rsidP="007C3060">
      <w:pPr>
        <w:pStyle w:val="b-budkaptit"/>
      </w:pPr>
      <w:r w:rsidRPr="007C3060">
        <w:t>Kap. 270 Studentvelferd</w:t>
      </w:r>
    </w:p>
    <w:p w14:paraId="5B9ACCCF" w14:textId="77777777" w:rsidR="000A2A2B" w:rsidRPr="007C3060" w:rsidRDefault="000A2A2B" w:rsidP="007C3060">
      <w:pPr>
        <w:pStyle w:val="b-post"/>
      </w:pPr>
      <w:r w:rsidRPr="007C3060">
        <w:t>Post 75 Tilskudd til bygging av studentboliger</w:t>
      </w:r>
    </w:p>
    <w:p w14:paraId="5CB01137" w14:textId="77777777" w:rsidR="000A2A2B" w:rsidRPr="007C3060" w:rsidRDefault="000A2A2B" w:rsidP="007C3060">
      <w:r w:rsidRPr="007C3060">
        <w:t>Utbetaling av tilskudd til studentsamskipnadene som har fått tilsagn til byggeprosjekter blir gjort i tråd med fremdriften i prosjektene. Gjeldende bevilgning på posten er 806,6 mill. kroner. Det er overført 256,3 mill. kroner på posten fra 2024 til 2025 slik at disponibelt beløp er 1 062,9 mill. kroner. Prognosene fra Husbanken viser at utbetalingene av tilskudd vil være 1 366,5 mill. kroner i 2025. Det foreslås derfor å øke bevilgningen på posten med 303,6 mill. kroner.</w:t>
      </w:r>
    </w:p>
    <w:p w14:paraId="69915A06" w14:textId="77777777" w:rsidR="000A2A2B" w:rsidRPr="007C3060" w:rsidRDefault="000A2A2B" w:rsidP="007C3060">
      <w:r w:rsidRPr="007C3060">
        <w:t>Det er videre behov for å redusere tilsagnsfullmakten fra 1 818,7 mill. kroner til 1 149,8 mill. kroner, jf. forslag til romertallsvedtak. Tilsagnsfullmakten i 2025 skal dekke utbetalinger til gitte tilsagn i 2026 og senere år mens bevilgningen på kap. 270, post 75 skal dekke utbetaling i 2025.</w:t>
      </w:r>
    </w:p>
    <w:p w14:paraId="0837795E" w14:textId="77777777" w:rsidR="000A2A2B" w:rsidRPr="007C3060" w:rsidRDefault="000A2A2B" w:rsidP="007C3060">
      <w:pPr>
        <w:pStyle w:val="b-budkaptit"/>
      </w:pPr>
      <w:r w:rsidRPr="007C3060">
        <w:t>Kap. 271 Nasjonalt organ for kvalitet i -utdanningen</w:t>
      </w:r>
    </w:p>
    <w:p w14:paraId="5337AED0" w14:textId="77777777" w:rsidR="000A2A2B" w:rsidRPr="007C3060" w:rsidRDefault="000A2A2B" w:rsidP="007C3060">
      <w:pPr>
        <w:pStyle w:val="b-post"/>
      </w:pPr>
      <w:r w:rsidRPr="007C3060">
        <w:t>Post 01 Driftsutgifter</w:t>
      </w:r>
    </w:p>
    <w:p w14:paraId="1A3A4D16" w14:textId="77777777" w:rsidR="000A2A2B" w:rsidRPr="007C3060" w:rsidRDefault="000A2A2B" w:rsidP="007C3060">
      <w:r w:rsidRPr="007C3060">
        <w:t xml:space="preserve">Det foreslås en engangsbevilgning på 8,5 mill. kroner for å øke </w:t>
      </w:r>
      <w:proofErr w:type="spellStart"/>
      <w:r w:rsidRPr="007C3060">
        <w:t>NOKUTs</w:t>
      </w:r>
      <w:proofErr w:type="spellEnd"/>
      <w:r w:rsidRPr="007C3060">
        <w:t xml:space="preserve"> kapasitet til å raskere behandle søknader og redusere køen av søknader om akkreditering fra fagskoler og universiteter og høyskoler. NOKUT skal særlig prioritere behandling av søknader knyttet til militære utdannings-tilbud.</w:t>
      </w:r>
    </w:p>
    <w:p w14:paraId="49AC1192" w14:textId="77777777" w:rsidR="000A2A2B" w:rsidRPr="007C3060" w:rsidRDefault="000A2A2B" w:rsidP="007C3060">
      <w:r w:rsidRPr="007C3060">
        <w:t>Bevilgningen på posten foreslås økt med 8,5 mill. kroner til 143,6 mill. kroner.</w:t>
      </w:r>
    </w:p>
    <w:p w14:paraId="692AD9F0" w14:textId="77777777" w:rsidR="000A2A2B" w:rsidRPr="007C3060" w:rsidRDefault="000A2A2B" w:rsidP="007C3060">
      <w:pPr>
        <w:pStyle w:val="b-budkaptit"/>
      </w:pPr>
      <w:r w:rsidRPr="007C3060">
        <w:t>Kap. 272 Tiltak for internasjonalisering og høyere utdanning</w:t>
      </w:r>
    </w:p>
    <w:p w14:paraId="2BF7CC77" w14:textId="77777777" w:rsidR="000A2A2B" w:rsidRPr="007C3060" w:rsidRDefault="000A2A2B" w:rsidP="007C3060">
      <w:pPr>
        <w:pStyle w:val="b-post"/>
      </w:pPr>
      <w:r w:rsidRPr="007C3060">
        <w:t>Post 71 Tilskudd til tiltak for internasjonalisering, kan overføres</w:t>
      </w:r>
    </w:p>
    <w:p w14:paraId="5C6BC9DF" w14:textId="77777777" w:rsidR="000A2A2B" w:rsidRPr="007C3060" w:rsidRDefault="000A2A2B" w:rsidP="007C3060">
      <w:r w:rsidRPr="007C3060">
        <w:t>Direktoratet for høyere utdanning og kompetanse (HK-</w:t>
      </w:r>
      <w:proofErr w:type="spellStart"/>
      <w:r w:rsidRPr="007C3060">
        <w:t>dir</w:t>
      </w:r>
      <w:proofErr w:type="spellEnd"/>
      <w:r w:rsidRPr="007C3060">
        <w:t>) betaler årlig Norges godtgjørelse til de andre nordiske landene for den nordiske avtalen om gjensidig tilgang til høyere utdanning. I tråd med «Overenskomst mellom Danmark, Finland, Island, Norge og Sverige om adgang til høyere utdanning» justeres det enkelte lands årlige bidrag til det nordiske samarbeidet basert på antallet studenter bosatt i det landet som studerer i andre nordiske land. HK-</w:t>
      </w:r>
      <w:proofErr w:type="spellStart"/>
      <w:r w:rsidRPr="007C3060">
        <w:t>dir</w:t>
      </w:r>
      <w:proofErr w:type="spellEnd"/>
      <w:r w:rsidRPr="007C3060">
        <w:t xml:space="preserve"> har i 2025 fått </w:t>
      </w:r>
      <w:r w:rsidRPr="007C3060">
        <w:lastRenderedPageBreak/>
        <w:t>tildelt 77,3 mill. kroner til formålet. Den faktisk innbetalte kontingenten utgjorde 62,4 mill. kroner. Det foreslås derfor å redusere bevilgningen på posten med 14,9 mill. kroner.</w:t>
      </w:r>
    </w:p>
    <w:p w14:paraId="2E2C4548" w14:textId="77777777" w:rsidR="000A2A2B" w:rsidRPr="007C3060" w:rsidRDefault="000A2A2B" w:rsidP="007C3060">
      <w:r w:rsidRPr="007C3060">
        <w:t>Det er udisponerte midler på posten grunnet overføring av ubrukt bevilgning fra 2024. Det foreslås derfor å redusere bevilgningen på posten med 1,3 mill. kroner.</w:t>
      </w:r>
    </w:p>
    <w:p w14:paraId="736AA9C1" w14:textId="77777777" w:rsidR="000A2A2B" w:rsidRPr="007C3060" w:rsidRDefault="000A2A2B" w:rsidP="007C3060">
      <w:r w:rsidRPr="007C3060">
        <w:t>Samlet foreslås bevilgningen på posten redusert med 16,2 mill. kroner.</w:t>
      </w:r>
    </w:p>
    <w:p w14:paraId="5DFF3FB5" w14:textId="201F0D7D" w:rsidR="000A2A2B" w:rsidRPr="007C3060" w:rsidRDefault="000A2A2B" w:rsidP="007C3060">
      <w:pPr>
        <w:pStyle w:val="b-post"/>
      </w:pPr>
      <w:r w:rsidRPr="007C3060">
        <w:t>Post 72 Tilskudd til tiltak for høyere utdanning, kan overføres</w:t>
      </w:r>
    </w:p>
    <w:p w14:paraId="243BE07E" w14:textId="77777777" w:rsidR="000A2A2B" w:rsidRPr="007C3060" w:rsidRDefault="000A2A2B" w:rsidP="007C3060">
      <w:r w:rsidRPr="007C3060">
        <w:t>Det er udisponerte midler på posten grunnet overføring av ubrukt bevilgning fra 2024. Det foreslås derfor å redusere bevilgningen på posten med 40,1 mill. kroner.</w:t>
      </w:r>
    </w:p>
    <w:p w14:paraId="281FFE2B" w14:textId="77777777" w:rsidR="000A2A2B" w:rsidRPr="007C3060" w:rsidRDefault="000A2A2B" w:rsidP="007C3060">
      <w:pPr>
        <w:pStyle w:val="b-budkaptit"/>
      </w:pPr>
      <w:r w:rsidRPr="007C3060">
        <w:t>Kap. 273 Kunnskapssektorens tjeneste-leverandør – Sikt</w:t>
      </w:r>
    </w:p>
    <w:p w14:paraId="6E667A88" w14:textId="77777777" w:rsidR="000A2A2B" w:rsidRPr="007C3060" w:rsidRDefault="000A2A2B" w:rsidP="007C3060">
      <w:pPr>
        <w:pStyle w:val="b-post"/>
      </w:pPr>
      <w:r w:rsidRPr="007C3060">
        <w:t>Post 50 Virksomhetskostnader</w:t>
      </w:r>
    </w:p>
    <w:p w14:paraId="6C77951C" w14:textId="77777777" w:rsidR="000A2A2B" w:rsidRPr="007C3060" w:rsidRDefault="000A2A2B" w:rsidP="007C3060">
      <w:r w:rsidRPr="007C3060">
        <w:t>Sigma2 er et statlig selskap eid av Kunnskapssektorens tjenesteleverandør – Sikt, og har det strategiske og operasjonelle ansvaret for den nasjonale e-infrastrukturen for tungregning og lagring av vitenskapelig data i Norge. De drifter det nasjonale lagringssystemet NIRD (National e-</w:t>
      </w:r>
      <w:proofErr w:type="spellStart"/>
      <w:r w:rsidRPr="007C3060">
        <w:t>Infra</w:t>
      </w:r>
      <w:proofErr w:type="spellEnd"/>
      <w:r w:rsidRPr="007C3060">
        <w:t>-</w:t>
      </w:r>
      <w:proofErr w:type="spellStart"/>
      <w:r w:rsidRPr="007C3060">
        <w:t>structure</w:t>
      </w:r>
      <w:proofErr w:type="spellEnd"/>
      <w:r w:rsidRPr="007C3060">
        <w:t xml:space="preserve"> for Research Data) som gir forskere tilgang til tjenester for vitenskapelige disipliner som krever ressurser for sikker lagring, bearbeiding og publisering av forskningsdata. Det er behov for økt kapasitet for lagring og sikring av data i Norge blant annet som følge av økende uro i verden. Det foreslås en engangsbevilgning til Sigma2 på 20,2 mill. kroner i 2025 for å øke kapasiteten til nasjonal lagring og sikring av data som er viktig for norsk forskning.</w:t>
      </w:r>
    </w:p>
    <w:p w14:paraId="42A04DFB" w14:textId="77777777" w:rsidR="000A2A2B" w:rsidRPr="007C3060" w:rsidRDefault="000A2A2B" w:rsidP="007C3060">
      <w:r w:rsidRPr="007C3060">
        <w:t>Bevilgningen på posten foreslås økt med 20,2 mill. kroner til 463 mill. kroner.</w:t>
      </w:r>
    </w:p>
    <w:p w14:paraId="1ADC64F0" w14:textId="77777777" w:rsidR="000A2A2B" w:rsidRPr="007C3060" w:rsidRDefault="000A2A2B" w:rsidP="007C3060">
      <w:pPr>
        <w:pStyle w:val="b-budkaptit"/>
      </w:pPr>
      <w:r w:rsidRPr="007C3060">
        <w:t>Kap. 275 Tiltak for høyere utdanning og forskning</w:t>
      </w:r>
    </w:p>
    <w:p w14:paraId="1418FAFF" w14:textId="625524E3" w:rsidR="000A2A2B" w:rsidRPr="007C3060" w:rsidRDefault="000A2A2B" w:rsidP="007C3060">
      <w:pPr>
        <w:pStyle w:val="b-post"/>
      </w:pPr>
      <w:r w:rsidRPr="007C3060">
        <w:t>Post 21 Spesielle driftsutgifter, kan overføres, kan nyttes under post 70</w:t>
      </w:r>
    </w:p>
    <w:p w14:paraId="1D61B7C5" w14:textId="77777777" w:rsidR="000A2A2B" w:rsidRPr="007C3060" w:rsidRDefault="000A2A2B" w:rsidP="007C3060">
      <w:pPr>
        <w:pStyle w:val="avsnitt-undertittel"/>
      </w:pPr>
      <w:r w:rsidRPr="007C3060">
        <w:t>Drift av RETHOS</w:t>
      </w:r>
    </w:p>
    <w:p w14:paraId="48D3BDB5" w14:textId="77777777" w:rsidR="000A2A2B" w:rsidRPr="007C3060" w:rsidRDefault="000A2A2B" w:rsidP="007C3060">
      <w:r w:rsidRPr="007C3060">
        <w:t>Det foreslås å redusere bevilgningen på posten med 1 mill. kroner, mot en tilsvarende økning av kap. 200, post 01 knyttet til at arbeidet med RETHOS har gått over fra en prosjektfase til fast drift. Se omtale under kap. 200, post 01.</w:t>
      </w:r>
    </w:p>
    <w:p w14:paraId="7E21AAFB" w14:textId="77777777" w:rsidR="000A2A2B" w:rsidRPr="007C3060" w:rsidRDefault="000A2A2B" w:rsidP="007C3060">
      <w:pPr>
        <w:pStyle w:val="avsnitt-undertittel"/>
      </w:pPr>
      <w:r w:rsidRPr="007C3060">
        <w:t>Landrapport fra OECD</w:t>
      </w:r>
    </w:p>
    <w:p w14:paraId="6CA96467" w14:textId="77777777" w:rsidR="000A2A2B" w:rsidRPr="007C3060" w:rsidRDefault="000A2A2B" w:rsidP="007C3060">
      <w:r w:rsidRPr="007C3060">
        <w:t>Det foreslås å øke bevilgningen med 2 mill. kroner for å gi OECD et oppdrag om å skrive en landrapport om hvordan høyere yrkesfaglig utdanning og høyere utdanning i Norge på best mulig vis kan bidra til økt produktivitet og konkurransekraft.</w:t>
      </w:r>
    </w:p>
    <w:p w14:paraId="397DC21F" w14:textId="77777777" w:rsidR="000A2A2B" w:rsidRPr="007C3060" w:rsidRDefault="000A2A2B" w:rsidP="007C3060">
      <w:pPr>
        <w:pStyle w:val="avsnitt-undertittel"/>
      </w:pPr>
      <w:r w:rsidRPr="007C3060">
        <w:t>Oppsummering</w:t>
      </w:r>
    </w:p>
    <w:p w14:paraId="288CFF19" w14:textId="77777777" w:rsidR="000A2A2B" w:rsidRPr="007C3060" w:rsidRDefault="000A2A2B" w:rsidP="007C3060">
      <w:r w:rsidRPr="007C3060">
        <w:t>Det foreslås å øke bevilgningen på posten med 1 mill. kroner.</w:t>
      </w:r>
    </w:p>
    <w:p w14:paraId="442321C5" w14:textId="77777777" w:rsidR="000A2A2B" w:rsidRPr="007C3060" w:rsidRDefault="000A2A2B" w:rsidP="007C3060">
      <w:pPr>
        <w:pStyle w:val="b-post"/>
      </w:pPr>
      <w:r w:rsidRPr="007C3060">
        <w:lastRenderedPageBreak/>
        <w:t>Post 70 Tilskudd, kan nyttes under post 21</w:t>
      </w:r>
    </w:p>
    <w:p w14:paraId="12D36B8B" w14:textId="77777777" w:rsidR="000A2A2B" w:rsidRPr="007C3060" w:rsidRDefault="000A2A2B" w:rsidP="007C3060">
      <w:pPr>
        <w:pStyle w:val="avsnitt-undertittel"/>
      </w:pPr>
      <w:r w:rsidRPr="007C3060">
        <w:t>Komité for kjønnsbalanse og mangfold i forskning</w:t>
      </w:r>
    </w:p>
    <w:p w14:paraId="53D17954" w14:textId="77777777" w:rsidR="000A2A2B" w:rsidRPr="007C3060" w:rsidRDefault="000A2A2B" w:rsidP="007C3060">
      <w:r w:rsidRPr="007C3060">
        <w:t>Det er besluttet å overføre sekretariatsfunksjonen for Komité for kjønnsbalanse og mangfold i forskning fra Universitets- og høgskolerådet til Direktoratet for høyere utdanning og kompetanse. Det foreslås derfor å flytte 3 mill. kroner fra posten til kap. 256, post 01. Midlene skal dekke kostnader til sekretariatet og driftsmidler til komiteen. Komiteen forvalter selv egne driftsmidler.</w:t>
      </w:r>
    </w:p>
    <w:p w14:paraId="26287072" w14:textId="77777777" w:rsidR="000A2A2B" w:rsidRPr="007C3060" w:rsidRDefault="000A2A2B" w:rsidP="007C3060">
      <w:pPr>
        <w:pStyle w:val="avsnitt-undertittel"/>
      </w:pPr>
      <w:r w:rsidRPr="007C3060">
        <w:t>Klagenemnd og sekretariat for godkjenning av -utenlandsk utdanning og yrkeskvalifikasjoner</w:t>
      </w:r>
    </w:p>
    <w:p w14:paraId="786E9296" w14:textId="77777777" w:rsidR="000A2A2B" w:rsidRPr="007C3060" w:rsidRDefault="000A2A2B" w:rsidP="007C3060">
      <w:r w:rsidRPr="007C3060">
        <w:t>Det er besluttet å opprette en klagenemnd for klager på vedtak fra Direktoratet for høyere utdanning og kompetanse (HK-</w:t>
      </w:r>
      <w:proofErr w:type="spellStart"/>
      <w:r w:rsidRPr="007C3060">
        <w:t>dir</w:t>
      </w:r>
      <w:proofErr w:type="spellEnd"/>
      <w:r w:rsidRPr="007C3060">
        <w:t>) om godkjenning av utenlandsk utdanning og godkjenning av yrkeskvalifikasjoner på Kunnskapsdepartementets område, med virkning fra 1. januar 2026. Sekretariatet til nemnden legges til Klagenemndssekretariatet under Nærings- og fiskeridepartementet. Det foreslås å redusere bevilgningen på posten med 0,5 mill. kroner, mot en tilsvarende økning av bevilgningen på Nærings- og fiskeridepartementets kap. 912, post 01 for å dekke etableringskostnader for det nye sekretariatet.</w:t>
      </w:r>
    </w:p>
    <w:p w14:paraId="44FA8824" w14:textId="77777777" w:rsidR="000A2A2B" w:rsidRPr="007C3060" w:rsidRDefault="000A2A2B" w:rsidP="007C3060">
      <w:pPr>
        <w:pStyle w:val="avsnitt-undertittel"/>
      </w:pPr>
      <w:r w:rsidRPr="007C3060">
        <w:t>Konkurransen Unge Forskere</w:t>
      </w:r>
    </w:p>
    <w:p w14:paraId="5A45AC76" w14:textId="77777777" w:rsidR="000A2A2B" w:rsidRPr="007C3060" w:rsidRDefault="000A2A2B" w:rsidP="007C3060">
      <w:r w:rsidRPr="007C3060">
        <w:t>Det foreslås å flytte ansvaret for Konkurransen Unge Forskere fra Forskningsrådet til Akademiet for yngre forskere (AYF). Det foreslås derfor å redusere tilsagnsfullmakten på kap. 285, post 72 med 0,8 mill. kroner mot en tilsvarende økning i bevilgningen på kap. 275, post 70.</w:t>
      </w:r>
    </w:p>
    <w:p w14:paraId="3DF60D79" w14:textId="77777777" w:rsidR="000A2A2B" w:rsidRPr="007C3060" w:rsidRDefault="000A2A2B" w:rsidP="007C3060">
      <w:pPr>
        <w:pStyle w:val="avsnitt-undertittel"/>
      </w:pPr>
      <w:r w:rsidRPr="007C3060">
        <w:t>Oppsummering</w:t>
      </w:r>
    </w:p>
    <w:p w14:paraId="236FB64C" w14:textId="77777777" w:rsidR="000A2A2B" w:rsidRPr="007C3060" w:rsidRDefault="000A2A2B" w:rsidP="007C3060">
      <w:r w:rsidRPr="007C3060">
        <w:t>Det foreslås redusere bevilgningen på posten med 2,7 mill. kroner.</w:t>
      </w:r>
    </w:p>
    <w:p w14:paraId="0FB14533" w14:textId="77777777" w:rsidR="000A2A2B" w:rsidRPr="007C3060" w:rsidRDefault="000A2A2B" w:rsidP="007C3060">
      <w:pPr>
        <w:pStyle w:val="b-budkaptit"/>
      </w:pPr>
      <w:r w:rsidRPr="007C3060">
        <w:t>Kap. 285 Norges forskningsråd</w:t>
      </w:r>
    </w:p>
    <w:p w14:paraId="1EB862DC" w14:textId="77777777" w:rsidR="000A2A2B" w:rsidRPr="007C3060" w:rsidRDefault="000A2A2B" w:rsidP="007C3060">
      <w:pPr>
        <w:pStyle w:val="b-post"/>
      </w:pPr>
      <w:r w:rsidRPr="007C3060">
        <w:t>Post 01 Driftsutgifter</w:t>
      </w:r>
    </w:p>
    <w:p w14:paraId="22B567A4" w14:textId="77777777" w:rsidR="000A2A2B" w:rsidRPr="007C3060" w:rsidRDefault="000A2A2B" w:rsidP="007C3060">
      <w:pPr>
        <w:pStyle w:val="avsnitt-undertittel"/>
      </w:pPr>
      <w:r w:rsidRPr="007C3060">
        <w:t>Nettoføringsordningen for merverdiavgift</w:t>
      </w:r>
    </w:p>
    <w:p w14:paraId="2455D0A0" w14:textId="77777777" w:rsidR="000A2A2B" w:rsidRPr="007C3060" w:rsidRDefault="000A2A2B" w:rsidP="007C3060">
      <w:r w:rsidRPr="007C3060">
        <w:t>I forbindelse med overgangen til bruttobudsjettering av Forskningsrådet ble det i fastsettelsen av driftsbevilgningene, post 01 og 21, ikke tatt høyde for effekten av at Forskningsrådet fra og med 2025 inngår i nettoføringsordningen for budsjettering og regnskapsføring av merverdiavgift i statsforvaltningen. Det foreslås å redusere bevilgningen på posten med 49 mill. kroner tilsvarende estimert merverdiavgift som skal føres på sentral utgiftspost.</w:t>
      </w:r>
    </w:p>
    <w:p w14:paraId="0B315FFF" w14:textId="77777777" w:rsidR="000A2A2B" w:rsidRPr="007C3060" w:rsidRDefault="000A2A2B" w:rsidP="007C3060">
      <w:pPr>
        <w:pStyle w:val="avsnitt-undertittel"/>
      </w:pPr>
      <w:r w:rsidRPr="007C3060">
        <w:t>Nasjonale fagevalueringer og forskningsmidler</w:t>
      </w:r>
    </w:p>
    <w:p w14:paraId="003C7343" w14:textId="77777777" w:rsidR="000A2A2B" w:rsidRPr="007C3060" w:rsidRDefault="000A2A2B" w:rsidP="007C3060">
      <w:r w:rsidRPr="007C3060">
        <w:t xml:space="preserve">Norges forskningsråd har en rekke oppgaver knyttet til nasjonale fagevalueringer og allmennrettet og særskilt forskningsformidling som finansieres med bevilgningen over kap. 285, post </w:t>
      </w:r>
      <w:r w:rsidRPr="007C3060">
        <w:lastRenderedPageBreak/>
        <w:t>72. Ettersom dette er permanente driftsoppgaver for Forskningsrådet, bør bevilgningen budsjetteres på driftspost. Det foreslås derfor å øke bevilgningen på kap. 285, post 01 med 21,5 mill. kroner, mot en tilsvarende reduksjon på kap. 285, post 72.</w:t>
      </w:r>
    </w:p>
    <w:p w14:paraId="2A1E789B" w14:textId="77777777" w:rsidR="000A2A2B" w:rsidRPr="007C3060" w:rsidRDefault="000A2A2B" w:rsidP="007C3060">
      <w:pPr>
        <w:pStyle w:val="avsnitt-undertittel"/>
      </w:pPr>
      <w:r w:rsidRPr="007C3060">
        <w:t>Diverse oppdrag</w:t>
      </w:r>
    </w:p>
    <w:p w14:paraId="6E058CAD" w14:textId="77777777" w:rsidR="000A2A2B" w:rsidRPr="007C3060" w:rsidRDefault="000A2A2B" w:rsidP="007C3060">
      <w:r w:rsidRPr="007C3060">
        <w:t>I forbindelse med overgangen til bruttobudsjettering av Forskningsrådet ble midler til nye oppdrag til Forskningsrådet lagt til kap. 285, post 21. Etter innspill fra Forskningsrådet, mener regjeringen at midler til alle slike oppdrag bør flyttes til post 21. Det foreslås derfor å redusere bevilgningen på kap. 285, post 01 med 31,1 mill. kroner, mot en tilsvarende økning på kap. 285, post 21.</w:t>
      </w:r>
    </w:p>
    <w:p w14:paraId="65F2C42D" w14:textId="77777777" w:rsidR="000A2A2B" w:rsidRPr="007C3060" w:rsidRDefault="000A2A2B" w:rsidP="007C3060">
      <w:pPr>
        <w:pStyle w:val="avsnitt-undertittel"/>
      </w:pPr>
      <w:r w:rsidRPr="007C3060">
        <w:t>Oppsummering</w:t>
      </w:r>
    </w:p>
    <w:p w14:paraId="2D5CF1F4" w14:textId="77777777" w:rsidR="000A2A2B" w:rsidRPr="007C3060" w:rsidRDefault="000A2A2B" w:rsidP="007C3060">
      <w:r w:rsidRPr="007C3060">
        <w:t>Samlet foreslås bevilgningen på posten redusert med 58,6 mill. kroner.</w:t>
      </w:r>
    </w:p>
    <w:p w14:paraId="61BADDED" w14:textId="77777777" w:rsidR="000A2A2B" w:rsidRPr="007C3060" w:rsidRDefault="000A2A2B" w:rsidP="007C3060">
      <w:pPr>
        <w:pStyle w:val="b-post"/>
      </w:pPr>
      <w:r w:rsidRPr="007C3060">
        <w:t>Post 21 Spesielle driftsutgifter</w:t>
      </w:r>
    </w:p>
    <w:p w14:paraId="58E0C774" w14:textId="77777777" w:rsidR="000A2A2B" w:rsidRPr="007C3060" w:rsidRDefault="000A2A2B" w:rsidP="007C3060">
      <w:pPr>
        <w:pStyle w:val="avsnitt-undertittel"/>
      </w:pPr>
      <w:r w:rsidRPr="007C3060">
        <w:t>Nettoføringsordningen for merverdiavgift</w:t>
      </w:r>
    </w:p>
    <w:p w14:paraId="42509EBB" w14:textId="77777777" w:rsidR="000A2A2B" w:rsidRPr="007C3060" w:rsidRDefault="000A2A2B" w:rsidP="007C3060">
      <w:r w:rsidRPr="007C3060">
        <w:t>Det foreslås å redusere bevilgningen på posten med 2,5 mill. kroner ettersom Forskningsrådet fra og med 2025 inngår i nettoføringsordningen for budsjettering og regnskapsføring av merverdiavgift i statsforvaltningen. Se omtale under kap. 285, post 01.</w:t>
      </w:r>
    </w:p>
    <w:p w14:paraId="29E653DC" w14:textId="77777777" w:rsidR="000A2A2B" w:rsidRPr="007C3060" w:rsidRDefault="000A2A2B" w:rsidP="007C3060">
      <w:pPr>
        <w:pStyle w:val="avsnitt-undertittel"/>
      </w:pPr>
      <w:r w:rsidRPr="007C3060">
        <w:t>Driftsmidler til arbeid med talentsentre</w:t>
      </w:r>
    </w:p>
    <w:p w14:paraId="042BF64B" w14:textId="77777777" w:rsidR="000A2A2B" w:rsidRPr="007C3060" w:rsidRDefault="000A2A2B" w:rsidP="007C3060">
      <w:r w:rsidRPr="007C3060">
        <w:t>Fra 2024 har Norges forskningsråd tatt over forvaltningen av talentsentre ved seks av vitensentrene. Ved en feil ble det i 2025 ikke bevilget driftsmidler til Forskningsrådet for forvaltningen av ordningen. Det foreslås å øke bevilgningen på posten med 0,3 mill. kroner.</w:t>
      </w:r>
    </w:p>
    <w:p w14:paraId="259446C8" w14:textId="77777777" w:rsidR="000A2A2B" w:rsidRPr="007C3060" w:rsidRDefault="000A2A2B" w:rsidP="007C3060">
      <w:pPr>
        <w:pStyle w:val="avsnitt-undertittel"/>
      </w:pPr>
      <w:r w:rsidRPr="007C3060">
        <w:t>Svalbardkonferansen</w:t>
      </w:r>
    </w:p>
    <w:p w14:paraId="446C2E96" w14:textId="77777777" w:rsidR="000A2A2B" w:rsidRPr="007C3060" w:rsidRDefault="000A2A2B" w:rsidP="007C3060">
      <w:r w:rsidRPr="007C3060">
        <w:t>Kunnskapsdepartementet har gitt Norges forskningsråd i oppdrag å bidra i gjennomføringen av Svalbardkonferansen. Det foreslås å øke bevilgningen på posten med 0,7 mill. kroner for å dekke Forskningsrådets kostnader i forbindelse med konferansen, mot en tilsvarende reduksjon i bevilgningen på kapittel 285, post 72.</w:t>
      </w:r>
    </w:p>
    <w:p w14:paraId="054418B9" w14:textId="77777777" w:rsidR="000A2A2B" w:rsidRPr="007C3060" w:rsidRDefault="000A2A2B" w:rsidP="007C3060">
      <w:pPr>
        <w:pStyle w:val="avsnitt-undertittel"/>
      </w:pPr>
      <w:r w:rsidRPr="007C3060">
        <w:t>Senter for spesialpedagogisk forskning og inkludering (</w:t>
      </w:r>
      <w:proofErr w:type="spellStart"/>
      <w:r w:rsidRPr="007C3060">
        <w:t>SpedAims</w:t>
      </w:r>
      <w:proofErr w:type="spellEnd"/>
      <w:r w:rsidRPr="007C3060">
        <w:t>)</w:t>
      </w:r>
    </w:p>
    <w:p w14:paraId="207517B9" w14:textId="77777777" w:rsidR="000A2A2B" w:rsidRPr="007C3060" w:rsidRDefault="000A2A2B" w:rsidP="007C3060">
      <w:r w:rsidRPr="007C3060">
        <w:t>Forskningsrådet skal gjennomføre en evaluering av Senter for spesialpedagogisk forskning og inkludering (</w:t>
      </w:r>
      <w:proofErr w:type="spellStart"/>
      <w:r w:rsidRPr="007C3060">
        <w:t>SpedAims</w:t>
      </w:r>
      <w:proofErr w:type="spellEnd"/>
      <w:r w:rsidRPr="007C3060">
        <w:t>). Det foreslås å øke bevilgningen på posten med 0,1 mill. kroner for å dekke Forskningsrådets kostnader i forbindelse med evalueringen, mot en tilsvarende reduksjon i bevilgningen på kap. 201, post 21.</w:t>
      </w:r>
    </w:p>
    <w:p w14:paraId="471BD59F" w14:textId="77777777" w:rsidR="000A2A2B" w:rsidRPr="007C3060" w:rsidRDefault="000A2A2B" w:rsidP="007C3060">
      <w:pPr>
        <w:pStyle w:val="avsnitt-undertittel"/>
      </w:pPr>
      <w:r w:rsidRPr="007C3060">
        <w:lastRenderedPageBreak/>
        <w:t>Diverse oppdrag</w:t>
      </w:r>
    </w:p>
    <w:p w14:paraId="11DEFE32" w14:textId="77777777" w:rsidR="000A2A2B" w:rsidRPr="007C3060" w:rsidRDefault="000A2A2B" w:rsidP="007C3060">
      <w:r w:rsidRPr="007C3060">
        <w:t>I forbindelse med overgangen til bruttobudsjettering av Norges forskningsråd ble midler til nye oppdrag for Forskningsrådet flyttet til post 21. Etter innspill fra Forskningsrådet mener regjeringen at midler til alle slike oppdrag bør flyttes til post 21. Det foreslås derfor å øke bevilgningen på kap. 285, post 21 med 31,1 mill. kroner mot en tilsvarende reduksjon på kap. 285, post 01.</w:t>
      </w:r>
    </w:p>
    <w:p w14:paraId="32CA77F1" w14:textId="77777777" w:rsidR="000A2A2B" w:rsidRPr="007C3060" w:rsidRDefault="000A2A2B" w:rsidP="007C3060">
      <w:pPr>
        <w:pStyle w:val="avsnitt-undertittel"/>
      </w:pPr>
      <w:r w:rsidRPr="007C3060">
        <w:t>FoU-strategi for likestilling</w:t>
      </w:r>
    </w:p>
    <w:p w14:paraId="1C681FBC" w14:textId="77777777" w:rsidR="000A2A2B" w:rsidRPr="007C3060" w:rsidRDefault="000A2A2B" w:rsidP="007C3060">
      <w:r w:rsidRPr="007C3060">
        <w:t>Forskningsrådet har fått i oppdrag å være sekretariat for en interdepartemental arbeidsgruppe som arbeider med å utvikle en tverrsektoriell FoU-strategi for likestilling, ikke-diskriminering og mangfold og ta oppdrag som inngår som en del av arbeidet med å utvikle strategien, samt oppfølging av denne. Det foreslås å flytte 1,6 mill. kroner fra Kultur- og likestillingsdepartementets kap. 351, post 21 for å dekke Forskningsrådets utgifter til arbeidet.</w:t>
      </w:r>
    </w:p>
    <w:p w14:paraId="61963833" w14:textId="77777777" w:rsidR="000A2A2B" w:rsidRPr="007C3060" w:rsidRDefault="000A2A2B" w:rsidP="007C3060">
      <w:pPr>
        <w:pStyle w:val="avsnitt-undertittel"/>
      </w:pPr>
      <w:r w:rsidRPr="007C3060">
        <w:t>Nye oppdrag fra Forsvarsdepartementet</w:t>
      </w:r>
    </w:p>
    <w:p w14:paraId="5AF6F29D" w14:textId="77777777" w:rsidR="000A2A2B" w:rsidRPr="007C3060" w:rsidRDefault="000A2A2B" w:rsidP="007C3060">
      <w:r w:rsidRPr="007C3060">
        <w:t>Forsvarsdepartementet vil gi Forskningsrådet nye oppdrag for å understøtte koblinger mellom FoU på sivil og militær side. Oppdragene vil innebære å utvikle kunnskapsgrunnlag for nye FoU-satsinger i langtidsplanen for forsvarssektoren og gi bedre innsikt i forsvarsrelevant FoU i Forskningsrådets portefølje. Det foreslås å flytte 2,1 mill. kroner fra Forsvarsdepartementets kap. 1760, post 45 for å dekke Forskningsrådets utgifter til dette.</w:t>
      </w:r>
    </w:p>
    <w:p w14:paraId="4EC65510" w14:textId="77777777" w:rsidR="000A2A2B" w:rsidRPr="007C3060" w:rsidRDefault="000A2A2B" w:rsidP="007C3060">
      <w:pPr>
        <w:pStyle w:val="avsnitt-undertittel"/>
      </w:pPr>
      <w:r w:rsidRPr="007C3060">
        <w:t>HelseOmsorg21-monitor</w:t>
      </w:r>
    </w:p>
    <w:p w14:paraId="29BA3376" w14:textId="77777777" w:rsidR="000A2A2B" w:rsidRPr="007C3060" w:rsidRDefault="000A2A2B" w:rsidP="007C3060">
      <w:r w:rsidRPr="007C3060">
        <w:t>Helse- og omsorgsdepartementet har bedt Forskningsrådet om å utrede muligheten for å inkludere kjønnsvariabler i HelseOmsorg21-monitoren. Det foreslås å flytte 2,5 mill. kroner fra Helse- og omsorgsdepartementets kap. 780, post 70 for arbeidet med utvikling av monitoren, inkludert oppdraget om kjønnsvariabler.</w:t>
      </w:r>
    </w:p>
    <w:p w14:paraId="6754F7E0" w14:textId="77777777" w:rsidR="000A2A2B" w:rsidRPr="007C3060" w:rsidRDefault="000A2A2B" w:rsidP="007C3060">
      <w:pPr>
        <w:pStyle w:val="avsnitt-undertittel"/>
      </w:pPr>
      <w:r w:rsidRPr="007C3060">
        <w:t>Programmet for et digitalt Europa (DIGITAL)</w:t>
      </w:r>
    </w:p>
    <w:p w14:paraId="41B64D8D" w14:textId="77777777" w:rsidR="000A2A2B" w:rsidRPr="007C3060" w:rsidRDefault="000A2A2B" w:rsidP="007C3060">
      <w:r w:rsidRPr="007C3060">
        <w:t>Digitaliseringsdirektoratet, Innovasjon Norge og Norges forskningsråd har sammen det daglige ansvaret for oppfølging av norsk deltakelse i DIGITAL. Det foreslås å flytte 1 mill. kroner fra Digitaliserings- og forvaltningsdepartementet kap. 1541, post 22 til Forskningsrådets drift av nasjonalt koordineringspunkt for DIGITAL.</w:t>
      </w:r>
    </w:p>
    <w:p w14:paraId="09C9F9C3" w14:textId="77777777" w:rsidR="000A2A2B" w:rsidRPr="007C3060" w:rsidRDefault="000A2A2B" w:rsidP="007C3060">
      <w:pPr>
        <w:pStyle w:val="avsnitt-undertittel"/>
      </w:pPr>
      <w:r w:rsidRPr="007C3060">
        <w:t>Norsk-indisk forsknings- og næringslivskonferanse</w:t>
      </w:r>
    </w:p>
    <w:p w14:paraId="247F51A8" w14:textId="77777777" w:rsidR="000A2A2B" w:rsidRPr="007C3060" w:rsidRDefault="000A2A2B" w:rsidP="007C3060">
      <w:r w:rsidRPr="007C3060">
        <w:t>Utenriksdepartementet har gitt Forskningsrådet i oppdrag å bidra til at forskning inngår som en integrert del av en norsk-indisk forsknings- og næringslivskonferanse som planlegges i sammenheng med et nordisk-indisk statsministertoppmøte våren 2025. Det foreslås å flytte 2 mill. kroner fra Utenriksdepartementets kap. 161, post 74 for å dekke Forskningsrådets driftsutgifter til arbeid med konferansen.</w:t>
      </w:r>
    </w:p>
    <w:p w14:paraId="436C6D20" w14:textId="77777777" w:rsidR="000A2A2B" w:rsidRPr="007C3060" w:rsidRDefault="000A2A2B" w:rsidP="007C3060">
      <w:pPr>
        <w:pStyle w:val="avsnitt-undertittel"/>
      </w:pPr>
      <w:r w:rsidRPr="007C3060">
        <w:lastRenderedPageBreak/>
        <w:t>Oppsummering</w:t>
      </w:r>
    </w:p>
    <w:p w14:paraId="31A34F53" w14:textId="77777777" w:rsidR="000A2A2B" w:rsidRPr="007C3060" w:rsidRDefault="000A2A2B" w:rsidP="007C3060">
      <w:r w:rsidRPr="007C3060">
        <w:t>Samlet foreslås bevilgningen på posten økt med 38,9 mill. kroner.</w:t>
      </w:r>
    </w:p>
    <w:p w14:paraId="6126EFCD" w14:textId="7775064F" w:rsidR="000A2A2B" w:rsidRPr="007C3060" w:rsidRDefault="000A2A2B" w:rsidP="007C3060">
      <w:pPr>
        <w:pStyle w:val="b-post"/>
      </w:pPr>
      <w:r w:rsidRPr="007C3060">
        <w:t>Post 71 Strategiske forskningsprioriteringer, kan overføres</w:t>
      </w:r>
    </w:p>
    <w:p w14:paraId="2DCA84B5" w14:textId="77777777" w:rsidR="000A2A2B" w:rsidRPr="007C3060" w:rsidRDefault="000A2A2B" w:rsidP="007C3060">
      <w:r w:rsidRPr="007C3060">
        <w:t>For å overvåke og forstå viktige prosesser i Pol-havet og klimaet i Arktis, er det avgjørende med måleinstrumenter som observasjonsbøyer og riktig kommunikasjonsutstyr for å samle dataene. For å sørge for stabil og viktig datainnsamling er det behov for investeringer i denne typen forskningsinfrastruktur. Det foreslås å bidra til slik datainnsamling med en engangsbevilgning til infrastruktur på kap. 285, post 71 på 10 mill. kroner i 2025.</w:t>
      </w:r>
    </w:p>
    <w:p w14:paraId="4D51E98C" w14:textId="77777777" w:rsidR="000A2A2B" w:rsidRPr="007C3060" w:rsidRDefault="000A2A2B" w:rsidP="007C3060">
      <w:r w:rsidRPr="007C3060">
        <w:t>Bevilgningen på posten foreslås økt med 10 mill. kroner til 2 960,9 mill. kroner.</w:t>
      </w:r>
    </w:p>
    <w:p w14:paraId="5A7978DF" w14:textId="5F7FE97A" w:rsidR="000A2A2B" w:rsidRPr="007C3060" w:rsidRDefault="000A2A2B" w:rsidP="007C3060">
      <w:pPr>
        <w:pStyle w:val="b-post"/>
      </w:pPr>
      <w:r w:rsidRPr="007C3060">
        <w:t>Post 72 Langsiktig, grunnleggende forskning, kan overføres</w:t>
      </w:r>
    </w:p>
    <w:p w14:paraId="011EFB20" w14:textId="77777777" w:rsidR="000A2A2B" w:rsidRPr="007C3060" w:rsidRDefault="000A2A2B" w:rsidP="007C3060">
      <w:pPr>
        <w:pStyle w:val="avsnitt-undertittel"/>
      </w:pPr>
      <w:r w:rsidRPr="007C3060">
        <w:t>Svalbardkonferansen</w:t>
      </w:r>
    </w:p>
    <w:p w14:paraId="1C94B49F" w14:textId="77777777" w:rsidR="000A2A2B" w:rsidRPr="007C3060" w:rsidRDefault="000A2A2B" w:rsidP="007C3060">
      <w:r w:rsidRPr="007C3060">
        <w:t>Forskningsrådet skal bidra i gjennomføringen av Svalbardkonferansen i 2025. Det foreslås å flytte 0,7 mill. kroner fra bevilgningen på posten til kap. 285, post 21. Se også omtale under kap. 285, post 21.</w:t>
      </w:r>
    </w:p>
    <w:p w14:paraId="0FE201DF" w14:textId="77777777" w:rsidR="000A2A2B" w:rsidRPr="007C3060" w:rsidRDefault="000A2A2B" w:rsidP="007C3060">
      <w:pPr>
        <w:pStyle w:val="avsnitt-undertittel"/>
      </w:pPr>
      <w:r w:rsidRPr="007C3060">
        <w:t>Konkurransen Unge Forskere</w:t>
      </w:r>
    </w:p>
    <w:p w14:paraId="6C6E7946" w14:textId="77777777" w:rsidR="000A2A2B" w:rsidRPr="007C3060" w:rsidRDefault="000A2A2B" w:rsidP="007C3060">
      <w:r w:rsidRPr="007C3060">
        <w:t>Det foreslås å flytte ansvaret for Konkurransen Unge Forskere fra Forskningsrådet til Akademiet for yngre forskere (AYF). Det foreslås derfor å redusere tilsagnsfullmakten på kap. 285, post 72 med 0,8 mill. kroner mot en tilsvarende økning i bevilgningen på kap. 275, post 70. Se også omtale under kap. 275, post 70.</w:t>
      </w:r>
    </w:p>
    <w:p w14:paraId="652F6FE5" w14:textId="77777777" w:rsidR="000A2A2B" w:rsidRPr="007C3060" w:rsidRDefault="000A2A2B" w:rsidP="007C3060">
      <w:pPr>
        <w:pStyle w:val="avsnitt-undertittel"/>
      </w:pPr>
      <w:r w:rsidRPr="007C3060">
        <w:t>Nasjonale fagevalueringer og forskningsmidler</w:t>
      </w:r>
    </w:p>
    <w:p w14:paraId="67E4975B" w14:textId="77777777" w:rsidR="000A2A2B" w:rsidRPr="007C3060" w:rsidRDefault="000A2A2B" w:rsidP="007C3060">
      <w:r w:rsidRPr="007C3060">
        <w:t>Norges forskningsråd har en rekke oppgaver knyttet til nasjonale fagevalueringer og allmennrettet og særskilt forskningsformidling som finansieres med bevilgningen over kap. 285, post 72. Ettersom dette er permanente driftsoppgaver for Forskningsrådet, bør bevilgningen budsjetteres på driftspost. Det foreslås derfor å redusere bevilgningen på posten med 21,5 mill. kroner, mot en økning på kap. 285, post 01.</w:t>
      </w:r>
    </w:p>
    <w:p w14:paraId="478F5EDE" w14:textId="77777777" w:rsidR="000A2A2B" w:rsidRPr="007C3060" w:rsidRDefault="000A2A2B" w:rsidP="007C3060">
      <w:pPr>
        <w:pStyle w:val="avsnitt-undertittel"/>
      </w:pPr>
      <w:r w:rsidRPr="007C3060">
        <w:t>Oppsummering</w:t>
      </w:r>
    </w:p>
    <w:p w14:paraId="62373833" w14:textId="77777777" w:rsidR="000A2A2B" w:rsidRPr="007C3060" w:rsidRDefault="000A2A2B" w:rsidP="007C3060">
      <w:r w:rsidRPr="007C3060">
        <w:t>Samlet foreslås bevilgningen på posten redusert med 22,2 mill. kroner.</w:t>
      </w:r>
    </w:p>
    <w:p w14:paraId="7B73D64A" w14:textId="77777777" w:rsidR="000A2A2B" w:rsidRPr="007C3060" w:rsidRDefault="000A2A2B" w:rsidP="007C3060">
      <w:pPr>
        <w:pStyle w:val="b-budkaptit"/>
      </w:pPr>
      <w:r w:rsidRPr="007C3060">
        <w:t>Kap. 288 Internasjonale samarbeidstiltak</w:t>
      </w:r>
    </w:p>
    <w:p w14:paraId="25F0C5F4" w14:textId="77777777" w:rsidR="000A2A2B" w:rsidRPr="007C3060" w:rsidRDefault="000A2A2B" w:rsidP="007C3060">
      <w:pPr>
        <w:pStyle w:val="b-post"/>
      </w:pPr>
      <w:r w:rsidRPr="007C3060">
        <w:t>Post 21 Spesielle driftsutgifter</w:t>
      </w:r>
    </w:p>
    <w:p w14:paraId="20E6D8DD" w14:textId="77777777" w:rsidR="000A2A2B" w:rsidRPr="007C3060" w:rsidRDefault="000A2A2B" w:rsidP="007C3060">
      <w:r w:rsidRPr="007C3060">
        <w:t xml:space="preserve">Det foreslås å øke bevilgningen på kap. 288, post 21 med 3,5 mill. kroner for å dekke Ukrainas deltakelse i den store europeiske samfunnsundersøkelsen European </w:t>
      </w:r>
      <w:proofErr w:type="spellStart"/>
      <w:r w:rsidRPr="007C3060">
        <w:t>Social</w:t>
      </w:r>
      <w:proofErr w:type="spellEnd"/>
      <w:r w:rsidRPr="007C3060">
        <w:t xml:space="preserve"> Survey (ESS).</w:t>
      </w:r>
    </w:p>
    <w:p w14:paraId="531A6B1A" w14:textId="77777777" w:rsidR="000A2A2B" w:rsidRPr="007C3060" w:rsidRDefault="000A2A2B" w:rsidP="007C3060">
      <w:pPr>
        <w:pStyle w:val="b-post"/>
      </w:pPr>
      <w:r w:rsidRPr="007C3060">
        <w:lastRenderedPageBreak/>
        <w:t>Post 72 Internasjonale grunnforsknings-organisasjoner</w:t>
      </w:r>
    </w:p>
    <w:p w14:paraId="378BB5F6" w14:textId="77777777" w:rsidR="000A2A2B" w:rsidRPr="007C3060" w:rsidRDefault="000A2A2B" w:rsidP="007C3060">
      <w:r w:rsidRPr="007C3060">
        <w:t>Norge er gjennom sin deltakelse i en rekke ulike internasjonale grunnforskningsorganisasjoner for-pliktet til å betale kontingent. Kap. 288, post 72 dekker norsk deltakelse i:</w:t>
      </w:r>
    </w:p>
    <w:p w14:paraId="05D07F54" w14:textId="77777777" w:rsidR="000A2A2B" w:rsidRPr="007C3060" w:rsidRDefault="000A2A2B" w:rsidP="007C3060">
      <w:pPr>
        <w:pStyle w:val="Liste"/>
      </w:pPr>
      <w:r w:rsidRPr="007C3060">
        <w:t>Den europeiske organisasjonen for kjerne-forsk-</w:t>
      </w:r>
      <w:proofErr w:type="spellStart"/>
      <w:r w:rsidRPr="007C3060">
        <w:t>ning</w:t>
      </w:r>
      <w:proofErr w:type="spellEnd"/>
      <w:r w:rsidRPr="007C3060">
        <w:t xml:space="preserve"> (CERN)</w:t>
      </w:r>
    </w:p>
    <w:p w14:paraId="2AB16EA4" w14:textId="77777777" w:rsidR="000A2A2B" w:rsidRPr="007C3060" w:rsidRDefault="000A2A2B" w:rsidP="007C3060">
      <w:pPr>
        <w:pStyle w:val="Liste"/>
      </w:pPr>
      <w:r w:rsidRPr="007C3060">
        <w:t>Det europeiske molekylærbiologiske laboratorium (EMBL)</w:t>
      </w:r>
    </w:p>
    <w:p w14:paraId="73EE5B19" w14:textId="77777777" w:rsidR="000A2A2B" w:rsidRPr="007C3060" w:rsidRDefault="000A2A2B" w:rsidP="007C3060">
      <w:pPr>
        <w:pStyle w:val="Liste"/>
      </w:pPr>
      <w:r w:rsidRPr="007C3060">
        <w:t xml:space="preserve">European </w:t>
      </w:r>
      <w:proofErr w:type="spellStart"/>
      <w:r w:rsidRPr="007C3060">
        <w:t>Molecular</w:t>
      </w:r>
      <w:proofErr w:type="spellEnd"/>
      <w:r w:rsidRPr="007C3060">
        <w:t xml:space="preserve"> </w:t>
      </w:r>
      <w:proofErr w:type="spellStart"/>
      <w:r w:rsidRPr="007C3060">
        <w:t>Biology</w:t>
      </w:r>
      <w:proofErr w:type="spellEnd"/>
      <w:r w:rsidRPr="007C3060">
        <w:t xml:space="preserve"> Conference (EMBC)</w:t>
      </w:r>
    </w:p>
    <w:p w14:paraId="1A29BFE7" w14:textId="77777777" w:rsidR="000A2A2B" w:rsidRPr="007C3060" w:rsidRDefault="000A2A2B" w:rsidP="007C3060">
      <w:pPr>
        <w:pStyle w:val="Liste"/>
      </w:pPr>
      <w:r w:rsidRPr="007C3060">
        <w:t xml:space="preserve">European </w:t>
      </w:r>
      <w:proofErr w:type="spellStart"/>
      <w:r w:rsidRPr="007C3060">
        <w:t>Synchrotron</w:t>
      </w:r>
      <w:proofErr w:type="spellEnd"/>
      <w:r w:rsidRPr="007C3060">
        <w:t xml:space="preserve"> </w:t>
      </w:r>
      <w:proofErr w:type="spellStart"/>
      <w:r w:rsidRPr="007C3060">
        <w:t>Radiation</w:t>
      </w:r>
      <w:proofErr w:type="spellEnd"/>
      <w:r w:rsidRPr="007C3060">
        <w:t xml:space="preserve"> </w:t>
      </w:r>
      <w:proofErr w:type="spellStart"/>
      <w:r w:rsidRPr="007C3060">
        <w:t>Facility</w:t>
      </w:r>
      <w:proofErr w:type="spellEnd"/>
      <w:r w:rsidRPr="007C3060">
        <w:t xml:space="preserve"> (ESRF)</w:t>
      </w:r>
    </w:p>
    <w:p w14:paraId="4EB3B119" w14:textId="77777777" w:rsidR="000A2A2B" w:rsidRPr="007C3060" w:rsidRDefault="000A2A2B" w:rsidP="007C3060">
      <w:pPr>
        <w:pStyle w:val="Liste"/>
      </w:pPr>
      <w:r w:rsidRPr="007C3060">
        <w:t xml:space="preserve">International </w:t>
      </w:r>
      <w:proofErr w:type="spellStart"/>
      <w:r w:rsidRPr="007C3060">
        <w:t>Agency</w:t>
      </w:r>
      <w:proofErr w:type="spellEnd"/>
      <w:r w:rsidRPr="007C3060">
        <w:t xml:space="preserve"> for Research </w:t>
      </w:r>
      <w:proofErr w:type="spellStart"/>
      <w:r w:rsidRPr="007C3060">
        <w:t>on</w:t>
      </w:r>
      <w:proofErr w:type="spellEnd"/>
      <w:r w:rsidRPr="007C3060">
        <w:t xml:space="preserve"> Cancer (IARC)</w:t>
      </w:r>
    </w:p>
    <w:p w14:paraId="5E9DDE0D" w14:textId="77777777" w:rsidR="000A2A2B" w:rsidRPr="007C3060" w:rsidRDefault="000A2A2B" w:rsidP="007C3060">
      <w:r w:rsidRPr="007C3060">
        <w:t>Kunnskapsdepartementet har mottatt endelig informasjon om kontingentene til de internasjonale grunnforskningsorganisasjonene for 2025. Budsjettene for de fleste organisasjonene var ikke fastsatt da statsbudsjettet for 2025 ble lagt frem, men ble først vedtatt rett før årsskiftet. Basert på de mottatte kontingentkravene for 2025 foreslås det å øke bevilgningen med 23,3 mill. kroner.</w:t>
      </w:r>
    </w:p>
    <w:p w14:paraId="695C8DFC" w14:textId="77777777" w:rsidR="000A2A2B" w:rsidRPr="007C3060" w:rsidRDefault="000A2A2B" w:rsidP="007C3060">
      <w:pPr>
        <w:pStyle w:val="b-post"/>
      </w:pPr>
      <w:r w:rsidRPr="007C3060">
        <w:t>Post 73 EUs rammeprogram for forskning og innovasjon</w:t>
      </w:r>
    </w:p>
    <w:p w14:paraId="1EBFE0A7" w14:textId="77777777" w:rsidR="000A2A2B" w:rsidRPr="007C3060" w:rsidRDefault="000A2A2B" w:rsidP="007C3060">
      <w:r w:rsidRPr="007C3060">
        <w:t>Det foreslås å øke bevilgningen med 22,7 mill. kroner. Endringen skyldes oppdatert kontingent-anslag basert på utkast til utbetalingsbudsjett fra Europakommisjonen og valutakursjusteringer.</w:t>
      </w:r>
    </w:p>
    <w:p w14:paraId="421A33EB" w14:textId="77777777" w:rsidR="000A2A2B" w:rsidRPr="007C3060" w:rsidRDefault="000A2A2B" w:rsidP="007C3060">
      <w:pPr>
        <w:pStyle w:val="b-post"/>
      </w:pPr>
      <w:r w:rsidRPr="007C3060">
        <w:t>Post 74 EUs program for utdanning, opplæring, ungdom og idrett</w:t>
      </w:r>
    </w:p>
    <w:p w14:paraId="0246A2A1" w14:textId="77777777" w:rsidR="000A2A2B" w:rsidRPr="007C3060" w:rsidRDefault="000A2A2B" w:rsidP="007C3060">
      <w:r w:rsidRPr="007C3060">
        <w:t>Det foreslås å øke bevilgningen med 70,1 mill. kroner. Endringen skyldes oppdatert kontingent-anslag basert på utkast til utbetalingsbudsjett fra Europakommisjonen og valutakursjusteringer.</w:t>
      </w:r>
    </w:p>
    <w:p w14:paraId="6AD9AF4F" w14:textId="77777777" w:rsidR="000A2A2B" w:rsidRPr="007C3060" w:rsidRDefault="000A2A2B" w:rsidP="007C3060">
      <w:pPr>
        <w:pStyle w:val="b-post"/>
      </w:pPr>
      <w:r w:rsidRPr="007C3060">
        <w:t>Post 75 UNESCO-kontingent</w:t>
      </w:r>
    </w:p>
    <w:p w14:paraId="3C276C14" w14:textId="77777777" w:rsidR="000A2A2B" w:rsidRPr="007C3060" w:rsidRDefault="000A2A2B" w:rsidP="007C3060">
      <w:r w:rsidRPr="007C3060">
        <w:t>Det foreslås å øke bevilgningen med 0,4 mill. kroner, som følge av oppdatert kontingentanslag. Se også omtale under kap. 3288, post 04.</w:t>
      </w:r>
    </w:p>
    <w:p w14:paraId="4F6A07EB" w14:textId="77777777" w:rsidR="000A2A2B" w:rsidRPr="007C3060" w:rsidRDefault="000A2A2B" w:rsidP="007C3060">
      <w:pPr>
        <w:pStyle w:val="b-budkaptit"/>
      </w:pPr>
      <w:r w:rsidRPr="007C3060">
        <w:t>Kap. 3288 Internasjonale samarbeidstiltak</w:t>
      </w:r>
    </w:p>
    <w:p w14:paraId="31BE953E" w14:textId="77777777" w:rsidR="000A2A2B" w:rsidRPr="007C3060" w:rsidRDefault="000A2A2B" w:rsidP="007C3060">
      <w:pPr>
        <w:pStyle w:val="b-post"/>
      </w:pPr>
      <w:r w:rsidRPr="007C3060">
        <w:t>Post 04 Refusjon av ODA-godkjente utgifter</w:t>
      </w:r>
    </w:p>
    <w:p w14:paraId="77704150" w14:textId="77777777" w:rsidR="000A2A2B" w:rsidRPr="007C3060" w:rsidRDefault="000A2A2B" w:rsidP="007C3060">
      <w:r w:rsidRPr="007C3060">
        <w:t xml:space="preserve">Kontingenten til International </w:t>
      </w:r>
      <w:proofErr w:type="spellStart"/>
      <w:r w:rsidRPr="007C3060">
        <w:t>Agency</w:t>
      </w:r>
      <w:proofErr w:type="spellEnd"/>
      <w:r w:rsidRPr="007C3060">
        <w:t xml:space="preserve"> for -Research </w:t>
      </w:r>
      <w:proofErr w:type="spellStart"/>
      <w:r w:rsidRPr="007C3060">
        <w:t>on</w:t>
      </w:r>
      <w:proofErr w:type="spellEnd"/>
      <w:r w:rsidRPr="007C3060">
        <w:t xml:space="preserve"> Cancer (IARC) utløser rett til refusjon av ODA-utgifter. Norge kan </w:t>
      </w:r>
      <w:proofErr w:type="spellStart"/>
      <w:r w:rsidRPr="007C3060">
        <w:t>regnskapsføre</w:t>
      </w:r>
      <w:proofErr w:type="spellEnd"/>
      <w:r w:rsidRPr="007C3060">
        <w:t xml:space="preserve"> 51 pst. av kontingenten som bistandsmidler. En justering av kontingenten til IARC fører til en økning i refusjonen på 0,2 mill. kroner.</w:t>
      </w:r>
    </w:p>
    <w:p w14:paraId="28869971" w14:textId="77777777" w:rsidR="000A2A2B" w:rsidRPr="007C3060" w:rsidRDefault="000A2A2B" w:rsidP="007C3060">
      <w:r w:rsidRPr="007C3060">
        <w:t>Kontingentforpliktelsen for norsk medlemskap i UNESCO utløser rett til refusjon av ODA-godkjente utgifter på 60 pst. Økte utgifter til kontingent til UNESCO fører til en økning i refusjonen på 0,2 mill. kroner.</w:t>
      </w:r>
    </w:p>
    <w:p w14:paraId="4EB955CC" w14:textId="77777777" w:rsidR="000A2A2B" w:rsidRPr="007C3060" w:rsidRDefault="000A2A2B" w:rsidP="007C3060">
      <w:r w:rsidRPr="007C3060">
        <w:t>Samlet foreslås bevilgningen på posten økt med 0,4 mill. kroner.</w:t>
      </w:r>
    </w:p>
    <w:p w14:paraId="371D5378" w14:textId="77777777" w:rsidR="000A2A2B" w:rsidRPr="007C3060" w:rsidRDefault="000A2A2B" w:rsidP="007C3060">
      <w:pPr>
        <w:pStyle w:val="b-budkaptit"/>
      </w:pPr>
      <w:r w:rsidRPr="007C3060">
        <w:lastRenderedPageBreak/>
        <w:t>Kap. 2410 Statens lånekasse for utdanning</w:t>
      </w:r>
    </w:p>
    <w:p w14:paraId="7B17ECB2" w14:textId="77777777" w:rsidR="000A2A2B" w:rsidRPr="007C3060" w:rsidRDefault="000A2A2B" w:rsidP="007C3060">
      <w:pPr>
        <w:pStyle w:val="b-post"/>
      </w:pPr>
      <w:r w:rsidRPr="007C3060">
        <w:t>Post 45 Større utstyrsanskaffelser og vedlikehold, kan overføres, kan nyttes under post 1</w:t>
      </w:r>
    </w:p>
    <w:p w14:paraId="5FE05B27" w14:textId="77777777" w:rsidR="000A2A2B" w:rsidRPr="007C3060" w:rsidRDefault="000A2A2B" w:rsidP="007C3060">
      <w:r w:rsidRPr="007C3060">
        <w:t>Det foreslås å redusere bevilgningen med 12,6 mill. kroner grunnet endret periodisering av Lånekassens prosjektmidler tilknyttet prosjektet Fremtidens innkreving i regi av Skatteetaten.</w:t>
      </w:r>
    </w:p>
    <w:p w14:paraId="3D15D5FD" w14:textId="77777777" w:rsidR="000A2A2B" w:rsidRPr="007C3060" w:rsidRDefault="000A2A2B" w:rsidP="007C3060">
      <w:pPr>
        <w:pStyle w:val="b-post"/>
      </w:pPr>
      <w:r w:rsidRPr="007C3060">
        <w:t>Post 50 Avsetning til utdanningsstipend, -overslagsbevilgning</w:t>
      </w:r>
    </w:p>
    <w:p w14:paraId="09BF1731" w14:textId="77777777" w:rsidR="000A2A2B" w:rsidRPr="007C3060" w:rsidRDefault="000A2A2B" w:rsidP="007C3060">
      <w:r w:rsidRPr="007C3060">
        <w:t>Det foreslås å redusere bevilgningen med 82,3 mill. kroner som følge av anslagsendringer. Endringene skyldes i hovedsak redusert anslag for lån som kan gjøres om til stipend (omgjøringslån) basert på for høy inntekt eller formue.</w:t>
      </w:r>
    </w:p>
    <w:p w14:paraId="02E962D5" w14:textId="77777777" w:rsidR="000A2A2B" w:rsidRPr="007C3060" w:rsidRDefault="000A2A2B" w:rsidP="007C3060">
      <w:pPr>
        <w:pStyle w:val="b-post"/>
      </w:pPr>
      <w:r w:rsidRPr="007C3060">
        <w:t>Post 70 Utdanningsstipend, overslagsbevilgning</w:t>
      </w:r>
    </w:p>
    <w:p w14:paraId="4E81496A" w14:textId="77777777" w:rsidR="000A2A2B" w:rsidRPr="007C3060" w:rsidRDefault="000A2A2B" w:rsidP="007C3060">
      <w:r w:rsidRPr="007C3060">
        <w:t>Det foreslås å øke bevilgningen med 98,3 mill. kroner som følge av anslagsendringer. Bevilgningsbehovet er redusert for blant annet barne-stipend og inntektsavhengig stipend, mens bevilgningsbehovet til tilleggsstipendet for personer med nedsatt funksjonsevne, flyktningstipend, og utstyrsstipend er økt.</w:t>
      </w:r>
    </w:p>
    <w:p w14:paraId="50EA3EA7" w14:textId="77777777" w:rsidR="000A2A2B" w:rsidRPr="007C3060" w:rsidRDefault="000A2A2B" w:rsidP="007C3060">
      <w:pPr>
        <w:pStyle w:val="b-post"/>
      </w:pPr>
      <w:r w:rsidRPr="007C3060">
        <w:t>Post 71 Andre stipend, overslagsbevilgning</w:t>
      </w:r>
    </w:p>
    <w:p w14:paraId="457260AA" w14:textId="77777777" w:rsidR="000A2A2B" w:rsidRPr="007C3060" w:rsidRDefault="000A2A2B" w:rsidP="007C3060">
      <w:r w:rsidRPr="007C3060">
        <w:t>Det foreslås å redusere bevilgningen med 13,6 mill. kroner, i hovedsak som følge av redusert anslag for antall mottakere av stipend til skole-penger i utlandet. Det foreslås å redusere bevilgningen på posten med 0,7 mill. kroner som følge av at lån til flygerutdanning videreføres uten endring. Samlet foreslås det å redusere bevilgningen med 14,3 mill. kroner.</w:t>
      </w:r>
    </w:p>
    <w:p w14:paraId="4FF324FC" w14:textId="77777777" w:rsidR="000A2A2B" w:rsidRPr="007C3060" w:rsidRDefault="000A2A2B" w:rsidP="007C3060">
      <w:pPr>
        <w:pStyle w:val="b-post"/>
      </w:pPr>
      <w:r w:rsidRPr="007C3060">
        <w:t>Post 72 Rentestøtte, overslagsbevilgning</w:t>
      </w:r>
    </w:p>
    <w:p w14:paraId="3DDEBF79" w14:textId="77777777" w:rsidR="000A2A2B" w:rsidRPr="007C3060" w:rsidRDefault="000A2A2B" w:rsidP="007C3060">
      <w:r w:rsidRPr="007C3060">
        <w:t>Bevilgningen dekker kostnadene ved å gi rentefrie lån i studietiden, og rentestøtten er dermed et uttrykk for hvor mye staten subsidierer lånedelen av støtteordningene. Det foreslås å øke bevilgingen med 22,5 mill. kroner grunnet en høyere anslått portefølje av ikke-rentebærende lån.</w:t>
      </w:r>
    </w:p>
    <w:p w14:paraId="25645C53" w14:textId="77777777" w:rsidR="000A2A2B" w:rsidRPr="007C3060" w:rsidRDefault="000A2A2B" w:rsidP="007C3060">
      <w:r w:rsidRPr="007C3060">
        <w:t>Det foreslås videre å øke bevilgningen med 0,4 mill. kroner som følge av at lån til flygerutdanning videreføres uten endring.</w:t>
      </w:r>
    </w:p>
    <w:p w14:paraId="1636AE0D" w14:textId="77777777" w:rsidR="000A2A2B" w:rsidRPr="007C3060" w:rsidRDefault="000A2A2B" w:rsidP="007C3060">
      <w:r w:rsidRPr="007C3060">
        <w:t>Samlet foreslås det å øke bevilgningen med 22,9 mill. kroner.</w:t>
      </w:r>
    </w:p>
    <w:p w14:paraId="4ABFF0A7" w14:textId="77777777" w:rsidR="000A2A2B" w:rsidRPr="007C3060" w:rsidRDefault="000A2A2B" w:rsidP="007C3060">
      <w:pPr>
        <w:pStyle w:val="b-post"/>
      </w:pPr>
      <w:r w:rsidRPr="007C3060">
        <w:t>Post 73 Avskrivninger, overslagsbevilgning</w:t>
      </w:r>
    </w:p>
    <w:p w14:paraId="40801EE5" w14:textId="77777777" w:rsidR="000A2A2B" w:rsidRPr="007C3060" w:rsidRDefault="000A2A2B" w:rsidP="007C3060">
      <w:r w:rsidRPr="007C3060">
        <w:t>Det foreslås å øke bevilgningen med 145 mill. kroner. Endringen skyldes hovedsakelig et økt anslag for avskrivning av gjeld for uføre og økt anslag for sletting av renter grunnet rentenivået i 2024.</w:t>
      </w:r>
    </w:p>
    <w:p w14:paraId="0E2E0412" w14:textId="77777777" w:rsidR="000A2A2B" w:rsidRPr="007C3060" w:rsidRDefault="000A2A2B" w:rsidP="007C3060">
      <w:pPr>
        <w:pStyle w:val="b-post"/>
      </w:pPr>
      <w:r w:rsidRPr="007C3060">
        <w:lastRenderedPageBreak/>
        <w:t>Post 74 Tap på utlån</w:t>
      </w:r>
    </w:p>
    <w:p w14:paraId="165EE7F4" w14:textId="77777777" w:rsidR="000A2A2B" w:rsidRPr="007C3060" w:rsidRDefault="000A2A2B" w:rsidP="007C3060">
      <w:r w:rsidRPr="007C3060">
        <w:t>Det foreslås å redusere bevilgningen med 60 mill. kroner. Endringen skyldes et lavere anslag for låntakere som permanent blir overført til Statens innkrevingssentral.</w:t>
      </w:r>
    </w:p>
    <w:p w14:paraId="51F54512" w14:textId="77777777" w:rsidR="000A2A2B" w:rsidRPr="007C3060" w:rsidRDefault="000A2A2B" w:rsidP="007C3060">
      <w:pPr>
        <w:pStyle w:val="b-post"/>
      </w:pPr>
      <w:r w:rsidRPr="007C3060">
        <w:t>Post 90 Økt lån og rentegjeld, overslagsbevilgning</w:t>
      </w:r>
    </w:p>
    <w:p w14:paraId="49679DAD" w14:textId="77777777" w:rsidR="000A2A2B" w:rsidRPr="007C3060" w:rsidRDefault="000A2A2B" w:rsidP="007C3060">
      <w:r w:rsidRPr="007C3060">
        <w:t>Grunnet høyere utlån enn tidligere anslått og et økt anslag for forsinkelsesrenter og renters rente foreslås det å øke bevilgningen på posten med 495 mill. kroner.</w:t>
      </w:r>
    </w:p>
    <w:p w14:paraId="2718E365" w14:textId="77777777" w:rsidR="000A2A2B" w:rsidRPr="007C3060" w:rsidRDefault="000A2A2B" w:rsidP="007C3060">
      <w:r w:rsidRPr="007C3060">
        <w:t>I statsbudsjettet for 2025 ble det vedtatt å bevilge 628 mill. kroner i økt utlån som følge av en ny låneordning i Lånekassen: Kompetanselånet. Arbeidet med utrullingen av Kompetanselånet er forsinket og det foreslås derfor at bevilgningen reduseres med 628 mill. kroner.</w:t>
      </w:r>
    </w:p>
    <w:p w14:paraId="00D8629A" w14:textId="77777777" w:rsidR="000A2A2B" w:rsidRPr="007C3060" w:rsidRDefault="000A2A2B" w:rsidP="007C3060">
      <w:r w:rsidRPr="007C3060">
        <w:t>Det foreslås å øke bevilgningen på posten med 26,3 mill. kroner som følge av at lån til flyger-utdanning videreføres uten endring.</w:t>
      </w:r>
    </w:p>
    <w:p w14:paraId="084B574F" w14:textId="77777777" w:rsidR="000A2A2B" w:rsidRPr="007C3060" w:rsidRDefault="000A2A2B" w:rsidP="007C3060">
      <w:r w:rsidRPr="007C3060">
        <w:t>Samlet foreslås det å redusere bevilgningen med 106,7 mill. kroner.</w:t>
      </w:r>
    </w:p>
    <w:p w14:paraId="4D612F5E" w14:textId="77777777" w:rsidR="000A2A2B" w:rsidRPr="007C3060" w:rsidRDefault="000A2A2B" w:rsidP="007C3060">
      <w:pPr>
        <w:pStyle w:val="b-budkaptit"/>
      </w:pPr>
      <w:r w:rsidRPr="007C3060">
        <w:t>Kap. 5310 Statens lånekasse for utdanning</w:t>
      </w:r>
    </w:p>
    <w:p w14:paraId="2462FAEF" w14:textId="77777777" w:rsidR="000A2A2B" w:rsidRPr="007C3060" w:rsidRDefault="000A2A2B" w:rsidP="007C3060">
      <w:pPr>
        <w:pStyle w:val="b-post"/>
      </w:pPr>
      <w:r w:rsidRPr="007C3060">
        <w:t>Post 04 Refusjon av ODA-godkjente utgifter</w:t>
      </w:r>
    </w:p>
    <w:p w14:paraId="04417373" w14:textId="77777777" w:rsidR="000A2A2B" w:rsidRPr="007C3060" w:rsidRDefault="000A2A2B" w:rsidP="007C3060">
      <w:r w:rsidRPr="007C3060">
        <w:t>Det foreslås å øke bevilgingen med 0,5 mill. kroner grunnet høyere anslag for kvotestudenter som får ettergitt studielån.</w:t>
      </w:r>
    </w:p>
    <w:p w14:paraId="5DF6C756" w14:textId="77777777" w:rsidR="000A2A2B" w:rsidRPr="007C3060" w:rsidRDefault="000A2A2B" w:rsidP="007C3060">
      <w:pPr>
        <w:pStyle w:val="b-post"/>
      </w:pPr>
      <w:r w:rsidRPr="007C3060">
        <w:t>Post 29 Termingebyrer</w:t>
      </w:r>
    </w:p>
    <w:p w14:paraId="5F4A0FCC" w14:textId="77777777" w:rsidR="000A2A2B" w:rsidRPr="007C3060" w:rsidRDefault="000A2A2B" w:rsidP="007C3060">
      <w:r w:rsidRPr="007C3060">
        <w:t>Det foreslås å redusere bevilgingen med 0,2 mill. kroner grunnet et lavere anslag for antall termingebyrer.</w:t>
      </w:r>
    </w:p>
    <w:p w14:paraId="374CF1FB" w14:textId="77777777" w:rsidR="000A2A2B" w:rsidRPr="007C3060" w:rsidRDefault="000A2A2B" w:rsidP="007C3060">
      <w:pPr>
        <w:pStyle w:val="b-post"/>
      </w:pPr>
      <w:r w:rsidRPr="007C3060">
        <w:t>Post 89 Purregebyrer</w:t>
      </w:r>
    </w:p>
    <w:p w14:paraId="1DEC011A" w14:textId="77777777" w:rsidR="000A2A2B" w:rsidRPr="007C3060" w:rsidRDefault="000A2A2B" w:rsidP="007C3060">
      <w:r w:rsidRPr="007C3060">
        <w:t>Det foreslås å øke bevilgningen med 7,6 mill. kroner på bakgrunn av observert økt antall purringer.</w:t>
      </w:r>
    </w:p>
    <w:p w14:paraId="01F310E6" w14:textId="77777777" w:rsidR="000A2A2B" w:rsidRPr="007C3060" w:rsidRDefault="000A2A2B" w:rsidP="007C3060">
      <w:pPr>
        <w:pStyle w:val="b-post"/>
      </w:pPr>
      <w:r w:rsidRPr="007C3060">
        <w:t>Post 90 Redusert lån og rentegjeld</w:t>
      </w:r>
    </w:p>
    <w:p w14:paraId="64DC01D9" w14:textId="77777777" w:rsidR="000A2A2B" w:rsidRPr="007C3060" w:rsidRDefault="000A2A2B" w:rsidP="007C3060">
      <w:r w:rsidRPr="007C3060">
        <w:t>På bakgrunn av regnskapstall for 2024 foreslås det å nedjustere anslaget for innbetalte avdrag med 481,4 mill. kroner. Utover dette anslås en økning i rettighetsbaserte avskrivninger på 108,9 mill. kroner, mens anslaget for tap reduseres med 56,5 mill. kroner. Øvrige endringer reduserer bevilgningsbehovet med 39,2 mill. kroner.</w:t>
      </w:r>
    </w:p>
    <w:p w14:paraId="673FC7CF" w14:textId="77777777" w:rsidR="000A2A2B" w:rsidRPr="007C3060" w:rsidRDefault="000A2A2B" w:rsidP="007C3060">
      <w:r w:rsidRPr="007C3060">
        <w:t>Samlet foreslås det å redusere bevilgningen med 468,2 mill. kroner</w:t>
      </w:r>
    </w:p>
    <w:p w14:paraId="14E14936" w14:textId="77777777" w:rsidR="000A2A2B" w:rsidRPr="007C3060" w:rsidRDefault="000A2A2B" w:rsidP="007C3060">
      <w:pPr>
        <w:pStyle w:val="b-post"/>
      </w:pPr>
      <w:r w:rsidRPr="007C3060">
        <w:lastRenderedPageBreak/>
        <w:t>Post 93 Omgjøring av utdanningslån til stipend</w:t>
      </w:r>
    </w:p>
    <w:p w14:paraId="21C25D82" w14:textId="77777777" w:rsidR="000A2A2B" w:rsidRPr="007C3060" w:rsidRDefault="000A2A2B" w:rsidP="007C3060">
      <w:r w:rsidRPr="007C3060">
        <w:t>Det foreslås å redusere bevilgningen med 255,5 mill. kroner i hovedsak som følge av en lavere andel omgjøring til lån og stipend ved oppnådde studiepoeng enn tidligere lagt til grunn.</w:t>
      </w:r>
    </w:p>
    <w:p w14:paraId="388A033E" w14:textId="77777777" w:rsidR="000A2A2B" w:rsidRPr="007C3060" w:rsidRDefault="000A2A2B" w:rsidP="007C3060">
      <w:pPr>
        <w:pStyle w:val="b-budkaptit"/>
      </w:pPr>
      <w:r w:rsidRPr="007C3060">
        <w:t>Kap. 5617 Renter fra Statens lånekasse for utdanning</w:t>
      </w:r>
    </w:p>
    <w:p w14:paraId="21AB3226" w14:textId="77777777" w:rsidR="000A2A2B" w:rsidRPr="007C3060" w:rsidRDefault="000A2A2B" w:rsidP="007C3060">
      <w:pPr>
        <w:pStyle w:val="b-post"/>
      </w:pPr>
      <w:r w:rsidRPr="007C3060">
        <w:t>Post 80 Renter</w:t>
      </w:r>
    </w:p>
    <w:p w14:paraId="3FAFA05D" w14:textId="77777777" w:rsidR="000A2A2B" w:rsidRPr="007C3060" w:rsidRDefault="000A2A2B" w:rsidP="007C3060">
      <w:r w:rsidRPr="007C3060">
        <w:t>Det foreslås å øke bevilgningen på posten med 452,1 mill. kroner. Endringen skyldes i hovedsak økninger i påløpte og innbetalte renter.</w:t>
      </w:r>
    </w:p>
    <w:p w14:paraId="4FA7F157" w14:textId="77777777" w:rsidR="000A2A2B" w:rsidRPr="007C3060" w:rsidRDefault="000A2A2B" w:rsidP="007C3060">
      <w:r w:rsidRPr="007C3060">
        <w:t>Det foreslås videre å redusere bevilgningen på posten med 0,4 mill. kroner som følge av at lån til flygerutdanning videreføres uten endring.</w:t>
      </w:r>
    </w:p>
    <w:p w14:paraId="78E28379" w14:textId="77777777" w:rsidR="000A2A2B" w:rsidRPr="007C3060" w:rsidRDefault="000A2A2B" w:rsidP="007C3060">
      <w:r w:rsidRPr="007C3060">
        <w:t>Samlet foreslås det å øke bevilgningen med 451,7 mill. kroner.</w:t>
      </w:r>
    </w:p>
    <w:p w14:paraId="24DAB63D" w14:textId="77777777" w:rsidR="000A2A2B" w:rsidRPr="007C3060" w:rsidRDefault="000A2A2B" w:rsidP="007C3060">
      <w:pPr>
        <w:pStyle w:val="Undertittel"/>
      </w:pPr>
      <w:r w:rsidRPr="007C3060">
        <w:t>Andre saker</w:t>
      </w:r>
    </w:p>
    <w:p w14:paraId="758E109B" w14:textId="77777777" w:rsidR="000A2A2B" w:rsidRPr="007C3060" w:rsidRDefault="000A2A2B" w:rsidP="007C3060">
      <w:pPr>
        <w:pStyle w:val="avsnitt-undertittel"/>
      </w:pPr>
      <w:r w:rsidRPr="007C3060">
        <w:t>Tilskudd til studieforbund</w:t>
      </w:r>
    </w:p>
    <w:p w14:paraId="66201154" w14:textId="77777777" w:rsidR="000A2A2B" w:rsidRPr="007C3060" w:rsidRDefault="000A2A2B" w:rsidP="007C3060">
      <w:r w:rsidRPr="007C3060">
        <w:t xml:space="preserve">Sommeren 2024 gikk studieforbundet AOF Norge konkurs. Deler av virksomheten ble tatt over av Akademiet Utdanning AS og LO. I </w:t>
      </w:r>
      <w:proofErr w:type="spellStart"/>
      <w:r w:rsidRPr="007C3060">
        <w:t>Prop</w:t>
      </w:r>
      <w:proofErr w:type="spellEnd"/>
      <w:r w:rsidRPr="007C3060">
        <w:t>. 1 S (2024–2025) foreslo Kunnskapsdepartementet derfor å videreføre tilskuddet i 2025, på samme nivå som i 2024. Dermed kan et nytt studieforbund få tilskudd uten at det går utover de tre andre studieforbundene. Det er fremdeles uklart hvem som eventuelt vil overta den delen av virksomheten som fikk tilskudd over kap. 254, post 70. Kunnskapsdepartementet vil komme tilbake med en ny vurdering i forbindelse med nysalderingen for 2025.</w:t>
      </w:r>
    </w:p>
    <w:p w14:paraId="7745A9A4" w14:textId="77777777" w:rsidR="000A2A2B" w:rsidRPr="007C3060" w:rsidRDefault="000A2A2B" w:rsidP="007C3060">
      <w:pPr>
        <w:pStyle w:val="avsnitt-undertittel"/>
      </w:pPr>
      <w:r w:rsidRPr="007C3060">
        <w:t>Justering av kostnadsrammen for midler til utstyr og inventar i Nytt vikingtidsmuseum som følge av valutakursendringer</w:t>
      </w:r>
    </w:p>
    <w:p w14:paraId="4689E885" w14:textId="77777777" w:rsidR="000A2A2B" w:rsidRPr="007C3060" w:rsidRDefault="000A2A2B" w:rsidP="007C3060">
      <w:r w:rsidRPr="007C3060">
        <w:t>Midler til utstyr og inventar (brukerutstyrsprosjektet) i Nytt vikingtidsmuseum har en kostnadsramme på 337 mill. kroner (estimert prisnivå per 1. juli 2025). Prosjektet er planlagt ferdigstilt før sommeren 2027. Statsbygg gjennomfører prosjektet på oppdrag fra Kunnskapsdepartementet, og Universitetet i Oslo ved Kulturhistorisk museum er brukerne. Statsbygg har estimert at om lag 80 pst. av kostnadene i brukerutstyrsprosjektet vil bli betalt i utenlandsk valuta som innebærer et estimert valutatap på 68 mill. kroner med dagens valutakurser.</w:t>
      </w:r>
    </w:p>
    <w:p w14:paraId="33AA1E8B" w14:textId="77777777" w:rsidR="000A2A2B" w:rsidRPr="007C3060" w:rsidRDefault="000A2A2B" w:rsidP="007C3060">
      <w:r w:rsidRPr="007C3060">
        <w:t>Det foreslås at kostnadsrammen for prosjektet blir justert årlig for valutakursendringer, både valutatap og -gevinst, jf. forslag til romertallsvedtak. Forslaget innebærer å øke kostnadsrammen med 5,4 mill. kroner, til 342,4 mill. kroner i 2025, tilsvarende realisert valutatap per 1. januar 2025. Valutakursene som lå til grunn for kostnadsrammen, per 15. oktober 2017, blir referansekurs for de årlige justeringene av kostnadsrammen.</w:t>
      </w:r>
    </w:p>
    <w:p w14:paraId="20628760" w14:textId="77777777" w:rsidR="000A2A2B" w:rsidRPr="007C3060" w:rsidRDefault="000A2A2B" w:rsidP="007C3060">
      <w:pPr>
        <w:pStyle w:val="avsnitt-undertittel"/>
      </w:pPr>
      <w:r w:rsidRPr="007C3060">
        <w:lastRenderedPageBreak/>
        <w:t>Økt kostnadsramme for NTNU Campussamling</w:t>
      </w:r>
    </w:p>
    <w:p w14:paraId="7EF02F49" w14:textId="77777777" w:rsidR="000A2A2B" w:rsidRPr="007C3060" w:rsidRDefault="000A2A2B" w:rsidP="007C3060">
      <w:r w:rsidRPr="007C3060">
        <w:t>Byggeprosjektet NTNU Campussamling har en kostnadsramme på 7 793 mill. kroner (estimert prisnivå per 1. juli 2025). Byggeprosjektet består av syv delprosjekter, seks bygg og ett infrastrukturprosjekt. I tillegg kommer brukerutstyr med en ramme på 622 mill. kroner. Siste delprosjekt er planlagt ferdigstilt i 2030. Statsbygg er byggherre og NTNU er bruker.</w:t>
      </w:r>
    </w:p>
    <w:p w14:paraId="5F52F350" w14:textId="77777777" w:rsidR="000A2A2B" w:rsidRPr="007C3060" w:rsidRDefault="000A2A2B" w:rsidP="007C3060">
      <w:r w:rsidRPr="007C3060">
        <w:t>Etter planen skulle Institutt for kunst og medie-vitenskap (IKM) og deler av Institutt for musikk (IMU) inn i delprosjekt P4. NTNU og Statsbygg har utredet muligheten for i stedet å samle hele IMU i delprosjekt P4, som vil gi en bedre løsning for NTNU. Dette innebærer en merkostnad som NTNU vil dekke innenfor uendret rammebevilgning. Endringen medfører et behov for å øke kostnadsrammen for NTNU Campussamling med 76 mill. kroner. Med denne endringen vil ikke IKM få plass i bygget. NTNU vil derfor, innenfor uendret rammebevilgning, dekke kostnadene for å innplassere IKM på Gløshaugen. Dette vil ikke være en del av byggeprosjektet NTNU Campussamling.</w:t>
      </w:r>
    </w:p>
    <w:p w14:paraId="0C4D1E34" w14:textId="77777777" w:rsidR="000A2A2B" w:rsidRPr="007C3060" w:rsidRDefault="000A2A2B" w:rsidP="007C3060">
      <w:r w:rsidRPr="007C3060">
        <w:t>Sintef leier i dag arealer av NTNU i et statlig bygg som skal rives for å gi plass til delprosjekt P6 (Humanistiske og samfunnsvitenskapelige fag). For å erstatte de lokalene som skal rives, oppføres et nytt bygg P2 (Institutt for materialteknologi). Sintef skal leie lokaler av NTNU i P2, og skal yte et investeringsbidrag på 65 mill. kroner for å tilpasse bygget til sitt behov.</w:t>
      </w:r>
    </w:p>
    <w:p w14:paraId="058C7814" w14:textId="77777777" w:rsidR="000A2A2B" w:rsidRPr="007C3060" w:rsidRDefault="000A2A2B" w:rsidP="007C3060">
      <w:r w:rsidRPr="007C3060">
        <w:t>Det foreslås derfor å øke kostnadsrammen for byggeprosjektet NTNU Campussamling med henholdsvis 76 mill. kroner og 65 mill. kroner til 7 934 mill. kroner (estimert prisnivå per 1. juli 2025). Endringen medfører ikke økt finansiering over statsbudsjettet.</w:t>
      </w:r>
    </w:p>
    <w:p w14:paraId="78E739CE" w14:textId="77777777" w:rsidR="000A2A2B" w:rsidRPr="007C3060" w:rsidRDefault="000A2A2B" w:rsidP="007C3060">
      <w:pPr>
        <w:pStyle w:val="avsnitt-undertittel"/>
      </w:pPr>
      <w:r w:rsidRPr="007C3060">
        <w:t>Fremdrift i utviklingen av nytt teknisk system for Samordna opptak</w:t>
      </w:r>
    </w:p>
    <w:p w14:paraId="59A189EC" w14:textId="77777777" w:rsidR="000A2A2B" w:rsidRPr="007C3060" w:rsidRDefault="000A2A2B" w:rsidP="007C3060">
      <w:r w:rsidRPr="007C3060">
        <w:t xml:space="preserve">Det er forsinkelser i prosjektet med å utvikle et nytt IT-system for Samordna opptak for bruk i opptaket til grunnutdanninger ved universitet og høyskoler (UHG) for 2026, jf. omtale i </w:t>
      </w:r>
      <w:proofErr w:type="spellStart"/>
      <w:r w:rsidRPr="007C3060">
        <w:t>Prop</w:t>
      </w:r>
      <w:proofErr w:type="spellEnd"/>
      <w:r w:rsidRPr="007C3060">
        <w:t>. 118 S (2022–2023).</w:t>
      </w:r>
    </w:p>
    <w:p w14:paraId="253506C4" w14:textId="77777777" w:rsidR="000A2A2B" w:rsidRPr="007C3060" w:rsidRDefault="000A2A2B" w:rsidP="007C3060">
      <w:r w:rsidRPr="007C3060">
        <w:t>Som følge av dette vil det første UHG-opptaket i ny teknisk løsning bli utsatt til 2027. Opptaket i 2026 vil bli gjennomført i det eksisterende systemet. Denne endringen påvirker ikke gjennomføringen av øvrige opptak innenfor gjeldende prosjektperiode. Prosjektet Fremtidens opptak vil ferdigstilles med en skalerbar og fleksibel opptakstjeneste til universiteter, høyskoler og fagskoler innen 2027. Prosjektet planlegges ferdigstilt innenfor gjeldende kostnadsrammer.</w:t>
      </w:r>
    </w:p>
    <w:p w14:paraId="7E51537B" w14:textId="77777777" w:rsidR="000A2A2B" w:rsidRPr="007C3060" w:rsidRDefault="000A2A2B" w:rsidP="007C3060">
      <w:pPr>
        <w:pStyle w:val="Overskrift2"/>
      </w:pPr>
      <w:r w:rsidRPr="007C3060">
        <w:t>Kultur- og likestillingsdepartementet</w:t>
      </w:r>
    </w:p>
    <w:p w14:paraId="10FCA46D" w14:textId="77777777" w:rsidR="000A2A2B" w:rsidRPr="007C3060" w:rsidRDefault="000A2A2B" w:rsidP="007C3060">
      <w:pPr>
        <w:pStyle w:val="b-budkaptit"/>
      </w:pPr>
      <w:r w:rsidRPr="007C3060">
        <w:t>Kap. 315 Frivillighetsformål</w:t>
      </w:r>
    </w:p>
    <w:p w14:paraId="473C9E1F" w14:textId="77777777" w:rsidR="000A2A2B" w:rsidRPr="007C3060" w:rsidRDefault="000A2A2B" w:rsidP="007C3060">
      <w:pPr>
        <w:pStyle w:val="b-post"/>
      </w:pPr>
      <w:r w:rsidRPr="007C3060">
        <w:t>Post 71 Strømstøtteordning for frivillige organisasjoner</w:t>
      </w:r>
    </w:p>
    <w:p w14:paraId="7B8AF1C3" w14:textId="77777777" w:rsidR="000A2A2B" w:rsidRPr="007C3060" w:rsidRDefault="000A2A2B" w:rsidP="007C3060">
      <w:r w:rsidRPr="007C3060">
        <w:t>Bevilgningen på posten skal dekke utgiftene ved strømstøtteordningen for frivillige organisasjoner i 2025.</w:t>
      </w:r>
    </w:p>
    <w:p w14:paraId="1C69B243" w14:textId="77777777" w:rsidR="000A2A2B" w:rsidRPr="007C3060" w:rsidRDefault="000A2A2B" w:rsidP="007C3060">
      <w:r w:rsidRPr="007C3060">
        <w:t>Bevilgningen utgjør 58,2 mill. kroner i Saldert budsjett 2025. I tillegg er 35,4 mill. kroner av ubrukt bevilgning på posten i 2024 overført til 2025, slik at disponibel bevilgning på posten utgjør 93,6 mill. kroner i 2025.</w:t>
      </w:r>
    </w:p>
    <w:p w14:paraId="1DE887E3" w14:textId="77777777" w:rsidR="000A2A2B" w:rsidRPr="007C3060" w:rsidRDefault="000A2A2B" w:rsidP="007C3060">
      <w:r w:rsidRPr="007C3060">
        <w:lastRenderedPageBreak/>
        <w:t>Strømstøtten utbetales etterskuddsvis på bakgrunn av søknader fra frivillige organisasjoner. Bevilgningen skal dekke utgifter for fjerde kvartal 2024 og de tre første kvartalene i 2025. Basert på de faktiske utbetalingene for fjerde kvartal 2024, samt oppdaterte prognoser for utbetalinger for de tre første kvartalene i 2025, anslås bevilgningsbehovet å være 40,2 mill. kroner lavere enn disponibel bevilgning. Bevilgningen på posten foreslås derfor redusert med tilsvarende beløp.</w:t>
      </w:r>
    </w:p>
    <w:p w14:paraId="7CB1D73E" w14:textId="77777777" w:rsidR="000A2A2B" w:rsidRPr="007C3060" w:rsidRDefault="000A2A2B" w:rsidP="007C3060">
      <w:pPr>
        <w:pStyle w:val="b-budkaptit"/>
      </w:pPr>
      <w:r w:rsidRPr="007C3060">
        <w:t>Kap. 320 Kulturdirektoratet og Kulturrådet m.m.</w:t>
      </w:r>
    </w:p>
    <w:p w14:paraId="4D9B662D" w14:textId="77777777" w:rsidR="000A2A2B" w:rsidRPr="007C3060" w:rsidRDefault="000A2A2B" w:rsidP="007C3060">
      <w:pPr>
        <w:pStyle w:val="b-post"/>
      </w:pPr>
      <w:r w:rsidRPr="007C3060">
        <w:t>Post 71 Statsstipend</w:t>
      </w:r>
    </w:p>
    <w:p w14:paraId="5DABA18A" w14:textId="77777777" w:rsidR="000A2A2B" w:rsidRPr="007C3060" w:rsidRDefault="000A2A2B" w:rsidP="007C3060">
      <w:r w:rsidRPr="007C3060">
        <w:t>Bevilgningen på posten skal dekke utgifter til statsstipendiater.</w:t>
      </w:r>
    </w:p>
    <w:p w14:paraId="1C611921" w14:textId="77777777" w:rsidR="000A2A2B" w:rsidRPr="007C3060" w:rsidRDefault="000A2A2B" w:rsidP="007C3060">
      <w:r w:rsidRPr="007C3060">
        <w:t>Som følge av at stipendiater er trådt ut av ordningen ved naturlig avgang, forventes utgiftene på posten å bli lavere enn budsjettert i 2025. Bevilgningen foreslås derfor redusert med 1,8 mill. kroner.</w:t>
      </w:r>
    </w:p>
    <w:p w14:paraId="540DD357" w14:textId="77777777" w:rsidR="000A2A2B" w:rsidRPr="007C3060" w:rsidRDefault="000A2A2B" w:rsidP="007C3060">
      <w:pPr>
        <w:pStyle w:val="b-budkaptit"/>
      </w:pPr>
      <w:r w:rsidRPr="007C3060">
        <w:t>Kap. 322 Bygg og offentlige rom</w:t>
      </w:r>
    </w:p>
    <w:p w14:paraId="31718DF8" w14:textId="77777777" w:rsidR="000A2A2B" w:rsidRPr="007C3060" w:rsidRDefault="000A2A2B" w:rsidP="007C3060">
      <w:pPr>
        <w:pStyle w:val="b-post"/>
      </w:pPr>
      <w:r w:rsidRPr="007C3060">
        <w:t>Post 70 Nasjonale kulturbygg, kan overføres</w:t>
      </w:r>
    </w:p>
    <w:p w14:paraId="6C602301" w14:textId="77777777" w:rsidR="000A2A2B" w:rsidRPr="007C3060" w:rsidRDefault="000A2A2B" w:rsidP="007C3060">
      <w:r w:rsidRPr="007C3060">
        <w:t>Bevilgningen på posten med tilhørende tilsagnsfullmakt gjelder tilskudd til byggeprosjekter under ordningen for nasjonale kulturbygg.</w:t>
      </w:r>
    </w:p>
    <w:p w14:paraId="3F2BDB3E" w14:textId="77777777" w:rsidR="000A2A2B" w:rsidRPr="007C3060" w:rsidRDefault="000A2A2B" w:rsidP="007C3060">
      <w:r w:rsidRPr="007C3060">
        <w:t xml:space="preserve">I 2021 fikk Den </w:t>
      </w:r>
      <w:proofErr w:type="spellStart"/>
      <w:r w:rsidRPr="007C3060">
        <w:t>Nationale</w:t>
      </w:r>
      <w:proofErr w:type="spellEnd"/>
      <w:r w:rsidRPr="007C3060">
        <w:t xml:space="preserve"> Scene i Bergen tilsagn om statlig tilskudd på til sammen 608,4 mill. kroner til oppgradering av den statlig eide teaterbygningen i Bergen sentrum. Med bakgrunn i at det vil påløpe merutgifter ved å gjennomføre prosjektet i tråd med dagens krav til bærekraft og universell utforming og håndtering av usikkerhet, foreslås det å øke det statlige tilsagnet til prosjektet med 100 mill. kroner. De økte utgiftene vil tidligst komme til utbetaling i 2027.</w:t>
      </w:r>
    </w:p>
    <w:p w14:paraId="1086B95C" w14:textId="77777777" w:rsidR="000A2A2B" w:rsidRPr="007C3060" w:rsidRDefault="000A2A2B" w:rsidP="007C3060">
      <w:r w:rsidRPr="007C3060">
        <w:t>Vedtatt tilsagnsfullmakt på posten for 2025 er på 631,3 mill. kroner. Med bakgrunn i ovenstående foreslås tilsagnsfullmakten økt til 731,3 mill. kroner, jf. forslag til romertallsfullmakt.</w:t>
      </w:r>
    </w:p>
    <w:p w14:paraId="1B81BE1D" w14:textId="77777777" w:rsidR="000A2A2B" w:rsidRPr="007C3060" w:rsidRDefault="000A2A2B" w:rsidP="007C3060">
      <w:pPr>
        <w:pStyle w:val="b-budkaptit"/>
      </w:pPr>
      <w:r w:rsidRPr="007C3060">
        <w:t>Kap. 323 Musikk og scenekunst</w:t>
      </w:r>
    </w:p>
    <w:p w14:paraId="5B672125" w14:textId="77777777" w:rsidR="000A2A2B" w:rsidRPr="007C3060" w:rsidRDefault="000A2A2B" w:rsidP="007C3060">
      <w:pPr>
        <w:pStyle w:val="b-post"/>
      </w:pPr>
      <w:r w:rsidRPr="007C3060">
        <w:t>Post 70 Musikk- og scenekunstinstitusjoner</w:t>
      </w:r>
    </w:p>
    <w:p w14:paraId="1E6F74A4" w14:textId="77777777" w:rsidR="000A2A2B" w:rsidRPr="007C3060" w:rsidRDefault="000A2A2B" w:rsidP="007C3060">
      <w:r w:rsidRPr="007C3060">
        <w:t>Bevilgningen gjelder driftstilskudd til institusjoner på musikk- og scenekunstfeltet.</w:t>
      </w:r>
    </w:p>
    <w:p w14:paraId="34DA7625" w14:textId="77777777" w:rsidR="000A2A2B" w:rsidRPr="007C3060" w:rsidRDefault="000A2A2B" w:rsidP="007C3060">
      <w:r w:rsidRPr="007C3060">
        <w:t xml:space="preserve">Tilskuddet til Teater </w:t>
      </w:r>
      <w:proofErr w:type="spellStart"/>
      <w:r w:rsidRPr="007C3060">
        <w:t>Vestland</w:t>
      </w:r>
      <w:proofErr w:type="spellEnd"/>
      <w:r w:rsidRPr="007C3060">
        <w:t xml:space="preserve"> foreslås økt med 1 mill. kroner til dekning av ekstraordinære utgifter teateret har hatt i forbindelse med innflytting i nye lokaler. Bevilgningen på posten foreslås økt med tilsvarende beløp.</w:t>
      </w:r>
    </w:p>
    <w:p w14:paraId="3BF3369E" w14:textId="77777777" w:rsidR="000A2A2B" w:rsidRPr="007C3060" w:rsidRDefault="000A2A2B" w:rsidP="007C3060">
      <w:pPr>
        <w:pStyle w:val="b-budkaptit"/>
      </w:pPr>
      <w:r w:rsidRPr="007C3060">
        <w:t>Kap. 325 Allmenne kulturformål</w:t>
      </w:r>
    </w:p>
    <w:p w14:paraId="7C8328AE" w14:textId="77777777" w:rsidR="000A2A2B" w:rsidRPr="007C3060" w:rsidRDefault="000A2A2B" w:rsidP="007C3060">
      <w:pPr>
        <w:pStyle w:val="b-post"/>
      </w:pPr>
      <w:r w:rsidRPr="007C3060">
        <w:t>Post 70 Norges forskningsråd, kan overføres</w:t>
      </w:r>
    </w:p>
    <w:p w14:paraId="4EBCA0E2" w14:textId="77777777" w:rsidR="000A2A2B" w:rsidRPr="007C3060" w:rsidRDefault="000A2A2B" w:rsidP="007C3060">
      <w:r w:rsidRPr="007C3060">
        <w:t>Bevilgningen på posten med tilhørende tilsagnsfullmakt skal finansiere forskning om kultur- og mediesektoren.</w:t>
      </w:r>
    </w:p>
    <w:p w14:paraId="3574D9BD" w14:textId="77777777" w:rsidR="000A2A2B" w:rsidRPr="007C3060" w:rsidRDefault="000A2A2B" w:rsidP="007C3060">
      <w:r w:rsidRPr="007C3060">
        <w:lastRenderedPageBreak/>
        <w:t xml:space="preserve">Det er for 2025 vedtatt en bevilgning på </w:t>
      </w:r>
      <w:proofErr w:type="spellStart"/>
      <w:r w:rsidRPr="007C3060">
        <w:t>på</w:t>
      </w:r>
      <w:proofErr w:type="spellEnd"/>
      <w:r w:rsidRPr="007C3060">
        <w:t xml:space="preserve"> 21,1 mill. kroner og en tilsagnsfullmakt på 123,2 mill. kroner, jf. </w:t>
      </w:r>
      <w:proofErr w:type="spellStart"/>
      <w:r w:rsidRPr="007C3060">
        <w:t>Innst</w:t>
      </w:r>
      <w:proofErr w:type="spellEnd"/>
      <w:r w:rsidRPr="007C3060">
        <w:t xml:space="preserve">. 14 S (2024–2024) og </w:t>
      </w:r>
      <w:proofErr w:type="spellStart"/>
      <w:r w:rsidRPr="007C3060">
        <w:t>Prop</w:t>
      </w:r>
      <w:proofErr w:type="spellEnd"/>
      <w:r w:rsidRPr="007C3060">
        <w:t>. 1 S (2024–2025) for Kultur- og likestillingsdepartementet.</w:t>
      </w:r>
    </w:p>
    <w:p w14:paraId="5ED2071E" w14:textId="77777777" w:rsidR="000A2A2B" w:rsidRPr="007C3060" w:rsidRDefault="000A2A2B" w:rsidP="007C3060">
      <w:r w:rsidRPr="007C3060">
        <w:t>I proposisjonen var det lagt til grunn at Forskningsrådet kunne gi tilsagn til nye prosjekter innenfor en samlet ramme på 26 mill. kroner i 2025. Med bakgrunn i at det er behov for å sette i gang et forskningsprosjekt knyttet til museumssektoren, foreslås det nå at Forskningsrådet gis adgang til å gi tilsagn om midler til nye prosjekter innenfor en samlet ramme på 31 mill. kroner i 2025. Forslaget innebærer ingen endringer i vedtatt bevilgning for 2025, da utgiftene ved prosjekter først vil påløpe i senere budsjettår. Forslaget innebærer heller ingen endring i tilsagnsfullmakten, da den utvidete tilsagnsrammen i 2025 dekkes av udisponerte avsetninger fra tidligere år.</w:t>
      </w:r>
    </w:p>
    <w:p w14:paraId="3A67F379" w14:textId="77777777" w:rsidR="000A2A2B" w:rsidRPr="007C3060" w:rsidRDefault="000A2A2B" w:rsidP="007C3060">
      <w:pPr>
        <w:pStyle w:val="b-budkaptit"/>
      </w:pPr>
      <w:r w:rsidRPr="007C3060">
        <w:t>Kap. 326 Språk- og bibliotekformål</w:t>
      </w:r>
    </w:p>
    <w:p w14:paraId="40F4402D" w14:textId="77777777" w:rsidR="000A2A2B" w:rsidRPr="007C3060" w:rsidRDefault="000A2A2B" w:rsidP="007C3060">
      <w:pPr>
        <w:pStyle w:val="b-post"/>
      </w:pPr>
      <w:r w:rsidRPr="007C3060">
        <w:t>Post 80 Bibliotek- og litteraturtiltak</w:t>
      </w:r>
    </w:p>
    <w:p w14:paraId="754EC24E" w14:textId="77777777" w:rsidR="000A2A2B" w:rsidRPr="007C3060" w:rsidRDefault="000A2A2B" w:rsidP="007C3060">
      <w:r w:rsidRPr="007C3060">
        <w:t>På denne posten ytes det tilskudd til ulike -bibliotek- og litteraturrelaterte tiltak, herunder til bibliotektjeneste i fengsler.</w:t>
      </w:r>
    </w:p>
    <w:p w14:paraId="698120DF" w14:textId="77777777" w:rsidR="000A2A2B" w:rsidRPr="007C3060" w:rsidRDefault="000A2A2B" w:rsidP="007C3060">
      <w:r w:rsidRPr="007C3060">
        <w:t>Høsten 2025 opprettes det 76 nye fengselsplasser ved Romerike fengsel, Ullersmo avdeling. Flere fengselsplasser innebærer økte utgifter til bibliotektjeneste i fengslet. Bevilgningen på posten foreslås derfor økt med 0,1 mill. kroner.</w:t>
      </w:r>
    </w:p>
    <w:p w14:paraId="19D6F2A4" w14:textId="77777777" w:rsidR="000A2A2B" w:rsidRPr="007C3060" w:rsidRDefault="000A2A2B" w:rsidP="007C3060">
      <w:pPr>
        <w:pStyle w:val="b-budkaptit"/>
      </w:pPr>
      <w:r w:rsidRPr="007C3060">
        <w:t>Kap. 334 Film- og dataspillformål</w:t>
      </w:r>
    </w:p>
    <w:p w14:paraId="66273912" w14:textId="77777777" w:rsidR="000A2A2B" w:rsidRPr="007C3060" w:rsidRDefault="000A2A2B" w:rsidP="007C3060">
      <w:pPr>
        <w:pStyle w:val="b-post"/>
      </w:pPr>
      <w:r w:rsidRPr="007C3060">
        <w:t>Post 01 Driftsutgifter</w:t>
      </w:r>
    </w:p>
    <w:p w14:paraId="09C549EC" w14:textId="77777777" w:rsidR="000A2A2B" w:rsidRPr="007C3060" w:rsidRDefault="000A2A2B" w:rsidP="007C3060">
      <w:r w:rsidRPr="007C3060">
        <w:t>Bevilgningen skal dekke lønns- og driftsutgifter for Norsk filminstitutt.</w:t>
      </w:r>
    </w:p>
    <w:p w14:paraId="70B1A92A" w14:textId="77777777" w:rsidR="000A2A2B" w:rsidRPr="007C3060" w:rsidRDefault="000A2A2B" w:rsidP="007C3060">
      <w:r w:rsidRPr="007C3060">
        <w:t>I statsbudsjettet for 2025 er det under kap. 334, post 50, satt av 5 mill. kroner til å opprette en -prøveordning under Norsk filminstitutt til innkjøp av dataspill. Deler av utgiftene ved tiltaket skal etter sin art føres som driftsutgifter. Bevilgningen på kap. 334, post 01, foreslås som følge av dette økt med 1 mill. kroner mot tilsvarende reduksjon av kap. 334, post 50, jf. omtale nedenfor.</w:t>
      </w:r>
    </w:p>
    <w:p w14:paraId="6AB3A691" w14:textId="77777777" w:rsidR="000A2A2B" w:rsidRPr="007C3060" w:rsidRDefault="000A2A2B" w:rsidP="007C3060">
      <w:pPr>
        <w:pStyle w:val="b-post"/>
      </w:pPr>
      <w:r w:rsidRPr="007C3060">
        <w:t>Post 50 Filmfondet</w:t>
      </w:r>
    </w:p>
    <w:p w14:paraId="090A01B0" w14:textId="77777777" w:rsidR="000A2A2B" w:rsidRPr="007C3060" w:rsidRDefault="000A2A2B" w:rsidP="007C3060">
      <w:r w:rsidRPr="007C3060">
        <w:t>Bevilgningen på posten omfatter tilskudd til film- og dataspillfeltet.</w:t>
      </w:r>
    </w:p>
    <w:p w14:paraId="5FEF7DD3" w14:textId="77777777" w:rsidR="000A2A2B" w:rsidRPr="007C3060" w:rsidRDefault="000A2A2B" w:rsidP="007C3060">
      <w:r w:rsidRPr="007C3060">
        <w:t>Bevilgningen foreslås redusert med 1 mill. kroner mot tilsvarende økning på kap. 334, post 01, jf. omtale over.</w:t>
      </w:r>
    </w:p>
    <w:p w14:paraId="01BAED09" w14:textId="77777777" w:rsidR="000A2A2B" w:rsidRPr="007C3060" w:rsidRDefault="000A2A2B" w:rsidP="007C3060">
      <w:pPr>
        <w:pStyle w:val="b-budkaptit"/>
      </w:pPr>
      <w:r w:rsidRPr="007C3060">
        <w:t>Kap. 350 Sekretariatet for -Diskrimineringsnemnda</w:t>
      </w:r>
    </w:p>
    <w:p w14:paraId="7B241C87" w14:textId="77777777" w:rsidR="000A2A2B" w:rsidRPr="007C3060" w:rsidRDefault="000A2A2B" w:rsidP="007C3060">
      <w:pPr>
        <w:pStyle w:val="b-post"/>
      </w:pPr>
      <w:r w:rsidRPr="007C3060">
        <w:t>Post 01 Driftsutgifter</w:t>
      </w:r>
    </w:p>
    <w:p w14:paraId="336751F8" w14:textId="77777777" w:rsidR="000A2A2B" w:rsidRPr="007C3060" w:rsidRDefault="000A2A2B" w:rsidP="007C3060">
      <w:r w:rsidRPr="007C3060">
        <w:t>Bevilgningen på posten skal dekke driftsutgifter for sekretariatet og godtgjørelse til nemndsmedlemmer, vitner og sakkyndige.</w:t>
      </w:r>
    </w:p>
    <w:p w14:paraId="1DC0694B" w14:textId="77777777" w:rsidR="000A2A2B" w:rsidRPr="007C3060" w:rsidRDefault="000A2A2B" w:rsidP="007C3060">
      <w:r w:rsidRPr="007C3060">
        <w:lastRenderedPageBreak/>
        <w:t>Under Diskrimineringsnemnda er det etablert et lavterskeltilbud for behandling av saker som gjelder forbud om gjengjeldelse etter varsling. Som følge av at nemnda har hatt en økning i slike saker til behandling, foreslås bevilgningen økt med 1,5 mill. kroner.</w:t>
      </w:r>
    </w:p>
    <w:p w14:paraId="79941FAF" w14:textId="77777777" w:rsidR="000A2A2B" w:rsidRPr="007C3060" w:rsidRDefault="000A2A2B" w:rsidP="007C3060">
      <w:r w:rsidRPr="007C3060">
        <w:t>Diskrimineringsnemnda har videre hatt til behandling et stort antall saker knyttet til funksjonsnedsettelse, herunder saker om universell utforming av IKT. Det er behov for å redusere etterslepet i behandlingen av disse sakene, som blant annet handler om universell utforming av læremidler til skolebarn. Bevilgningen på posten foreslås på denne bakgrunn økt med 2 mill. kroner, mot tilsvarende reduksjon i bevilgningen på kap. 352, post 21, jf. omtale nedenfor.</w:t>
      </w:r>
    </w:p>
    <w:p w14:paraId="42907AAE" w14:textId="77777777" w:rsidR="000A2A2B" w:rsidRPr="007C3060" w:rsidRDefault="000A2A2B" w:rsidP="007C3060">
      <w:r w:rsidRPr="007C3060">
        <w:t>Samlet foreslås bevilgningen på posten økt med 3,5 mill. kroner.</w:t>
      </w:r>
    </w:p>
    <w:p w14:paraId="3BBF33A9" w14:textId="77777777" w:rsidR="000A2A2B" w:rsidRPr="007C3060" w:rsidRDefault="000A2A2B" w:rsidP="007C3060">
      <w:pPr>
        <w:pStyle w:val="b-budkaptit"/>
      </w:pPr>
      <w:r w:rsidRPr="007C3060">
        <w:t>Kap. 351 Likestilling</w:t>
      </w:r>
    </w:p>
    <w:p w14:paraId="312DBB0E" w14:textId="77777777" w:rsidR="000A2A2B" w:rsidRPr="007C3060" w:rsidRDefault="000A2A2B" w:rsidP="007C3060">
      <w:pPr>
        <w:pStyle w:val="b-post"/>
      </w:pPr>
      <w:r w:rsidRPr="007C3060">
        <w:t>Post 21 Forskning, utredning og spesielle driftsutgifter, kan overføres, kan nyttes under post 70</w:t>
      </w:r>
    </w:p>
    <w:p w14:paraId="426DC7B3" w14:textId="77777777" w:rsidR="000A2A2B" w:rsidRPr="007C3060" w:rsidRDefault="000A2A2B" w:rsidP="007C3060">
      <w:r w:rsidRPr="007C3060">
        <w:t>Bevilgningen på posten skal finansiere forsknings- og utviklingsprosjekter med særlig relevans for arbeidet for å fremme likestilling og hindre diskriminering.</w:t>
      </w:r>
    </w:p>
    <w:p w14:paraId="0893000A" w14:textId="77777777" w:rsidR="000A2A2B" w:rsidRPr="007C3060" w:rsidRDefault="000A2A2B" w:rsidP="007C3060">
      <w:r w:rsidRPr="007C3060">
        <w:t>Kultur- og likestillingsdepartementet har gitt Norges Forskningsråd i oppdrag å være sekretariatet for en interdepartemental arbeidsgruppe som arbeider med å utvikle en tverrsektoriell FoU-strategi for likestilling, ikke-diskriminering og mangfold. For å dekke utgiftene ved oppdraget foreslås bevilgningen redusert med 1,6 mill. kroner, mot tilsvarende økning på kap. 285, post 21 på Kunnskapsdepartementets budsjett, jf. omtale ovenfor.</w:t>
      </w:r>
    </w:p>
    <w:p w14:paraId="0A75233A" w14:textId="77777777" w:rsidR="000A2A2B" w:rsidRPr="007C3060" w:rsidRDefault="000A2A2B" w:rsidP="007C3060">
      <w:r w:rsidRPr="007C3060">
        <w:t>For å dekke utgifter til en nasjonal veiledningsfunksjon om ekstremisme under NAV Grünerløkka foreslås bevilgningen redusert med 1 mill. kroner, mot tilsvarende økning i bevilgningen på kap. 605, post 01 på Arbeids- og inkluderings-departementets budsjett, jf. omtale nedenfor.</w:t>
      </w:r>
    </w:p>
    <w:p w14:paraId="4AD52643" w14:textId="77777777" w:rsidR="000A2A2B" w:rsidRPr="007C3060" w:rsidRDefault="000A2A2B" w:rsidP="007C3060">
      <w:r w:rsidRPr="007C3060">
        <w:t>Bevilgningen foreslås videre redusert med 1,2 mill. kroner, mot tilsvarende økning på kapittel 353, post 50, jf. omtale nedenfor.</w:t>
      </w:r>
    </w:p>
    <w:p w14:paraId="6E29A909" w14:textId="77777777" w:rsidR="000A2A2B" w:rsidRPr="007C3060" w:rsidRDefault="000A2A2B" w:rsidP="007C3060">
      <w:r w:rsidRPr="007C3060">
        <w:t>Samlet foreslås bevilgningen på posten redusert med 3,8 mill. kroner.</w:t>
      </w:r>
    </w:p>
    <w:p w14:paraId="4F46B029" w14:textId="77777777" w:rsidR="000A2A2B" w:rsidRPr="007C3060" w:rsidRDefault="000A2A2B" w:rsidP="007C3060">
      <w:pPr>
        <w:pStyle w:val="b-budkaptit"/>
      </w:pPr>
      <w:r w:rsidRPr="007C3060">
        <w:t>Kap. 352 Nedsatt funksjonsevne</w:t>
      </w:r>
    </w:p>
    <w:p w14:paraId="65E0F254" w14:textId="77777777" w:rsidR="000A2A2B" w:rsidRPr="007C3060" w:rsidRDefault="000A2A2B" w:rsidP="007C3060">
      <w:pPr>
        <w:pStyle w:val="b-post"/>
      </w:pPr>
      <w:r w:rsidRPr="007C3060">
        <w:t>Post 21 Forskning, utredning og spesielle driftsutgifter, kan overføres, kan nyttes under post 71</w:t>
      </w:r>
    </w:p>
    <w:p w14:paraId="01BD6DC4" w14:textId="77777777" w:rsidR="000A2A2B" w:rsidRPr="007C3060" w:rsidRDefault="000A2A2B" w:rsidP="007C3060">
      <w:r w:rsidRPr="007C3060">
        <w:t>Bevilgningen på posten finansierer forsknings- og utviklingstiltak innen området nedsatt funksjonsevne.</w:t>
      </w:r>
    </w:p>
    <w:p w14:paraId="5B28A53C" w14:textId="77777777" w:rsidR="000A2A2B" w:rsidRPr="007C3060" w:rsidRDefault="000A2A2B" w:rsidP="007C3060">
      <w:r w:rsidRPr="007C3060">
        <w:t xml:space="preserve">Bevilgningen foreslås redusert med 2 mill. kroner, jf. omtale under </w:t>
      </w:r>
      <w:proofErr w:type="spellStart"/>
      <w:r w:rsidRPr="007C3060">
        <w:t>kap</w:t>
      </w:r>
      <w:proofErr w:type="spellEnd"/>
      <w:r w:rsidRPr="007C3060">
        <w:t xml:space="preserve"> 350, post 01 ovenfor.</w:t>
      </w:r>
    </w:p>
    <w:p w14:paraId="4157CF02" w14:textId="77777777" w:rsidR="000A2A2B" w:rsidRPr="007C3060" w:rsidRDefault="000A2A2B" w:rsidP="007C3060">
      <w:pPr>
        <w:pStyle w:val="b-budkaptit"/>
      </w:pPr>
      <w:r w:rsidRPr="007C3060">
        <w:t>Kap. 353 Likestillings- og -diskrimineringsombudet</w:t>
      </w:r>
    </w:p>
    <w:p w14:paraId="60AD52E5" w14:textId="77777777" w:rsidR="000A2A2B" w:rsidRPr="007C3060" w:rsidRDefault="000A2A2B" w:rsidP="007C3060">
      <w:pPr>
        <w:pStyle w:val="b-post"/>
      </w:pPr>
      <w:r w:rsidRPr="007C3060">
        <w:t>Post 50 Basisbevilgning</w:t>
      </w:r>
    </w:p>
    <w:p w14:paraId="74520CDB" w14:textId="77777777" w:rsidR="000A2A2B" w:rsidRPr="007C3060" w:rsidRDefault="000A2A2B" w:rsidP="007C3060">
      <w:r w:rsidRPr="007C3060">
        <w:t>Bevilgningen på posten skal finansiere Likestillings- og diskrimineringsombudets driftsutgifter.</w:t>
      </w:r>
    </w:p>
    <w:p w14:paraId="0AC41C75" w14:textId="77777777" w:rsidR="000A2A2B" w:rsidRPr="007C3060" w:rsidRDefault="000A2A2B" w:rsidP="007C3060">
      <w:r w:rsidRPr="007C3060">
        <w:t xml:space="preserve">I regjeringens handlingsplan mot hets og diskriminering av samer (2025–2030) er et av tiltakene utprøving av en egen veiledningstjeneste i Nord-Norge. Veiledningstjenesten skal ha </w:t>
      </w:r>
      <w:r w:rsidRPr="007C3060">
        <w:lastRenderedPageBreak/>
        <w:t>særlig kompetanse på samiske forhold og problemstillinger, men også yte tjenester til andre aktuelle grupper/personer og veilede på alle diskrimineringsgrunnlag. For å dekke utgiftene ved tiltaket foreslås bevilgningen på posten økt med 1,2 mill. kroner, mot tilsvarende reduksjon i bevilgningen på kapittel 351, post 21, jf. omtale ovenfor.</w:t>
      </w:r>
    </w:p>
    <w:p w14:paraId="20846163" w14:textId="77777777" w:rsidR="000A2A2B" w:rsidRPr="007C3060" w:rsidRDefault="000A2A2B" w:rsidP="007C3060">
      <w:pPr>
        <w:pStyle w:val="Undertittel"/>
      </w:pPr>
      <w:r w:rsidRPr="007C3060">
        <w:t>Andre saker</w:t>
      </w:r>
    </w:p>
    <w:p w14:paraId="1198E53D" w14:textId="77777777" w:rsidR="000A2A2B" w:rsidRPr="007C3060" w:rsidRDefault="000A2A2B" w:rsidP="007C3060">
      <w:pPr>
        <w:pStyle w:val="avsnitt-undertittel"/>
      </w:pPr>
      <w:r w:rsidRPr="007C3060">
        <w:t>Kultur som næring – tilbakeføring av midler</w:t>
      </w:r>
    </w:p>
    <w:p w14:paraId="319F1992" w14:textId="77777777" w:rsidR="000A2A2B" w:rsidRPr="007C3060" w:rsidRDefault="000A2A2B" w:rsidP="007C3060">
      <w:r w:rsidRPr="007C3060">
        <w:t xml:space="preserve">I årene 2017 til 2024 ble det på Kultur- og likestillingsdepartementets budsjett bevilget midler til tiltak som skulle bidra til å styrke kunst- og kultursektorens økonomiske bærekraft. Midlene ble bevilget på kap. 325 </w:t>
      </w:r>
      <w:r w:rsidRPr="007C3060">
        <w:rPr>
          <w:rStyle w:val="kursiv"/>
        </w:rPr>
        <w:t>Allmenne kulturformål</w:t>
      </w:r>
      <w:r w:rsidRPr="007C3060">
        <w:t xml:space="preserve">, post 71 </w:t>
      </w:r>
      <w:r w:rsidRPr="007C3060">
        <w:rPr>
          <w:rStyle w:val="kursiv"/>
        </w:rPr>
        <w:t>Kultur som næring</w:t>
      </w:r>
      <w:r w:rsidRPr="007C3060">
        <w:t>. Flere av tiltakene som det var bevilget midler til, ble gjennomført i regi av Innovasjon Norge, som del av et flerårig oppdrag øremerket tiltak for kulturell og kreativ næring. Oppdraget til Innovasjon Norge er avviklet i statsbudsjettet for 2025.</w:t>
      </w:r>
    </w:p>
    <w:p w14:paraId="3FA4C9A9" w14:textId="77777777" w:rsidR="000A2A2B" w:rsidRPr="007C3060" w:rsidRDefault="000A2A2B" w:rsidP="007C3060">
      <w:r w:rsidRPr="007C3060">
        <w:t>Det gjenstår restmidler i Innovasjon Norge fra avsetninger i tidligere år. De ubenyttede midlene kommer blant annet fra låne- og tapsgarantiordninger som ikke er kommet til utbetaling, samt fra utsettelser av eksportprogram som det ikke var mulig å gjennomføre under pandemien. Siden oppdraget til Innovasjon Norge nå er avviklet, vil ubrukte midler tilbakeføres til statskassen som tilfeldige inntekter (kap. 5309, post 29). Samlet utgjør de ubenyttede midlene 74,1 mill. kroner.</w:t>
      </w:r>
    </w:p>
    <w:p w14:paraId="2FD92725" w14:textId="77777777" w:rsidR="000A2A2B" w:rsidRPr="007C3060" w:rsidRDefault="000A2A2B" w:rsidP="007C3060">
      <w:pPr>
        <w:pStyle w:val="Overskrift2"/>
      </w:pPr>
      <w:r w:rsidRPr="007C3060">
        <w:t>Justis- og beredskapsdepartementet</w:t>
      </w:r>
    </w:p>
    <w:p w14:paraId="38BF8C9C" w14:textId="77777777" w:rsidR="000A2A2B" w:rsidRPr="007C3060" w:rsidRDefault="000A2A2B" w:rsidP="007C3060">
      <w:pPr>
        <w:pStyle w:val="b-budkaptit"/>
      </w:pPr>
      <w:r w:rsidRPr="007C3060">
        <w:t>Kap. 400 Justis- og beredskapsdepartementet</w:t>
      </w:r>
    </w:p>
    <w:p w14:paraId="2782122B" w14:textId="77777777" w:rsidR="000A2A2B" w:rsidRPr="007C3060" w:rsidRDefault="000A2A2B" w:rsidP="007C3060">
      <w:pPr>
        <w:pStyle w:val="b-post"/>
      </w:pPr>
      <w:r w:rsidRPr="007C3060">
        <w:t>Post 01 Driftsutgifter</w:t>
      </w:r>
    </w:p>
    <w:p w14:paraId="43FFB8C3" w14:textId="77777777" w:rsidR="000A2A2B" w:rsidRPr="007C3060" w:rsidRDefault="000A2A2B" w:rsidP="007C3060">
      <w:r w:rsidRPr="007C3060">
        <w:t>Da Justis- og beredskapsdepartementet raskt måtte flytte fra regjeringskvartalet til lokaler i Nydalen etter terrorangrepet i 2011, ble det -gjennomført omfattende spesialtilpasninger, primært sikringstiltak. Sikringstiltakene var ned-betalt i 2024. Som følge av dette fikk departementet redusert husleiekostnad, og bevilgningen ble redusert med 56,7 mill. kroner fra og med 2024. Nye beregninger fra Statsbygg viser at det er lagt til grunn et for høyt nedtrekk i husleiekost-</w:t>
      </w:r>
      <w:proofErr w:type="spellStart"/>
      <w:r w:rsidRPr="007C3060">
        <w:t>nadene</w:t>
      </w:r>
      <w:proofErr w:type="spellEnd"/>
      <w:r w:rsidRPr="007C3060">
        <w:t xml:space="preserve"> for 2025. Det foreslås på denne bakgrunn å øke bevilgningen på posten med 8 mill. kroner.</w:t>
      </w:r>
    </w:p>
    <w:p w14:paraId="445FF312" w14:textId="77777777" w:rsidR="000A2A2B" w:rsidRPr="007C3060" w:rsidRDefault="000A2A2B" w:rsidP="007C3060">
      <w:r w:rsidRPr="007C3060">
        <w:t xml:space="preserve">Prognosen for inntekter fra Financial </w:t>
      </w:r>
      <w:proofErr w:type="spellStart"/>
      <w:r w:rsidRPr="007C3060">
        <w:t>Mechanism</w:t>
      </w:r>
      <w:proofErr w:type="spellEnd"/>
      <w:r w:rsidRPr="007C3060">
        <w:t xml:space="preserve"> Office (FMO) / EØS og kantinen i departementet er lavere enn budsjettert, grunnet redusert aktivitet. Det foreslås på denne bakgrunn å redusere bevilgningen på posten med 1,6 mill. kroner, med en parallelljustering på kap. 3400, post 01 med samme beløp.</w:t>
      </w:r>
    </w:p>
    <w:p w14:paraId="2FFCD866" w14:textId="77777777" w:rsidR="000A2A2B" w:rsidRPr="007C3060" w:rsidRDefault="000A2A2B" w:rsidP="007C3060">
      <w:r w:rsidRPr="007C3060">
        <w:t>Totalt foreslås det en økning på posten med 6,4 mill. kroner.</w:t>
      </w:r>
    </w:p>
    <w:p w14:paraId="12069940" w14:textId="77777777" w:rsidR="000A2A2B" w:rsidRPr="007C3060" w:rsidRDefault="000A2A2B" w:rsidP="007C3060">
      <w:pPr>
        <w:pStyle w:val="b-post"/>
      </w:pPr>
      <w:r w:rsidRPr="007C3060">
        <w:lastRenderedPageBreak/>
        <w:t>Post 23 Spesielle driftsutgifter, forskning, evaluering og kunnskapsinnhenting, kan overføres</w:t>
      </w:r>
    </w:p>
    <w:p w14:paraId="2231D7B6" w14:textId="77777777" w:rsidR="000A2A2B" w:rsidRPr="007C3060" w:rsidRDefault="000A2A2B" w:rsidP="007C3060">
      <w:r w:rsidRPr="007C3060">
        <w:t>Norges forskningsråd (NFR) har fra 2025 innført bruttobudsjettering. På grunnlag av ny budsjettmodell har NFR kommunisert at de ikke får utbetalt 10 mill. kroner som ble bevilget av departementet til NFR i 2025 til forskning på forebygging av vold og overgrep i nære relasjoner. Midlene for 2025 omdisponeres derfor tilbake til post 23 og brukes til forskning på samme tema.</w:t>
      </w:r>
    </w:p>
    <w:p w14:paraId="6D2D2214" w14:textId="77777777" w:rsidR="000A2A2B" w:rsidRPr="007C3060" w:rsidRDefault="000A2A2B" w:rsidP="007C3060">
      <w:r w:rsidRPr="007C3060">
        <w:t>Det foreslås på denne bakgrunn å øke bevilgningen på posten med 10 mill. kroner.</w:t>
      </w:r>
    </w:p>
    <w:p w14:paraId="7781459C" w14:textId="77777777" w:rsidR="000A2A2B" w:rsidRPr="007C3060" w:rsidRDefault="000A2A2B" w:rsidP="007C3060">
      <w:pPr>
        <w:pStyle w:val="b-post"/>
      </w:pPr>
      <w:r w:rsidRPr="007C3060">
        <w:t>Post 71 Tilskudd til internasjonale organisasjoner</w:t>
      </w:r>
    </w:p>
    <w:p w14:paraId="355864B0" w14:textId="77777777" w:rsidR="000A2A2B" w:rsidRPr="007C3060" w:rsidRDefault="000A2A2B" w:rsidP="007C3060">
      <w:r w:rsidRPr="007C3060">
        <w:t xml:space="preserve">Det har blitt varslet økning i kontingentene til European Union </w:t>
      </w:r>
      <w:proofErr w:type="spellStart"/>
      <w:r w:rsidRPr="007C3060">
        <w:t>Agency</w:t>
      </w:r>
      <w:proofErr w:type="spellEnd"/>
      <w:r w:rsidRPr="007C3060">
        <w:t xml:space="preserve"> for </w:t>
      </w:r>
      <w:proofErr w:type="spellStart"/>
      <w:r w:rsidRPr="007C3060">
        <w:t>Cybersecurity</w:t>
      </w:r>
      <w:proofErr w:type="spellEnd"/>
      <w:r w:rsidRPr="007C3060">
        <w:t xml:space="preserve"> (ENISA) og Group </w:t>
      </w:r>
      <w:proofErr w:type="spellStart"/>
      <w:r w:rsidRPr="007C3060">
        <w:t>of</w:t>
      </w:r>
      <w:proofErr w:type="spellEnd"/>
      <w:r w:rsidRPr="007C3060">
        <w:t xml:space="preserve"> States </w:t>
      </w:r>
      <w:proofErr w:type="spellStart"/>
      <w:r w:rsidRPr="007C3060">
        <w:t>against</w:t>
      </w:r>
      <w:proofErr w:type="spellEnd"/>
      <w:r w:rsidRPr="007C3060">
        <w:t xml:space="preserve"> </w:t>
      </w:r>
      <w:proofErr w:type="spellStart"/>
      <w:r w:rsidRPr="007C3060">
        <w:t>Corruption</w:t>
      </w:r>
      <w:proofErr w:type="spellEnd"/>
      <w:r w:rsidRPr="007C3060">
        <w:t xml:space="preserve"> (GRECO). For ENISA er det avregning av programmets kostnader i 2023 som er årsaken til økningen. GRECO kontingenten har økt som et resultat av forhandlinger i Europarådet.</w:t>
      </w:r>
    </w:p>
    <w:p w14:paraId="1B1B86E3" w14:textId="77777777" w:rsidR="000A2A2B" w:rsidRPr="007C3060" w:rsidRDefault="000A2A2B" w:rsidP="007C3060">
      <w:r w:rsidRPr="007C3060">
        <w:t>Det foreslås på denne bakgrunn å øke bevilgningen på posten med 750 000 kroner.</w:t>
      </w:r>
    </w:p>
    <w:p w14:paraId="0A1268DE" w14:textId="6247AA08" w:rsidR="000A2A2B" w:rsidRPr="007C3060" w:rsidRDefault="000A2A2B" w:rsidP="007C3060">
      <w:pPr>
        <w:pStyle w:val="b-post"/>
      </w:pPr>
      <w:r w:rsidRPr="007C3060">
        <w:t>Post 73 Tilskudd til Norges forskningsråd, kan overføres</w:t>
      </w:r>
    </w:p>
    <w:p w14:paraId="7F4DBB2D" w14:textId="77777777" w:rsidR="000A2A2B" w:rsidRPr="007C3060" w:rsidRDefault="000A2A2B" w:rsidP="007C3060">
      <w:r w:rsidRPr="007C3060">
        <w:t>Norges forskningsråd (NFR) har fra 2025 innført bruttobudsjettering. På grunnlag av ny budsjettmodell har NFR kommunisert at de ikke får utbetalt 10 mill. kroner som ble bevilget av departementet til NFR i 2025. Midlene omdisponeres derfor tilbake til post 23 og brukes til forskning på samme tema.</w:t>
      </w:r>
    </w:p>
    <w:p w14:paraId="6412A5D5" w14:textId="77777777" w:rsidR="000A2A2B" w:rsidRPr="007C3060" w:rsidRDefault="000A2A2B" w:rsidP="007C3060">
      <w:r w:rsidRPr="007C3060">
        <w:t>Det foreslås på denne bakgrunn å redusere bevilgningen på posten med 10 mill. kroner.</w:t>
      </w:r>
    </w:p>
    <w:p w14:paraId="3A70B937" w14:textId="5B89A770" w:rsidR="000A2A2B" w:rsidRPr="007C3060" w:rsidRDefault="000A2A2B" w:rsidP="007C3060">
      <w:pPr>
        <w:pStyle w:val="b-budkaptit"/>
      </w:pPr>
      <w:r w:rsidRPr="007C3060">
        <w:t>Kap. 3400 Justis- og beredskapsdepartementet</w:t>
      </w:r>
    </w:p>
    <w:p w14:paraId="117E4ED9" w14:textId="77777777" w:rsidR="000A2A2B" w:rsidRPr="007C3060" w:rsidRDefault="000A2A2B" w:rsidP="007C3060">
      <w:pPr>
        <w:pStyle w:val="b-post"/>
      </w:pPr>
      <w:r w:rsidRPr="007C3060">
        <w:t>Post 01 Diverse inntekter</w:t>
      </w:r>
    </w:p>
    <w:p w14:paraId="35A38278" w14:textId="77777777" w:rsidR="000A2A2B" w:rsidRPr="007C3060" w:rsidRDefault="000A2A2B" w:rsidP="007C3060">
      <w:r w:rsidRPr="007C3060">
        <w:t xml:space="preserve">Prognosen for inntekter fra Financial </w:t>
      </w:r>
      <w:proofErr w:type="spellStart"/>
      <w:r w:rsidRPr="007C3060">
        <w:t>Mechanism</w:t>
      </w:r>
      <w:proofErr w:type="spellEnd"/>
      <w:r w:rsidRPr="007C3060">
        <w:t xml:space="preserve"> Office (FMO) / EØS og kantinen i departementet er lavere enn budsjettert, grunnet redusert aktivitet.</w:t>
      </w:r>
    </w:p>
    <w:p w14:paraId="5CD112CE" w14:textId="77777777" w:rsidR="000A2A2B" w:rsidRPr="007C3060" w:rsidRDefault="000A2A2B" w:rsidP="007C3060">
      <w:r w:rsidRPr="007C3060">
        <w:t>Det foreslås på denne bakgrunn å redusere bevilgningen på posten med 1,6 mill. kroner, mot en justering på kap. 400, post 01 med samme beløp.</w:t>
      </w:r>
    </w:p>
    <w:p w14:paraId="5BCB412D" w14:textId="77777777" w:rsidR="000A2A2B" w:rsidRPr="007C3060" w:rsidRDefault="000A2A2B" w:rsidP="007C3060">
      <w:pPr>
        <w:pStyle w:val="b-budkaptit"/>
      </w:pPr>
      <w:r w:rsidRPr="007C3060">
        <w:t>Kap. 410 Domstolene</w:t>
      </w:r>
    </w:p>
    <w:p w14:paraId="1F903B1C" w14:textId="4AE95279" w:rsidR="000A2A2B" w:rsidRPr="007C3060" w:rsidRDefault="000A2A2B" w:rsidP="007C3060">
      <w:pPr>
        <w:pStyle w:val="b-post"/>
      </w:pPr>
      <w:r w:rsidRPr="007C3060">
        <w:t>Post 01 Driftsutgifter, kan nyttes under kap. 61, post 1 og kap. 411, post 1</w:t>
      </w:r>
    </w:p>
    <w:p w14:paraId="7B3859E4" w14:textId="77777777" w:rsidR="000A2A2B" w:rsidRPr="007C3060" w:rsidRDefault="000A2A2B" w:rsidP="007C3060">
      <w:pPr>
        <w:pStyle w:val="avsnitt-undertittel"/>
      </w:pPr>
      <w:r w:rsidRPr="007C3060">
        <w:t>Hurtigere behandling av straffesaker i Agder, Oslo og Øst politidistrikt der gjerningspersonen er under 18 år</w:t>
      </w:r>
    </w:p>
    <w:p w14:paraId="3BDD6CED" w14:textId="77777777" w:rsidR="000A2A2B" w:rsidRPr="007C3060" w:rsidRDefault="000A2A2B" w:rsidP="007C3060">
      <w:r w:rsidRPr="007C3060">
        <w:t xml:space="preserve">Nye lovendringer som skal sikre raskere reaksjoner for unge lovbrytere, trådte i kraft 1. desember 2024. Det er bevilget midler i 2025 til en særskilt innsats for hurtigere behandling av straffesaker i Agder, Oslo og Øst politidistrikt der gjerningspersonen er under 18 år. Bevilgningen skal legge til rette for en særskilt innsats for tingrettene i straffe-sakskjeden i de tre </w:t>
      </w:r>
      <w:r w:rsidRPr="007C3060">
        <w:lastRenderedPageBreak/>
        <w:t>politidistriktene. Det er derfor behov for å også styrke Asker og Bærum tingrett, da tingretten behandler saker fra Oslo politidistrikt. Det foreslås derfor å øke bevilgningen med 925 000 kroner. Tiltaket har en helårseffekt på 1,9 mill. kroner fra og med 2026. Se også omtale under kap. 433, post 01.</w:t>
      </w:r>
    </w:p>
    <w:p w14:paraId="38A8858F" w14:textId="77777777" w:rsidR="000A2A2B" w:rsidRPr="007C3060" w:rsidRDefault="000A2A2B" w:rsidP="007C3060">
      <w:pPr>
        <w:pStyle w:val="avsnitt-undertittel"/>
      </w:pPr>
      <w:r w:rsidRPr="007C3060">
        <w:t>Lønnsendringer for dommere i tingrettene og lagmannsrettene</w:t>
      </w:r>
    </w:p>
    <w:p w14:paraId="34188109" w14:textId="77777777" w:rsidR="000A2A2B" w:rsidRPr="007C3060" w:rsidRDefault="000A2A2B" w:rsidP="007C3060">
      <w:r w:rsidRPr="007C3060">
        <w:t>Lønnsendringer for dommere i tingrettene og lagmannsrettene var ikke fastsatt da budsjettforslaget for 2025 ble lagt frem, og det er ikke tatt høyde for det i saldert budsjett. Endringene har virkning fra 1. oktober 2024 og er beregnet til å utgjøre 73 mill. kroner for perioden 1. oktober 2024 til 31. desember 2025, medregnet arbeidsgiveravgift, ferielønns-tillegg og fremtidige pensjonsforpliktelser.</w:t>
      </w:r>
    </w:p>
    <w:p w14:paraId="2B1B180D" w14:textId="77777777" w:rsidR="000A2A2B" w:rsidRPr="007C3060" w:rsidRDefault="000A2A2B" w:rsidP="007C3060">
      <w:r w:rsidRPr="007C3060">
        <w:t>Det foreslås på denne bakgrunn å øke bevilgningen på posten med 73 mill. kroner.</w:t>
      </w:r>
    </w:p>
    <w:p w14:paraId="49768623" w14:textId="77777777" w:rsidR="000A2A2B" w:rsidRPr="007C3060" w:rsidRDefault="000A2A2B" w:rsidP="007C3060">
      <w:pPr>
        <w:pStyle w:val="avsnitt-undertittel"/>
      </w:pPr>
      <w:r w:rsidRPr="007C3060">
        <w:t>Oppsummering</w:t>
      </w:r>
    </w:p>
    <w:p w14:paraId="6304B744" w14:textId="77777777" w:rsidR="000A2A2B" w:rsidRPr="007C3060" w:rsidRDefault="000A2A2B" w:rsidP="007C3060">
      <w:r w:rsidRPr="007C3060">
        <w:t>Samlet foreslås det å øke bevilgningen på kap. 410, post 01 med 73,9 mill. kroner.</w:t>
      </w:r>
    </w:p>
    <w:p w14:paraId="46F7A1A4" w14:textId="77777777" w:rsidR="000A2A2B" w:rsidRPr="007C3060" w:rsidRDefault="000A2A2B" w:rsidP="007C3060">
      <w:pPr>
        <w:pStyle w:val="b-budkaptit"/>
      </w:pPr>
      <w:r w:rsidRPr="007C3060">
        <w:t>Kap. 430 Kriminalomsorgen</w:t>
      </w:r>
    </w:p>
    <w:p w14:paraId="2500E6AC" w14:textId="77777777" w:rsidR="000A2A2B" w:rsidRPr="007C3060" w:rsidRDefault="000A2A2B" w:rsidP="007C3060">
      <w:pPr>
        <w:pStyle w:val="b-post"/>
      </w:pPr>
      <w:r w:rsidRPr="007C3060">
        <w:t>Post 01 Driftsutgifter, kan nyttes under kap. 431, post 1</w:t>
      </w:r>
    </w:p>
    <w:p w14:paraId="2E9E2303" w14:textId="77777777" w:rsidR="000A2A2B" w:rsidRPr="007C3060" w:rsidRDefault="000A2A2B" w:rsidP="007C3060">
      <w:pPr>
        <w:pStyle w:val="avsnitt-undertittel"/>
      </w:pPr>
      <w:r w:rsidRPr="007C3060">
        <w:t>Nye plasser ved Ullersmo – tidligere innflytting</w:t>
      </w:r>
    </w:p>
    <w:p w14:paraId="03B1EB5B" w14:textId="77777777" w:rsidR="000A2A2B" w:rsidRPr="007C3060" w:rsidRDefault="000A2A2B" w:rsidP="007C3060">
      <w:r w:rsidRPr="007C3060">
        <w:t>Oslo fengsel har store bygningsmessige svakheter. Regjeringen konkluderte derfor høsten 2022 med at dagens Oslo fengsel skal erstattes gjennom en tredelt løsning: 76 nye fengselsplasser ved Romerike fengsel, Ullersmo avdeling, 130 nye fengselsplasser ved Innlandet fengsel, Ilseng avdeling og 144 fengselsplasser på dagens tomt på Grønland i Oslo. De nye plassene ved Ullersmo vil bli ferdig raskere enn planlagt, og det er mulig å fremskynde innflyttingen av innsatte. Dette vil bidra til bedre forhold for de innsatte. De første plassene ved Ullersmo planlegges nå tatt i bruk fra november/desember 2025. En avvikling av plasser i Oslo fengsel og oppstart av nye plasser ved Ullersmo vil innebære merkostnader for kriminalomsorgen.</w:t>
      </w:r>
    </w:p>
    <w:p w14:paraId="5B9EBD8D" w14:textId="77777777" w:rsidR="000A2A2B" w:rsidRPr="007C3060" w:rsidRDefault="000A2A2B" w:rsidP="007C3060">
      <w:r w:rsidRPr="007C3060">
        <w:t>Det foreslås derfor å øke bevilgningen med 7 mill. kroner i 2025. I tillegg vil det påløpe 1,8 mill. kroner under Kunnskapsdepartementet og 100 500 kroner under Kultur- og likestillings-departementet.</w:t>
      </w:r>
    </w:p>
    <w:p w14:paraId="73DAAC9A" w14:textId="77777777" w:rsidR="000A2A2B" w:rsidRPr="007C3060" w:rsidRDefault="000A2A2B" w:rsidP="007C3060">
      <w:pPr>
        <w:pStyle w:val="avsnitt-undertittel"/>
      </w:pPr>
      <w:r w:rsidRPr="007C3060">
        <w:t>Rettshjelp til innsatte</w:t>
      </w:r>
    </w:p>
    <w:p w14:paraId="271C7CBE" w14:textId="77777777" w:rsidR="000A2A2B" w:rsidRPr="007C3060" w:rsidRDefault="000A2A2B" w:rsidP="007C3060">
      <w:r w:rsidRPr="007C3060">
        <w:t xml:space="preserve">Stortinget har til behandling </w:t>
      </w:r>
      <w:proofErr w:type="spellStart"/>
      <w:r w:rsidRPr="007C3060">
        <w:t>Prop</w:t>
      </w:r>
      <w:proofErr w:type="spellEnd"/>
      <w:r w:rsidRPr="007C3060">
        <w:t>. 103 L (2024–2025), som blant annet gjelder utvidelse av prioriterte sakstyper i rettshjelpsloven. Forslaget inkluderer å utvide retten til rettshjelp til å omfatte vurdering av og klage på vedtak om hel utelukkelse og bruk av sikkerhetscelle og sikkerhetsseng etter straffegjennomføringsloven. Forutsatt at forslaget vedtas, tar regjeringen sikte på at bestemmelsene om rettshjelp til innsatte i prioriterte sakstyper kan tre i kraft 1. juli 2025.</w:t>
      </w:r>
    </w:p>
    <w:p w14:paraId="0AEA54FA" w14:textId="77777777" w:rsidR="000A2A2B" w:rsidRPr="007C3060" w:rsidRDefault="000A2A2B" w:rsidP="007C3060">
      <w:r w:rsidRPr="007C3060">
        <w:t>Det foreslås på denne bakgrunn å øke bevilgningen på posten med 3 mill. kroner.</w:t>
      </w:r>
    </w:p>
    <w:p w14:paraId="5ACAA707" w14:textId="77777777" w:rsidR="000A2A2B" w:rsidRPr="007C3060" w:rsidRDefault="000A2A2B" w:rsidP="007C3060">
      <w:pPr>
        <w:pStyle w:val="avsnitt-undertittel"/>
      </w:pPr>
      <w:r w:rsidRPr="007C3060">
        <w:lastRenderedPageBreak/>
        <w:t>Oppsummering</w:t>
      </w:r>
    </w:p>
    <w:p w14:paraId="2B7697D4" w14:textId="77777777" w:rsidR="000A2A2B" w:rsidRPr="007C3060" w:rsidRDefault="000A2A2B" w:rsidP="007C3060">
      <w:r w:rsidRPr="007C3060">
        <w:t>Det foreslås samlet å øke bevilgningen under kap. 430, post 01 med 10 mill. kroner.</w:t>
      </w:r>
    </w:p>
    <w:p w14:paraId="7FAB6326" w14:textId="77777777" w:rsidR="000A2A2B" w:rsidRPr="007C3060" w:rsidRDefault="000A2A2B" w:rsidP="007C3060">
      <w:pPr>
        <w:pStyle w:val="b-post"/>
      </w:pPr>
      <w:r w:rsidRPr="007C3060">
        <w:t>Post 45 Større utstyrsanskaffelser og vedlikehold, kan overføres</w:t>
      </w:r>
    </w:p>
    <w:p w14:paraId="6D079F6A" w14:textId="77777777" w:rsidR="000A2A2B" w:rsidRPr="007C3060" w:rsidRDefault="000A2A2B" w:rsidP="007C3060">
      <w:pPr>
        <w:pStyle w:val="avsnitt-undertittel"/>
      </w:pPr>
      <w:r w:rsidRPr="007C3060">
        <w:t>Brukerutstyrsprosjekt ifm. utvidelse av Romerike fengsel, Ullersmo avdeling</w:t>
      </w:r>
    </w:p>
    <w:p w14:paraId="587B9407" w14:textId="77777777" w:rsidR="000A2A2B" w:rsidRPr="007C3060" w:rsidRDefault="000A2A2B" w:rsidP="007C3060">
      <w:r w:rsidRPr="007C3060">
        <w:t xml:space="preserve">Ved Stortingets behandling av </w:t>
      </w:r>
      <w:proofErr w:type="spellStart"/>
      <w:r w:rsidRPr="007C3060">
        <w:t>Prop</w:t>
      </w:r>
      <w:proofErr w:type="spellEnd"/>
      <w:r w:rsidRPr="007C3060">
        <w:t xml:space="preserve">. 1 S (2022–2023), jf. </w:t>
      </w:r>
      <w:proofErr w:type="spellStart"/>
      <w:r w:rsidRPr="007C3060">
        <w:t>Innst</w:t>
      </w:r>
      <w:proofErr w:type="spellEnd"/>
      <w:r w:rsidRPr="007C3060">
        <w:t>. 6 S (2022–2023) ble det vedtatt startbevilgning til å etablere netto 76 nye plasser ved Romerike fengsel, avd. Ullersmo. Det ble også vedtatt egen kostnadsramme på 89,1 mill. kroner til brukerutstyr (2023-kroner). Plassene skulle i utgangspunktet tas i bruk i mars 2026, men på grunn av god fremdrift i prosjektet vil de første plassene tas i bruk allerede i slutten av 2025. Dette innebærer også at resterende kostnad for brukerutstyrsprosjektet påløper i 2025. På grunn av dette foreslås det å øke bevilgningen med 7,9 mill. kroner.</w:t>
      </w:r>
    </w:p>
    <w:p w14:paraId="17EAA763" w14:textId="77777777" w:rsidR="000A2A2B" w:rsidRPr="007C3060" w:rsidRDefault="000A2A2B" w:rsidP="007C3060">
      <w:pPr>
        <w:pStyle w:val="b-budkaptit"/>
      </w:pPr>
      <w:r w:rsidRPr="007C3060">
        <w:t>Kap. 432 Kriminalomsorgens høgskole og utdanningssenter</w:t>
      </w:r>
    </w:p>
    <w:p w14:paraId="20244873" w14:textId="77777777" w:rsidR="000A2A2B" w:rsidRPr="007C3060" w:rsidRDefault="000A2A2B" w:rsidP="007C3060">
      <w:pPr>
        <w:pStyle w:val="b-post"/>
      </w:pPr>
      <w:r w:rsidRPr="007C3060">
        <w:t>Post 01 Driftsutgifter</w:t>
      </w:r>
    </w:p>
    <w:p w14:paraId="2AFC2232" w14:textId="740DBD2D" w:rsidR="000A2A2B" w:rsidRPr="007C3060" w:rsidRDefault="000A2A2B" w:rsidP="007C3060">
      <w:pPr>
        <w:pStyle w:val="avsnitt-undertittel"/>
      </w:pPr>
      <w:r w:rsidRPr="007C3060">
        <w:t>Økt klasseopptak KRUS, en klasse ved heltidsstudiet (25 aspiranter) og to klasser (50 aspiranter) ved nytt -desentralisert studie</w:t>
      </w:r>
    </w:p>
    <w:p w14:paraId="25B89768" w14:textId="77777777" w:rsidR="000A2A2B" w:rsidRPr="007C3060" w:rsidRDefault="000A2A2B" w:rsidP="007C3060">
      <w:r w:rsidRPr="007C3060">
        <w:t>Kriminalomsorgen står i en utfordrende bemanningssituasjon. I tillegg har Kriminalomsorgs-direktoratet estimert en fremtidig underdekning i antall fengselsbetjenter, i hovedsak grunnet en økning i naturlige avganger (pensjon). Det er derfor et behov for å utdanne flere fengselsbetjenter. Direktoratet har utredet at det vil være behov for å øke opptaket med 75 plasser årlig (fra dagens 175 til et opptak på 250).</w:t>
      </w:r>
    </w:p>
    <w:p w14:paraId="35952FF2" w14:textId="77777777" w:rsidR="000A2A2B" w:rsidRPr="007C3060" w:rsidRDefault="000A2A2B" w:rsidP="007C3060">
      <w:r w:rsidRPr="007C3060">
        <w:t xml:space="preserve">Bemannings- og rekrutteringsutfordringene gjelder fengsler i hele landet, noe som understreker behovet for å tiltrekke seg og benytte seg av </w:t>
      </w:r>
      <w:proofErr w:type="gramStart"/>
      <w:r w:rsidRPr="007C3060">
        <w:t>potensiell</w:t>
      </w:r>
      <w:proofErr w:type="gramEnd"/>
      <w:r w:rsidRPr="007C3060">
        <w:t xml:space="preserve"> og nødvendig arbeidskraft i større deler av landet. Regjeringen ønsker derfor å gjøre studietilbudet mer fleksibelt, slik at det er mulig å bo i distriktene og samtidig gjennomføre utdanningen. Regjeringen foreslår å løse dette gjennom et desentralisert studietilbud. Det vil også møte rekrutteringsutfordringene på kort sikt, ettersom studiene vil kombineres med jobb i kriminalomsorgen. 50 av de 75 nye plassene skal ivaretas gjennom et desentralisert nett- og samlingsbasert studietilbud.</w:t>
      </w:r>
    </w:p>
    <w:p w14:paraId="375D3579" w14:textId="77777777" w:rsidR="000A2A2B" w:rsidRPr="007C3060" w:rsidRDefault="000A2A2B" w:rsidP="007C3060">
      <w:r w:rsidRPr="007C3060">
        <w:t>Ettersom fengselsbetjentutdanningen er lønnet, vil økt opptak innebære økte lønnskostnader fra 2025. Det vil også påløpe kostnader til ansettelse av personale for forberedelse og etablering av det desentraliserte studiet, i tillegg til innkjøp av nødvendig IT- og kontorutstyr.</w:t>
      </w:r>
    </w:p>
    <w:p w14:paraId="0DD945A4" w14:textId="77777777" w:rsidR="000A2A2B" w:rsidRPr="007C3060" w:rsidRDefault="000A2A2B" w:rsidP="007C3060">
      <w:r w:rsidRPr="007C3060">
        <w:t>Det foreslås å øke bevilgningen med 40,6 mill. kroner i 2025. Ettersom det tas opp nye studenter hver høst og gjennomføringstiden er på to år (tre år i det desentraliserte studiet), vil kostnadene være høyere i de påfølgende år, med en kostnad på 88,5 mill. kroner i 2026, 124,4 mill. kroner i 2027 og en varig helårskostnad på 156,6 mill. kroner fra og med 2028.</w:t>
      </w:r>
    </w:p>
    <w:p w14:paraId="63516085" w14:textId="77777777" w:rsidR="000A2A2B" w:rsidRPr="007C3060" w:rsidRDefault="000A2A2B" w:rsidP="007C3060">
      <w:pPr>
        <w:pStyle w:val="b-budkaptit"/>
      </w:pPr>
      <w:r w:rsidRPr="007C3060">
        <w:lastRenderedPageBreak/>
        <w:t>Kap. 433 Konfliktrådet</w:t>
      </w:r>
    </w:p>
    <w:p w14:paraId="43F0B425" w14:textId="77777777" w:rsidR="000A2A2B" w:rsidRPr="007C3060" w:rsidRDefault="000A2A2B" w:rsidP="007C3060">
      <w:pPr>
        <w:pStyle w:val="b-post"/>
      </w:pPr>
      <w:r w:rsidRPr="007C3060">
        <w:t>Post 01 Driftsutgifter</w:t>
      </w:r>
    </w:p>
    <w:p w14:paraId="043BC384" w14:textId="77777777" w:rsidR="000A2A2B" w:rsidRPr="007C3060" w:rsidRDefault="000A2A2B" w:rsidP="007C3060">
      <w:pPr>
        <w:pStyle w:val="avsnitt-undertittel"/>
      </w:pPr>
      <w:r w:rsidRPr="007C3060">
        <w:t>Hurtigere behandling av straffesaker i Agder, Oslo og Øst politidistrikt der gjerningspersonen er under 18 år</w:t>
      </w:r>
    </w:p>
    <w:p w14:paraId="03C84ACA" w14:textId="77777777" w:rsidR="000A2A2B" w:rsidRPr="007C3060" w:rsidRDefault="000A2A2B" w:rsidP="007C3060">
      <w:r w:rsidRPr="007C3060">
        <w:t xml:space="preserve">Nye lovendringer som skal sikre raskere reaksjoner for unge lovbrytere, trådte i kraft 1. desember 2024. I tillegg er det bevilget midler til en særskilt innsats for hurtigere behandling av straffesaker i Agder, Oslo og Øst politidistrikt der gjerningspersonen er under 18 år. Konfliktrådet har i 2024 opplevd en sterk vekst i bruk av </w:t>
      </w:r>
      <w:proofErr w:type="spellStart"/>
      <w:r w:rsidRPr="007C3060">
        <w:t>ungdomsreaksjonene</w:t>
      </w:r>
      <w:proofErr w:type="spellEnd"/>
      <w:r w:rsidRPr="007C3060">
        <w:t xml:space="preserve"> ungdomsstraff og ungdomsoppfølging, spesielt i Oslo, men også i Øst og Agder. For å sikre at konfliktrådet har tilstrekkelig kapasitet til å bidra inn i den særskilte innsatsen for hurtigere behandling av straffesaker i Agder, Oslo og Øst politidistrikt der gjerningspersonen er under 18 år, er det behov for å styrke kapasiteten i Konfliktrådet. Det foreslås derfor å øke bevilgningen med 2,6 mill. kroner. Forslaget har en helårseffekt på 5,3 mill. kroner fra og med 2026. Se også omtale under kap. 410, post 01.</w:t>
      </w:r>
    </w:p>
    <w:p w14:paraId="35E9E4D3" w14:textId="77777777" w:rsidR="000A2A2B" w:rsidRPr="007C3060" w:rsidRDefault="000A2A2B" w:rsidP="007C3060">
      <w:pPr>
        <w:pStyle w:val="b-budkaptit"/>
      </w:pPr>
      <w:r w:rsidRPr="007C3060">
        <w:t>Kap. 440 Politiet</w:t>
      </w:r>
    </w:p>
    <w:p w14:paraId="68FC4A64" w14:textId="77777777" w:rsidR="000A2A2B" w:rsidRPr="007C3060" w:rsidRDefault="000A2A2B" w:rsidP="007C3060">
      <w:pPr>
        <w:pStyle w:val="b-post"/>
      </w:pPr>
      <w:r w:rsidRPr="007C3060">
        <w:t>Post 01 Driftsutgifter, kan nyttes under kap. 441, post 1 og kap. 443, post 1</w:t>
      </w:r>
    </w:p>
    <w:p w14:paraId="31BED311" w14:textId="77777777" w:rsidR="000A2A2B" w:rsidRPr="007C3060" w:rsidRDefault="000A2A2B" w:rsidP="007C3060">
      <w:pPr>
        <w:pStyle w:val="avsnitt-undertittel"/>
      </w:pPr>
      <w:r w:rsidRPr="007C3060">
        <w:t>Implementering av asyl- og migrasjonspakten</w:t>
      </w:r>
    </w:p>
    <w:p w14:paraId="00B40CDE" w14:textId="77777777" w:rsidR="000A2A2B" w:rsidRPr="007C3060" w:rsidRDefault="000A2A2B" w:rsidP="007C3060">
      <w:r w:rsidRPr="007C3060">
        <w:t>EU har vedtatt flere rettsakter på asyl- og migrasjonsområdet som handler om styrket kontroll og saksbehandling for irregulære migranter og asylsøkere. Norge blir bundet av noen av disse rettsaktene. Det vises til omtale under kap. 490. På denne bakgrunn foreslås det å øke bevilgningen på posten med 76,6 mill. kroner.</w:t>
      </w:r>
    </w:p>
    <w:p w14:paraId="165E6463" w14:textId="77777777" w:rsidR="000A2A2B" w:rsidRPr="007C3060" w:rsidRDefault="000A2A2B" w:rsidP="007C3060">
      <w:pPr>
        <w:pStyle w:val="avsnitt-undertittel"/>
      </w:pPr>
      <w:r w:rsidRPr="007C3060">
        <w:t>Pass og ID-kort</w:t>
      </w:r>
    </w:p>
    <w:p w14:paraId="3E3DE53C" w14:textId="77777777" w:rsidR="000A2A2B" w:rsidRPr="007C3060" w:rsidRDefault="000A2A2B" w:rsidP="007C3060">
      <w:r w:rsidRPr="007C3060">
        <w:t>Som følge av redusert etterspørsel etter pass og ID-kort, forventes det i år lavere produksjon av ID-dokumenter enn planlagt. På denne bakgrunn foreslås det å redusere bevilgningen på posten med 71,3 mill. kroner. Inntektssiden foreslås redusert med 195,9 mill. kroner.</w:t>
      </w:r>
    </w:p>
    <w:p w14:paraId="679007C6" w14:textId="77777777" w:rsidR="000A2A2B" w:rsidRPr="007C3060" w:rsidRDefault="000A2A2B" w:rsidP="007C3060">
      <w:pPr>
        <w:pStyle w:val="avsnitt-undertittel"/>
      </w:pPr>
      <w:r w:rsidRPr="007C3060">
        <w:t>Styrke innsatsen til forebygging av barne- og ungdoms-kriminalitet</w:t>
      </w:r>
    </w:p>
    <w:p w14:paraId="1B871857" w14:textId="77777777" w:rsidR="000A2A2B" w:rsidRPr="007C3060" w:rsidRDefault="000A2A2B" w:rsidP="007C3060">
      <w:r w:rsidRPr="007C3060">
        <w:t>Det foreslås å styrke innsatsen mot barne- og ungdomskriminalitet i Oslo. Forebygging av barne- og ungdomskriminalitet vil også bidra til trygghet i hele byen, også de som ikke er på vei inn i en kriminell løpebane. På denne bakgrunn foreslås det å øke bevilgningen på posten med 6 mill. kroner.</w:t>
      </w:r>
    </w:p>
    <w:p w14:paraId="28BD7A2E" w14:textId="77777777" w:rsidR="000A2A2B" w:rsidRPr="007C3060" w:rsidRDefault="000A2A2B" w:rsidP="007C3060">
      <w:pPr>
        <w:pStyle w:val="avsnitt-undertittel"/>
      </w:pPr>
      <w:proofErr w:type="spellStart"/>
      <w:r w:rsidRPr="007C3060">
        <w:t>Internet</w:t>
      </w:r>
      <w:proofErr w:type="spellEnd"/>
      <w:r w:rsidRPr="007C3060">
        <w:t xml:space="preserve"> </w:t>
      </w:r>
      <w:proofErr w:type="spellStart"/>
      <w:r w:rsidRPr="007C3060">
        <w:t>Governance</w:t>
      </w:r>
      <w:proofErr w:type="spellEnd"/>
      <w:r w:rsidRPr="007C3060">
        <w:t xml:space="preserve"> Forum (IGF) 2025</w:t>
      </w:r>
    </w:p>
    <w:p w14:paraId="0804EF83" w14:textId="77777777" w:rsidR="000A2A2B" w:rsidRPr="007C3060" w:rsidRDefault="000A2A2B" w:rsidP="007C3060">
      <w:r w:rsidRPr="007C3060">
        <w:t xml:space="preserve">IGF er et forum for diskusjon om internettforvaltning og teknologi og skal arrangeres av Norge i juni. Politiet vil få økte utgifter i forbindelse med møtet. På denne bakgrunn foreslås det å øke </w:t>
      </w:r>
      <w:r w:rsidRPr="007C3060">
        <w:lastRenderedPageBreak/>
        <w:t>bevilgningen på kap. 440, post 01 med 3 mill. kroner mot tilsvarende reduksjon under Digitaliserings- og forvaltningsdepartementets kap. 1541, post 22.</w:t>
      </w:r>
    </w:p>
    <w:p w14:paraId="40651BED" w14:textId="77777777" w:rsidR="000A2A2B" w:rsidRPr="007C3060" w:rsidRDefault="000A2A2B" w:rsidP="007C3060">
      <w:pPr>
        <w:pStyle w:val="avsnitt-undertittel"/>
      </w:pPr>
      <w:r w:rsidRPr="007C3060">
        <w:t>Korrekt postbruk – flytting av midler ifm. grunn-finansiering i politiet</w:t>
      </w:r>
    </w:p>
    <w:p w14:paraId="01ED3ACD" w14:textId="77777777" w:rsidR="000A2A2B" w:rsidRPr="007C3060" w:rsidRDefault="000A2A2B" w:rsidP="007C3060">
      <w:r w:rsidRPr="007C3060">
        <w:t xml:space="preserve">Jf. </w:t>
      </w:r>
      <w:proofErr w:type="spellStart"/>
      <w:r w:rsidRPr="007C3060">
        <w:t>Prop</w:t>
      </w:r>
      <w:proofErr w:type="spellEnd"/>
      <w:r w:rsidRPr="007C3060">
        <w:t>. 1 S (2024–2025) er det bevilget midler over kap. 440, post 01 for å styrke grunnfinansieringen i politiet. Fordi bevilgningen til politiets virksomhet gis over flere kapitler, må forholdsmessige deler av beløpet flyttes til kap. 441, 442, 443 og 448. På denne bakgrunn foreslås det å redusere bevilgningen på kap. 440, post 01 med 52,2 mill. kroner mot tilsvarende samlet økning på henholdsvis kap. 441, 442, 443 og 448.</w:t>
      </w:r>
    </w:p>
    <w:p w14:paraId="04F58CF0" w14:textId="77777777" w:rsidR="000A2A2B" w:rsidRPr="007C3060" w:rsidRDefault="000A2A2B" w:rsidP="007C3060">
      <w:pPr>
        <w:pStyle w:val="avsnitt-undertittel"/>
      </w:pPr>
      <w:r w:rsidRPr="007C3060">
        <w:t>Korrekt postbruk – hurtigspor til påtalemyndigheten i politiet</w:t>
      </w:r>
    </w:p>
    <w:p w14:paraId="5B2C8B16" w14:textId="77777777" w:rsidR="000A2A2B" w:rsidRPr="007C3060" w:rsidRDefault="000A2A2B" w:rsidP="007C3060">
      <w:r w:rsidRPr="007C3060">
        <w:t>På kap. 440, post 01 er det i 2025 bevilget midler til etablering av hurtigspor for behandling av straffesaker der gjerningspersonen er under 18 år. For å oppnå ønsket effekt av tiltaket er det behov for å fordele en større andel av midlene til påtalemyndigheten i politiet. På denne bakgrunn foreslås det å redusere bevilgningen på kap. 440, post 01 med 5 mill. kroner mot en tilsvarende økning på kap. 443, post 01.</w:t>
      </w:r>
    </w:p>
    <w:p w14:paraId="56E0A8CB" w14:textId="77777777" w:rsidR="000A2A2B" w:rsidRPr="007C3060" w:rsidRDefault="000A2A2B" w:rsidP="007C3060">
      <w:pPr>
        <w:pStyle w:val="avsnitt-undertittel"/>
      </w:pPr>
      <w:r w:rsidRPr="007C3060">
        <w:t>Tiltak mot menneskehandel</w:t>
      </w:r>
    </w:p>
    <w:p w14:paraId="03B84E30" w14:textId="77777777" w:rsidR="000A2A2B" w:rsidRPr="007C3060" w:rsidRDefault="000A2A2B" w:rsidP="007C3060">
      <w:r w:rsidRPr="007C3060">
        <w:t>I samarbeid mellom Justis- og beredskapsdepartementet og Helse- og omsorgsdepartementet arbeides det med tiltak mot menneskehandel, blant annet å styrke tilskuddet til de regionale ressurssentrene om vold, traumatisk stress og selvmordsforebygging (RVTS) og til Nasjonalt kunnskapssenter om vold og traumatisk stress (NKVTS). Det er Helsedirektoratet som forvalter midlene. På denne bakgrunn foreslås det å redusere bevilgningen på kap. 440, post 01 med 1,5 mill. kroner mot tilsvarende økning på Helse- og omsorgs-departementets kap. 765, post 75.</w:t>
      </w:r>
    </w:p>
    <w:p w14:paraId="509C4421" w14:textId="77777777" w:rsidR="000A2A2B" w:rsidRPr="007C3060" w:rsidRDefault="000A2A2B" w:rsidP="007C3060">
      <w:pPr>
        <w:pStyle w:val="avsnitt-undertittel"/>
      </w:pPr>
      <w:r w:rsidRPr="007C3060">
        <w:t xml:space="preserve">Schengen IT – driftskostnader for SIS </w:t>
      </w:r>
      <w:proofErr w:type="spellStart"/>
      <w:r w:rsidRPr="007C3060">
        <w:t>recast</w:t>
      </w:r>
      <w:proofErr w:type="spellEnd"/>
      <w:r w:rsidRPr="007C3060">
        <w:t xml:space="preserve">, -Interoperabilitet og </w:t>
      </w:r>
      <w:proofErr w:type="spellStart"/>
      <w:r w:rsidRPr="007C3060">
        <w:t>Eurodac</w:t>
      </w:r>
      <w:proofErr w:type="spellEnd"/>
      <w:r w:rsidRPr="007C3060">
        <w:t xml:space="preserve"> i politiet</w:t>
      </w:r>
    </w:p>
    <w:p w14:paraId="15EE84C7" w14:textId="77777777" w:rsidR="000A2A2B" w:rsidRPr="007C3060" w:rsidRDefault="000A2A2B" w:rsidP="007C3060">
      <w:r w:rsidRPr="007C3060">
        <w:t xml:space="preserve">Driftskostnadene i prosjektperioden for Schengen IT-prosjektene SIS </w:t>
      </w:r>
      <w:proofErr w:type="spellStart"/>
      <w:r w:rsidRPr="007C3060">
        <w:t>recast</w:t>
      </w:r>
      <w:proofErr w:type="spellEnd"/>
      <w:r w:rsidRPr="007C3060">
        <w:t xml:space="preserve">, Interoperabilitet og </w:t>
      </w:r>
      <w:proofErr w:type="spellStart"/>
      <w:r w:rsidRPr="007C3060">
        <w:t>Eurodac</w:t>
      </w:r>
      <w:proofErr w:type="spellEnd"/>
      <w:r w:rsidRPr="007C3060">
        <w:t xml:space="preserve"> i politiet foreslås flyttet fra kap. 440, post 46 til kap. 440, post 01. Det foreslås på denne bakgrunn å øke bevilgningen på posten med 56,9 mill. kroner, mot en tilsvarende reduksjon av bevilgningen på kap. 440, post 46.</w:t>
      </w:r>
    </w:p>
    <w:p w14:paraId="7A687126" w14:textId="77777777" w:rsidR="000A2A2B" w:rsidRPr="007C3060" w:rsidRDefault="000A2A2B" w:rsidP="007C3060">
      <w:pPr>
        <w:pStyle w:val="avsnitt-undertittel"/>
      </w:pPr>
      <w:r w:rsidRPr="007C3060">
        <w:t>Oppsummering</w:t>
      </w:r>
    </w:p>
    <w:p w14:paraId="13C9BB1D" w14:textId="77777777" w:rsidR="000A2A2B" w:rsidRPr="007C3060" w:rsidRDefault="000A2A2B" w:rsidP="007C3060">
      <w:r w:rsidRPr="007C3060">
        <w:t>Samlet foreslås det å øke bevilgningen på kap. 440, post 01 med 12,5 mill. kroner.</w:t>
      </w:r>
    </w:p>
    <w:p w14:paraId="3D1C0833" w14:textId="77777777" w:rsidR="000A2A2B" w:rsidRPr="007C3060" w:rsidRDefault="000A2A2B" w:rsidP="007C3060">
      <w:pPr>
        <w:pStyle w:val="b-post"/>
      </w:pPr>
      <w:r w:rsidRPr="007C3060">
        <w:lastRenderedPageBreak/>
        <w:t>Post 25 Variable utgifter ved ankomst, mottak og retur i politiets utlendingsforvaltning</w:t>
      </w:r>
    </w:p>
    <w:p w14:paraId="77735CFF" w14:textId="77777777" w:rsidR="000A2A2B" w:rsidRPr="007C3060" w:rsidRDefault="000A2A2B" w:rsidP="007C3060">
      <w:pPr>
        <w:pStyle w:val="avsnitt-undertittel"/>
      </w:pPr>
      <w:r w:rsidRPr="007C3060">
        <w:t>Implementering av asyl- og migrasjonspakten</w:t>
      </w:r>
    </w:p>
    <w:p w14:paraId="1FC3A5FD" w14:textId="77777777" w:rsidR="000A2A2B" w:rsidRPr="007C3060" w:rsidRDefault="000A2A2B" w:rsidP="007C3060">
      <w:r w:rsidRPr="007C3060">
        <w:t>Det vises til omtale under kap. 490, post 01 om forslag til økt bevilgning til implementering av asyl- og migrasjonspakten. På denne bakgrunn foreslås det å øke bevilgningen på posten med 2,7 mill. kroner.</w:t>
      </w:r>
    </w:p>
    <w:p w14:paraId="2FC39E6C" w14:textId="77777777" w:rsidR="000A2A2B" w:rsidRPr="007C3060" w:rsidRDefault="000A2A2B" w:rsidP="007C3060">
      <w:pPr>
        <w:pStyle w:val="avsnitt-undertittel"/>
      </w:pPr>
      <w:r w:rsidRPr="007C3060">
        <w:t>Registrering av ordinære asylsøkere</w:t>
      </w:r>
    </w:p>
    <w:p w14:paraId="7EA161F5" w14:textId="77777777" w:rsidR="000A2A2B" w:rsidRPr="007C3060" w:rsidRDefault="000A2A2B" w:rsidP="007C3060">
      <w:r w:rsidRPr="007C3060">
        <w:t>Høsten 2024 ble ordningen med midlertidig kollektiv beskyttelse for fordrevne fra Ukraina strammet inn. Innstramningen fører til at flere saker må behandles individuelt. Dette er mer ressurskrevende enn å behandle saker etter ordningen med midlertidig kollektiv beskyttelse. I tillegg har de variable kostnadene knyttet til behandling av ordinære asylsaker økt. På denne bakgrunn foreslås det å øke bevilgningen på kap. 440, post 25 med 20,8 mill. kroner.</w:t>
      </w:r>
    </w:p>
    <w:p w14:paraId="1037F436" w14:textId="77777777" w:rsidR="000A2A2B" w:rsidRPr="007C3060" w:rsidRDefault="000A2A2B" w:rsidP="007C3060">
      <w:pPr>
        <w:pStyle w:val="avsnitt-undertittel"/>
      </w:pPr>
      <w:r w:rsidRPr="007C3060">
        <w:t>Oppsummering</w:t>
      </w:r>
    </w:p>
    <w:p w14:paraId="4DA06700" w14:textId="77777777" w:rsidR="000A2A2B" w:rsidRPr="007C3060" w:rsidRDefault="000A2A2B" w:rsidP="007C3060">
      <w:r w:rsidRPr="007C3060">
        <w:t>Samlet foreslås det å øke bevilgningen på kap. 440, post 25 med 23,5 mill. kroner.</w:t>
      </w:r>
    </w:p>
    <w:p w14:paraId="1D9C4B5C" w14:textId="77777777" w:rsidR="000A2A2B" w:rsidRPr="007C3060" w:rsidRDefault="000A2A2B" w:rsidP="007C3060">
      <w:pPr>
        <w:pStyle w:val="b-post"/>
      </w:pPr>
      <w:r w:rsidRPr="007C3060">
        <w:t>Post 45 Større utstyrsanskaffelser og vedlikehold, kan overføres</w:t>
      </w:r>
    </w:p>
    <w:p w14:paraId="1003D287" w14:textId="77777777" w:rsidR="000A2A2B" w:rsidRPr="007C3060" w:rsidRDefault="000A2A2B" w:rsidP="007C3060">
      <w:r w:rsidRPr="007C3060">
        <w:t>I henhold til fremdriftsplanen for prosjektet Fremtidens innkreving i årene 2022–2027 er politiets tildeling til prosjektet for 2025 på 20,8 mill. kroner. Det er endringer i periodiseringen av tildelingen. For 2025 er det ventet utgifter tilsvarende 14 mill. kroner. Det foreslås på denne bakgrunn å redusere bevilgningen på kap. 440, post 45 med 6,8 mill. kroner.</w:t>
      </w:r>
    </w:p>
    <w:p w14:paraId="7DB0512B" w14:textId="4E1F63A7" w:rsidR="000A2A2B" w:rsidRPr="007C3060" w:rsidRDefault="000A2A2B" w:rsidP="007C3060">
      <w:pPr>
        <w:pStyle w:val="b-post"/>
      </w:pPr>
      <w:r w:rsidRPr="007C3060">
        <w:t>Post 46 Investeringer i Schengen IT-systemer, kan overføres</w:t>
      </w:r>
    </w:p>
    <w:p w14:paraId="7026CD70" w14:textId="7252ECA4" w:rsidR="000A2A2B" w:rsidRPr="007C3060" w:rsidRDefault="000A2A2B" w:rsidP="007C3060">
      <w:pPr>
        <w:pStyle w:val="avsnitt-undertittel"/>
      </w:pPr>
      <w:r w:rsidRPr="007C3060">
        <w:t>Endring i investeringsfullmakter for Schengen IT-prosjekter</w:t>
      </w:r>
    </w:p>
    <w:p w14:paraId="1BA43468" w14:textId="77777777" w:rsidR="000A2A2B" w:rsidRPr="007C3060" w:rsidRDefault="000A2A2B" w:rsidP="007C3060">
      <w:r w:rsidRPr="007C3060">
        <w:t xml:space="preserve">Justis- og beredskapsdepartementet har i 2025 fullmakt til å pådra staten forpliktelser ut over budsjettåret til investeringsprosjekter for implementering av Schengen IT-systemer i politiet og UDI, på kap. 440, post 46 og kap. 490, post 46. Forsinkelser i EUs sentrale systemutvikling og endringer i EUs- krav til systemene har påvirket gjennomføringen i Norge og ført til økte kostnader. Etter anbefalinger fra en ekstern kvalitetssikring av Schengen IT-prosjektene til politiet og UDI, foreslås det at den felles kostnadsrammen for UDI og politiet som omfatter IT-systemene SIS </w:t>
      </w:r>
      <w:proofErr w:type="spellStart"/>
      <w:r w:rsidRPr="007C3060">
        <w:t>recast</w:t>
      </w:r>
      <w:proofErr w:type="spellEnd"/>
      <w:r w:rsidRPr="007C3060">
        <w:t xml:space="preserve">, VIS </w:t>
      </w:r>
      <w:proofErr w:type="spellStart"/>
      <w:r w:rsidRPr="007C3060">
        <w:t>recast</w:t>
      </w:r>
      <w:proofErr w:type="spellEnd"/>
      <w:r w:rsidRPr="007C3060">
        <w:t xml:space="preserve">, </w:t>
      </w:r>
      <w:proofErr w:type="spellStart"/>
      <w:r w:rsidRPr="007C3060">
        <w:t>Eurodac</w:t>
      </w:r>
      <w:proofErr w:type="spellEnd"/>
      <w:r w:rsidRPr="007C3060">
        <w:t xml:space="preserve"> og Interoperabilitet (IO) økes fra 2 187 mill. kroner (2023-prisnivå) til 2 680 mill. kroner (2025-prisnivå), jf. forslag til vedtak om økning i eksisterende investeringsfullmakt. Disse IT-systemene var opprinnelig planlagt innført innen utgangen av 2025. Prosjektperioden er nå ventet å vare frem til 2030.</w:t>
      </w:r>
    </w:p>
    <w:p w14:paraId="057B30DC" w14:textId="77777777" w:rsidR="000A2A2B" w:rsidRPr="007C3060" w:rsidRDefault="000A2A2B" w:rsidP="007C3060">
      <w:r w:rsidRPr="007C3060">
        <w:t xml:space="preserve">Det foreslås også at det etableres en ny felles kostnadsramme for implementering av systemene </w:t>
      </w:r>
      <w:proofErr w:type="spellStart"/>
      <w:r w:rsidRPr="007C3060">
        <w:t>Entry</w:t>
      </w:r>
      <w:proofErr w:type="spellEnd"/>
      <w:r w:rsidRPr="007C3060">
        <w:t xml:space="preserve">/Exit (EES) og European Travel Information and </w:t>
      </w:r>
      <w:proofErr w:type="spellStart"/>
      <w:r w:rsidRPr="007C3060">
        <w:t>Authorisation</w:t>
      </w:r>
      <w:proofErr w:type="spellEnd"/>
      <w:r w:rsidRPr="007C3060">
        <w:t xml:space="preserve"> System (ETIAS) på 880 mill. kroner (2025-prisnivå), jf. forslag til vedtak om ny investeringsfullmakt. Disse </w:t>
      </w:r>
      <w:r w:rsidRPr="007C3060">
        <w:lastRenderedPageBreak/>
        <w:t>prosjektene har tidligere ikke hatt kostnadsramme. Systemene skulle opprinnelig leveres innen utgangen av 2023, og anslås nå ferdigstilt innen utløpet av 2026 på grunn av forsinkelsene i EU.</w:t>
      </w:r>
    </w:p>
    <w:p w14:paraId="620E0870" w14:textId="77777777" w:rsidR="000A2A2B" w:rsidRPr="007C3060" w:rsidRDefault="000A2A2B" w:rsidP="007C3060">
      <w:pPr>
        <w:pStyle w:val="avsnitt-undertittel"/>
      </w:pPr>
      <w:r w:rsidRPr="007C3060">
        <w:t xml:space="preserve">Schengen IT- investeringskostnader for SIS, VIS, </w:t>
      </w:r>
      <w:proofErr w:type="spellStart"/>
      <w:r w:rsidRPr="007C3060">
        <w:t>Eurodac</w:t>
      </w:r>
      <w:proofErr w:type="spellEnd"/>
      <w:r w:rsidRPr="007C3060">
        <w:t xml:space="preserve"> og IO i politiet</w:t>
      </w:r>
    </w:p>
    <w:p w14:paraId="4F66AA72" w14:textId="77777777" w:rsidR="000A2A2B" w:rsidRPr="007C3060" w:rsidRDefault="000A2A2B" w:rsidP="007C3060">
      <w:r w:rsidRPr="007C3060">
        <w:t xml:space="preserve">Forsinkelser i sentral systemutvikling i EU fører til kostnadsforskyvning knyttet til de nasjonale prosjektene Schengen informasjonssystem (SIS), Interoperabilitet (IO), Visuminformasjons-systemet (VIS) og det europeiske fingeravtrykk-systemet </w:t>
      </w:r>
      <w:proofErr w:type="spellStart"/>
      <w:r w:rsidRPr="007C3060">
        <w:t>Eurodac</w:t>
      </w:r>
      <w:proofErr w:type="spellEnd"/>
      <w:r w:rsidRPr="007C3060">
        <w:t xml:space="preserve"> i politiet i 2025. Det foreslås på denne bakgrunn å redusere bevilgningen på posten med 127,3 mill. kroner mot en tilsvarende økning senere år.</w:t>
      </w:r>
    </w:p>
    <w:p w14:paraId="30A5B7A0" w14:textId="77777777" w:rsidR="000A2A2B" w:rsidRPr="007C3060" w:rsidRDefault="000A2A2B" w:rsidP="007C3060">
      <w:pPr>
        <w:pStyle w:val="avsnitt-undertittel"/>
      </w:pPr>
      <w:r w:rsidRPr="007C3060">
        <w:t xml:space="preserve">Schengen IT- driftskostnader for SIS </w:t>
      </w:r>
      <w:proofErr w:type="spellStart"/>
      <w:r w:rsidRPr="007C3060">
        <w:t>recast</w:t>
      </w:r>
      <w:proofErr w:type="spellEnd"/>
      <w:r w:rsidRPr="007C3060">
        <w:t xml:space="preserve">, -Interoperabilitet og </w:t>
      </w:r>
      <w:proofErr w:type="spellStart"/>
      <w:r w:rsidRPr="007C3060">
        <w:t>Eurodac</w:t>
      </w:r>
      <w:proofErr w:type="spellEnd"/>
      <w:r w:rsidRPr="007C3060">
        <w:t xml:space="preserve"> i politiet</w:t>
      </w:r>
    </w:p>
    <w:p w14:paraId="6082314A" w14:textId="77777777" w:rsidR="000A2A2B" w:rsidRPr="007C3060" w:rsidRDefault="000A2A2B" w:rsidP="007C3060">
      <w:r w:rsidRPr="007C3060">
        <w:t xml:space="preserve">Driftskostnadene i prosjektperioden for Schengen IT-prosjektene SIS </w:t>
      </w:r>
      <w:proofErr w:type="spellStart"/>
      <w:r w:rsidRPr="007C3060">
        <w:t>recast</w:t>
      </w:r>
      <w:proofErr w:type="spellEnd"/>
      <w:r w:rsidRPr="007C3060">
        <w:t xml:space="preserve">, Interoperabilitet og </w:t>
      </w:r>
      <w:proofErr w:type="spellStart"/>
      <w:r w:rsidRPr="007C3060">
        <w:t>Eurodac</w:t>
      </w:r>
      <w:proofErr w:type="spellEnd"/>
      <w:r w:rsidRPr="007C3060">
        <w:t xml:space="preserve"> i politiet foreslås flyttet til kap. 440, post 01. Det foreslås på denne bakgrunn å redusere bevilgningen på post 46 med 56,9 mill. kroner, mot en tilsvarende økning av bevilgningen på kap. 440, post 01.</w:t>
      </w:r>
    </w:p>
    <w:p w14:paraId="7DA9DE9D" w14:textId="77777777" w:rsidR="000A2A2B" w:rsidRPr="007C3060" w:rsidRDefault="000A2A2B" w:rsidP="007C3060">
      <w:pPr>
        <w:pStyle w:val="avsnitt-undertittel"/>
      </w:pPr>
      <w:r w:rsidRPr="007C3060">
        <w:t>Schengen IT- investeringskostnader for EES/ETIAS i politiet</w:t>
      </w:r>
    </w:p>
    <w:p w14:paraId="78CE1B1A" w14:textId="77777777" w:rsidR="000A2A2B" w:rsidRPr="007C3060" w:rsidRDefault="000A2A2B" w:rsidP="007C3060">
      <w:r w:rsidRPr="007C3060">
        <w:t xml:space="preserve">Forsinkelser i sentral systemutvikling i EU fører til kostnadsforskyvning knyttet til politiets arbeid med IT-systemene </w:t>
      </w:r>
      <w:proofErr w:type="spellStart"/>
      <w:r w:rsidRPr="007C3060">
        <w:t>Entry</w:t>
      </w:r>
      <w:proofErr w:type="spellEnd"/>
      <w:r w:rsidRPr="007C3060">
        <w:t xml:space="preserve">/Exit System (EES) og European Travel Information and </w:t>
      </w:r>
      <w:proofErr w:type="spellStart"/>
      <w:r w:rsidRPr="007C3060">
        <w:t>Authorisation</w:t>
      </w:r>
      <w:proofErr w:type="spellEnd"/>
      <w:r w:rsidRPr="007C3060">
        <w:t xml:space="preserve"> System (ETIAS). Det foreslås på denne bakgrunn å redusere bevilgningen på posten med 40,4 mill. kroner, mot en tilsvarende oppjustering senere år.</w:t>
      </w:r>
    </w:p>
    <w:p w14:paraId="15F2AE35" w14:textId="77777777" w:rsidR="000A2A2B" w:rsidRPr="007C3060" w:rsidRDefault="000A2A2B" w:rsidP="007C3060">
      <w:pPr>
        <w:pStyle w:val="avsnitt-undertittel"/>
      </w:pPr>
      <w:r w:rsidRPr="007C3060">
        <w:t>Schengen IT- endret periodisering for Kystvakten og Småbåtregisterets tilknytning til SIS</w:t>
      </w:r>
    </w:p>
    <w:p w14:paraId="1A11E12D" w14:textId="77777777" w:rsidR="000A2A2B" w:rsidRPr="007C3060" w:rsidRDefault="000A2A2B" w:rsidP="007C3060">
      <w:r w:rsidRPr="007C3060">
        <w:t>I Saldert budsjett for 2025 er det bevilget 5,8 mill. kroner til arbeidet med Kystvaktens tilgang til SIS og Småbåtregisterets utveksling av informasjon med SIS i 2025. Arbeidet er forsinket på grunn av behov for å avklare roller og ansvar tilknyttet løsningene som skal utvikles. På denne bakgrunn foreslås det å redusere posten med 5,8 mill. kroner mot tilsvarende økning senere år.</w:t>
      </w:r>
    </w:p>
    <w:p w14:paraId="3AF83E7C" w14:textId="77777777" w:rsidR="000A2A2B" w:rsidRPr="007C3060" w:rsidRDefault="000A2A2B" w:rsidP="007C3060">
      <w:pPr>
        <w:pStyle w:val="avsnitt-undertittel"/>
      </w:pPr>
      <w:r w:rsidRPr="007C3060">
        <w:t>Oppsummering</w:t>
      </w:r>
    </w:p>
    <w:p w14:paraId="6081EB4B" w14:textId="77777777" w:rsidR="000A2A2B" w:rsidRPr="007C3060" w:rsidRDefault="000A2A2B" w:rsidP="007C3060">
      <w:r w:rsidRPr="007C3060">
        <w:t>Samlet foreslås det å redusere bevilgningen på kap. 440, post 46 med 230,3 mill. kroner.</w:t>
      </w:r>
    </w:p>
    <w:p w14:paraId="732C8AB0" w14:textId="77777777" w:rsidR="000A2A2B" w:rsidRPr="007C3060" w:rsidRDefault="000A2A2B" w:rsidP="007C3060">
      <w:pPr>
        <w:pStyle w:val="b-post"/>
      </w:pPr>
      <w:r w:rsidRPr="007C3060">
        <w:t>Post 48 Tildeling fra EUs grense- og visum-finansieringsordninger, kan overføres</w:t>
      </w:r>
    </w:p>
    <w:p w14:paraId="0ED1781A" w14:textId="77777777" w:rsidR="000A2A2B" w:rsidRPr="007C3060" w:rsidRDefault="000A2A2B" w:rsidP="007C3060">
      <w:r w:rsidRPr="007C3060">
        <w:t>Det er gjort justeringer i tildelingen fra EUs grense- og visumfinansieringsordning (BMVI) i 2025. Endringene gjelder blant annet endret periodisering for BMVI-støtte til Schengen IT-prosjektet for Interoperabilitet i politiet og en tildeling fra BMVI til gjennomføring av asyl- og migrasjonspakten i 2025 i politiet og UDI. På denne bakgrunn foreslås det å redusere bevilgningen på posten med 8,9 mill. kroner.</w:t>
      </w:r>
    </w:p>
    <w:p w14:paraId="14F94228" w14:textId="1DAD88B4" w:rsidR="000A2A2B" w:rsidRPr="007C3060" w:rsidRDefault="000A2A2B" w:rsidP="007C3060">
      <w:pPr>
        <w:pStyle w:val="b-post"/>
      </w:pPr>
      <w:r w:rsidRPr="007C3060">
        <w:lastRenderedPageBreak/>
        <w:t>Post 73 Internasjonale forpliktelser, mv.,</w:t>
      </w:r>
      <w:r w:rsidR="00AC1986">
        <w:t xml:space="preserve"> </w:t>
      </w:r>
      <w:r w:rsidRPr="007C3060">
        <w:t>kan overføres</w:t>
      </w:r>
    </w:p>
    <w:p w14:paraId="396BC1A9" w14:textId="77777777" w:rsidR="000A2A2B" w:rsidRPr="007C3060" w:rsidRDefault="000A2A2B" w:rsidP="007C3060">
      <w:r w:rsidRPr="007C3060">
        <w:t xml:space="preserve">Det er bevilget 703,6 mill. kroner til politiets andel av Norges internasjonale kontingentforpliktelser for 2025. Det gjelder blant annet Norges kontingent til </w:t>
      </w:r>
      <w:proofErr w:type="spellStart"/>
      <w:r w:rsidRPr="007C3060">
        <w:t>Frontex</w:t>
      </w:r>
      <w:proofErr w:type="spellEnd"/>
      <w:r w:rsidRPr="007C3060">
        <w:t>, politiets andel av kontingentene til EUs IT-byrå (</w:t>
      </w:r>
      <w:proofErr w:type="spellStart"/>
      <w:r w:rsidRPr="007C3060">
        <w:t>eu</w:t>
      </w:r>
      <w:proofErr w:type="spellEnd"/>
      <w:r w:rsidRPr="007C3060">
        <w:t>-LISA) og Norges bidrag til EUs grense- og visumfinansieringsordning (BMVI). På bakgrunn av endret valutakurs og regnskapstall foreslås det å øke bevilgningen på posten med 26,4 mill. kroner.</w:t>
      </w:r>
    </w:p>
    <w:p w14:paraId="75F15505" w14:textId="77777777" w:rsidR="000A2A2B" w:rsidRPr="007C3060" w:rsidRDefault="000A2A2B" w:rsidP="007C3060">
      <w:pPr>
        <w:pStyle w:val="b-budkaptit"/>
      </w:pPr>
      <w:r w:rsidRPr="007C3060">
        <w:t>Kap. 3440 Politiet</w:t>
      </w:r>
    </w:p>
    <w:p w14:paraId="46579ED9" w14:textId="77777777" w:rsidR="000A2A2B" w:rsidRPr="007C3060" w:rsidRDefault="000A2A2B" w:rsidP="007C3060">
      <w:pPr>
        <w:pStyle w:val="b-post"/>
      </w:pPr>
      <w:r w:rsidRPr="007C3060">
        <w:t>Post 01 Gebyr – pass og ID-kort</w:t>
      </w:r>
    </w:p>
    <w:p w14:paraId="2A75B264" w14:textId="77777777" w:rsidR="000A2A2B" w:rsidRPr="007C3060" w:rsidRDefault="000A2A2B" w:rsidP="007C3060">
      <w:r w:rsidRPr="007C3060">
        <w:t>Som følge av redusert etterspørsel etter pass og ID-kort er det i år ventet at det vil bli utstedt færre ID-dokumenter enn planlagt. Det foreslås derfor å redusere bevilgningen på posten med 195,9 mill. kroner. Se også omtale under kap. 440, post 01.</w:t>
      </w:r>
    </w:p>
    <w:p w14:paraId="00496BB7" w14:textId="77777777" w:rsidR="000A2A2B" w:rsidRPr="007C3060" w:rsidRDefault="000A2A2B" w:rsidP="007C3060">
      <w:pPr>
        <w:pStyle w:val="b-post"/>
      </w:pPr>
      <w:r w:rsidRPr="007C3060">
        <w:t>Post 06 Gebyr – utlendingssaker</w:t>
      </w:r>
    </w:p>
    <w:p w14:paraId="1BB6069A" w14:textId="77777777" w:rsidR="000A2A2B" w:rsidRPr="007C3060" w:rsidRDefault="000A2A2B" w:rsidP="007C3060">
      <w:r w:rsidRPr="007C3060">
        <w:t>Oppdaterte prognoser tilsier at gebyrinntektene for utlendingssaker blir noe høyere enn lagt til grunn i Saldert budsjett 2025. Økningen skyldes en forventet økning i saksinngangen i søknader om arbeidstillatelse og statsborgerskap.</w:t>
      </w:r>
    </w:p>
    <w:p w14:paraId="3128017D" w14:textId="77777777" w:rsidR="000A2A2B" w:rsidRPr="007C3060" w:rsidRDefault="000A2A2B" w:rsidP="007C3060">
      <w:r w:rsidRPr="007C3060">
        <w:t>Det foreslås på denne bakgrunn å øke bevilgningen på posten med 806 000 kroner.</w:t>
      </w:r>
    </w:p>
    <w:p w14:paraId="66CDDB78" w14:textId="77777777" w:rsidR="000A2A2B" w:rsidRPr="007C3060" w:rsidRDefault="000A2A2B" w:rsidP="007C3060">
      <w:pPr>
        <w:pStyle w:val="b-budkaptit"/>
      </w:pPr>
      <w:r w:rsidRPr="007C3060">
        <w:t>Kap. 441 Politidirektoratet</w:t>
      </w:r>
    </w:p>
    <w:p w14:paraId="02697A3E" w14:textId="77777777" w:rsidR="000A2A2B" w:rsidRPr="007C3060" w:rsidRDefault="000A2A2B" w:rsidP="007C3060">
      <w:pPr>
        <w:pStyle w:val="b-post"/>
      </w:pPr>
      <w:r w:rsidRPr="007C3060">
        <w:t>Post 01 Driftsutgifter, kan nyttes under kap. 440, post 1</w:t>
      </w:r>
    </w:p>
    <w:p w14:paraId="2383425D" w14:textId="77777777" w:rsidR="000A2A2B" w:rsidRPr="007C3060" w:rsidRDefault="000A2A2B" w:rsidP="007C3060">
      <w:r w:rsidRPr="007C3060">
        <w:t xml:space="preserve">Jf. </w:t>
      </w:r>
      <w:proofErr w:type="spellStart"/>
      <w:r w:rsidRPr="007C3060">
        <w:t>Prop</w:t>
      </w:r>
      <w:proofErr w:type="spellEnd"/>
      <w:r w:rsidRPr="007C3060">
        <w:t>. 1 S (2024–2025) er det bevilget midler over kap. 440, post 01 for å styrke grunnfinansieringen i politiet. Fordi bevilgningen til politiets virksomhet gis over flere kapitler, må forholdsmessige deler av beløpet flyttes til kap. 441, post 01. På denne bakgrunn foreslås det å øke bevilgningen på kap. 441, post 01 med 6,7 mill. kroner mot tilsvarende reduksjon på kap. 440, post 01.</w:t>
      </w:r>
    </w:p>
    <w:p w14:paraId="7D95B935" w14:textId="77777777" w:rsidR="000A2A2B" w:rsidRPr="007C3060" w:rsidRDefault="000A2A2B" w:rsidP="007C3060">
      <w:pPr>
        <w:pStyle w:val="b-budkaptit"/>
      </w:pPr>
      <w:r w:rsidRPr="007C3060">
        <w:t>Kap. 442 Politihøgskolen</w:t>
      </w:r>
    </w:p>
    <w:p w14:paraId="73EF2BC6" w14:textId="77777777" w:rsidR="000A2A2B" w:rsidRPr="007C3060" w:rsidRDefault="000A2A2B" w:rsidP="007C3060">
      <w:pPr>
        <w:pStyle w:val="b-post"/>
      </w:pPr>
      <w:r w:rsidRPr="007C3060">
        <w:t>Post 01 Driftsutgifter</w:t>
      </w:r>
    </w:p>
    <w:p w14:paraId="396F3F25" w14:textId="77777777" w:rsidR="000A2A2B" w:rsidRPr="007C3060" w:rsidRDefault="000A2A2B" w:rsidP="007C3060">
      <w:r w:rsidRPr="007C3060">
        <w:t xml:space="preserve">Jf. </w:t>
      </w:r>
      <w:proofErr w:type="spellStart"/>
      <w:r w:rsidRPr="007C3060">
        <w:t>Prop</w:t>
      </w:r>
      <w:proofErr w:type="spellEnd"/>
      <w:r w:rsidRPr="007C3060">
        <w:t>. 1 S (2024–2025) er det bevilget midler over kap. 440, post 01 for å styrke grunnfinansieringen i politiet. Fordi bevilgningen til politiets virksomhet gis over flere kapitler, må forholdsmessige deler av beløpet flyttes til kap. 442, post 01. På denne bakgrunn foreslås det å øke bevilgningen på kap. 442, post 01 med 11,6 mill. kroner mot tilsvarende reduksjon på kap. 440, post 01.</w:t>
      </w:r>
    </w:p>
    <w:p w14:paraId="7BD63DCA" w14:textId="77777777" w:rsidR="000A2A2B" w:rsidRPr="007C3060" w:rsidRDefault="000A2A2B" w:rsidP="007C3060">
      <w:pPr>
        <w:pStyle w:val="b-budkaptit"/>
      </w:pPr>
      <w:r w:rsidRPr="007C3060">
        <w:lastRenderedPageBreak/>
        <w:t>Kap. 443 Påtalemyndigheten i politiet</w:t>
      </w:r>
    </w:p>
    <w:p w14:paraId="650D55EF" w14:textId="77777777" w:rsidR="000A2A2B" w:rsidRPr="007C3060" w:rsidRDefault="000A2A2B" w:rsidP="007C3060">
      <w:pPr>
        <w:pStyle w:val="b-post"/>
      </w:pPr>
      <w:r w:rsidRPr="007C3060">
        <w:t>Post 01 Driftsutgifter, kan nyttes under kap. 440, post 1</w:t>
      </w:r>
    </w:p>
    <w:p w14:paraId="4BA68CDD" w14:textId="77777777" w:rsidR="000A2A2B" w:rsidRPr="007C3060" w:rsidRDefault="000A2A2B" w:rsidP="007C3060">
      <w:pPr>
        <w:pStyle w:val="avsnitt-undertittel"/>
      </w:pPr>
      <w:r w:rsidRPr="007C3060">
        <w:t>Korrekt postbruk – flytting av midler ifm. -grunnfinansiering i politiet</w:t>
      </w:r>
    </w:p>
    <w:p w14:paraId="4F76C85C" w14:textId="77777777" w:rsidR="000A2A2B" w:rsidRPr="007C3060" w:rsidRDefault="000A2A2B" w:rsidP="007C3060">
      <w:r w:rsidRPr="007C3060">
        <w:t xml:space="preserve">Jf. </w:t>
      </w:r>
      <w:proofErr w:type="spellStart"/>
      <w:r w:rsidRPr="007C3060">
        <w:t>Prop</w:t>
      </w:r>
      <w:proofErr w:type="spellEnd"/>
      <w:r w:rsidRPr="007C3060">
        <w:t>. 1 S (2024–2025) er det bevilget midler over kap. 440, post 01 for å styrke grunnfinansieringen i politiet. Fordi bevilgningen til politiets virksomhet gis over flere kapitler, må forholdsmessige deler av beløpet flyttes til kap. 443, post 01. På denne bakgrunn foreslås det å øke bevilgningen på kap. 443, post 01 med 33,1 mill. kroner mot tilsvarende reduksjon på kap. 440, post 01.</w:t>
      </w:r>
    </w:p>
    <w:p w14:paraId="1AF1559B" w14:textId="77777777" w:rsidR="000A2A2B" w:rsidRPr="007C3060" w:rsidRDefault="000A2A2B" w:rsidP="007C3060">
      <w:pPr>
        <w:pStyle w:val="avsnitt-undertittel"/>
      </w:pPr>
      <w:r w:rsidRPr="007C3060">
        <w:t>Korrekt postbruk – hurtigspor til påtalemyndigheten i politiet</w:t>
      </w:r>
    </w:p>
    <w:p w14:paraId="376DC92A" w14:textId="77777777" w:rsidR="000A2A2B" w:rsidRPr="007C3060" w:rsidRDefault="000A2A2B" w:rsidP="007C3060">
      <w:r w:rsidRPr="007C3060">
        <w:t>På kap. 440, post 01 ble det bevilget midler til etablering av hurtigspor for behandling av straffesaker der gjerningspersonen er under 18 år. For å bruke riktig budsjettpost foreslås det å øke bevilgningen på kap. 443, post 01 med 5 mill. kroner mot tilsvarende reduksjon på kap. 440, post 01.</w:t>
      </w:r>
    </w:p>
    <w:p w14:paraId="09CB3065" w14:textId="77777777" w:rsidR="000A2A2B" w:rsidRPr="007C3060" w:rsidRDefault="000A2A2B" w:rsidP="007C3060">
      <w:pPr>
        <w:pStyle w:val="avsnitt-undertittel"/>
      </w:pPr>
      <w:r w:rsidRPr="007C3060">
        <w:t>Oppsummering</w:t>
      </w:r>
    </w:p>
    <w:p w14:paraId="530C47E4" w14:textId="77777777" w:rsidR="000A2A2B" w:rsidRPr="007C3060" w:rsidRDefault="000A2A2B" w:rsidP="007C3060">
      <w:r w:rsidRPr="007C3060">
        <w:t>Samlet foreslås det å øke bevilgningen på kap. 443, post 01 med 38,1 mill. kroner.</w:t>
      </w:r>
    </w:p>
    <w:p w14:paraId="192ECE52" w14:textId="77777777" w:rsidR="000A2A2B" w:rsidRPr="007C3060" w:rsidRDefault="000A2A2B" w:rsidP="007C3060">
      <w:pPr>
        <w:pStyle w:val="b-budkaptit"/>
      </w:pPr>
      <w:r w:rsidRPr="007C3060">
        <w:t>Kap. 444 Politiets sikkerhetstjeneste (PST)</w:t>
      </w:r>
    </w:p>
    <w:p w14:paraId="33ADE71F" w14:textId="77777777" w:rsidR="000A2A2B" w:rsidRPr="007C3060" w:rsidRDefault="000A2A2B" w:rsidP="007C3060">
      <w:pPr>
        <w:pStyle w:val="b-post"/>
      </w:pPr>
      <w:r w:rsidRPr="007C3060">
        <w:t>Post 01 Driftsutgifter</w:t>
      </w:r>
    </w:p>
    <w:p w14:paraId="3188671B" w14:textId="77777777" w:rsidR="000A2A2B" w:rsidRPr="007C3060" w:rsidRDefault="000A2A2B" w:rsidP="007C3060">
      <w:r w:rsidRPr="007C3060">
        <w:t>Aktivitetsnivået i PST har vært høyt i 2025, noe som henger sammen med den sikkerhetspolitiske situasjon og trusselbildet. Det foreslås å øke bevilgningen på kap. 444, post 01 med 10 mill. kroner.</w:t>
      </w:r>
    </w:p>
    <w:p w14:paraId="58E83E4A" w14:textId="77777777" w:rsidR="000A2A2B" w:rsidRPr="007C3060" w:rsidRDefault="000A2A2B" w:rsidP="007C3060">
      <w:pPr>
        <w:pStyle w:val="b-post"/>
      </w:pPr>
      <w:r w:rsidRPr="007C3060">
        <w:t>Post 45 Større utstyrsanskaffelser og vedlikehold, kan overføres</w:t>
      </w:r>
    </w:p>
    <w:p w14:paraId="60AA81A9" w14:textId="77777777" w:rsidR="000A2A2B" w:rsidRPr="007C3060" w:rsidRDefault="000A2A2B" w:rsidP="007C3060">
      <w:r w:rsidRPr="007C3060">
        <w:t>Det foreslås å øke bestillingsfullmakten som gjelder for kap. 444, post 45 i 2025 med 8 mill. kroner, fra 25 mill. kroner til 33 mill. kroner, jf. forslag til romertallsvedtak.</w:t>
      </w:r>
    </w:p>
    <w:p w14:paraId="083D1600" w14:textId="77777777" w:rsidR="000A2A2B" w:rsidRPr="007C3060" w:rsidRDefault="000A2A2B" w:rsidP="007C3060">
      <w:pPr>
        <w:pStyle w:val="b-budkaptit"/>
      </w:pPr>
      <w:r w:rsidRPr="007C3060">
        <w:t>Kap. 445 Den høyere påtalemyndighet</w:t>
      </w:r>
    </w:p>
    <w:p w14:paraId="2A81BD2B" w14:textId="77777777" w:rsidR="000A2A2B" w:rsidRPr="007C3060" w:rsidRDefault="000A2A2B" w:rsidP="007C3060">
      <w:pPr>
        <w:pStyle w:val="b-post"/>
      </w:pPr>
      <w:r w:rsidRPr="007C3060">
        <w:t>Post 01 Driftsutgifter</w:t>
      </w:r>
    </w:p>
    <w:p w14:paraId="4E42D2D1" w14:textId="77777777" w:rsidR="000A2A2B" w:rsidRPr="007C3060" w:rsidRDefault="000A2A2B" w:rsidP="007C3060">
      <w:r w:rsidRPr="007C3060">
        <w:t>Generaladvokatembetet ble avviklet sommeren 2024, og de ansatte er flyttet til Den høyere påtalemyndighet og Forsvaret. Bevilgningen til Den høyere påtalemyndighet er økt med 225 000 kroner som følge av lønnsoppgjøret i 2024. På denne bakgrunn foreslås det å øke bevilgningen på kap. 445, post 01 med 235 000 kroner, mot en tilsvarende reduksjon på kap. 446, post 01. Se også omtale under kap. 446, post 01.</w:t>
      </w:r>
    </w:p>
    <w:p w14:paraId="749E7E9A" w14:textId="77777777" w:rsidR="000A2A2B" w:rsidRPr="007C3060" w:rsidRDefault="000A2A2B" w:rsidP="007C3060">
      <w:pPr>
        <w:pStyle w:val="b-budkaptit"/>
      </w:pPr>
      <w:r w:rsidRPr="007C3060">
        <w:lastRenderedPageBreak/>
        <w:t>Kap. 446 Den militære påtalemyndighet</w:t>
      </w:r>
    </w:p>
    <w:p w14:paraId="7F6BE29C" w14:textId="77777777" w:rsidR="000A2A2B" w:rsidRPr="007C3060" w:rsidRDefault="000A2A2B" w:rsidP="007C3060">
      <w:pPr>
        <w:pStyle w:val="b-post"/>
      </w:pPr>
      <w:r w:rsidRPr="007C3060">
        <w:t>Post 01 Driftsutgifter</w:t>
      </w:r>
    </w:p>
    <w:p w14:paraId="68E186DC" w14:textId="77777777" w:rsidR="000A2A2B" w:rsidRPr="007C3060" w:rsidRDefault="000A2A2B" w:rsidP="007C3060">
      <w:r w:rsidRPr="007C3060">
        <w:t>I Saldert budsjett 2025 fikk Generaladvokatembetet tildelt 235 000 kroner i forbindelse med lønnsoppgjøret for 2024. Generaladvokatembetet ble avviklet sommeren 2024, og de ansatte er flyttet til Den høyere påtalemyndighet og Forsvaret. På denne bakgrunn foreslås det å redusere bevilg-</w:t>
      </w:r>
      <w:proofErr w:type="spellStart"/>
      <w:r w:rsidRPr="007C3060">
        <w:t>ningen</w:t>
      </w:r>
      <w:proofErr w:type="spellEnd"/>
      <w:r w:rsidRPr="007C3060">
        <w:t xml:space="preserve"> på kap. 446, post 01 med 235 000 kroner til 0 kroner, mot en tilsvarende økning på kap. 445, post 01.</w:t>
      </w:r>
    </w:p>
    <w:p w14:paraId="2EFFA06E" w14:textId="77777777" w:rsidR="000A2A2B" w:rsidRPr="007C3060" w:rsidRDefault="000A2A2B" w:rsidP="007C3060">
      <w:pPr>
        <w:pStyle w:val="b-budkaptit"/>
      </w:pPr>
      <w:r w:rsidRPr="007C3060">
        <w:t>Kap. 448 Grensekommissæren</w:t>
      </w:r>
    </w:p>
    <w:p w14:paraId="1FBA7521" w14:textId="77777777" w:rsidR="000A2A2B" w:rsidRPr="007C3060" w:rsidRDefault="000A2A2B" w:rsidP="007C3060">
      <w:pPr>
        <w:pStyle w:val="b-post"/>
      </w:pPr>
      <w:r w:rsidRPr="007C3060">
        <w:t>Post 01 Driftsutgifter</w:t>
      </w:r>
    </w:p>
    <w:p w14:paraId="4F2C2C4F" w14:textId="77777777" w:rsidR="000A2A2B" w:rsidRPr="007C3060" w:rsidRDefault="000A2A2B" w:rsidP="007C3060">
      <w:r w:rsidRPr="007C3060">
        <w:t xml:space="preserve">Jf. </w:t>
      </w:r>
      <w:proofErr w:type="spellStart"/>
      <w:r w:rsidRPr="007C3060">
        <w:t>Prop</w:t>
      </w:r>
      <w:proofErr w:type="spellEnd"/>
      <w:r w:rsidRPr="007C3060">
        <w:t>. 1 S (2024–2025) er det bevilget midler over kap. 440, post 01 for å styrke grunnfinansieringen i politiet. Fordi bevilgningen til politiets virksomhet gis over flere kapitler, må forholdsmessige deler av beløpet flyttes til kap. 448, post 01. På denne bakgrunn foreslås det å øke bevilgningen på kap. 448, post 01 med 850 000 kroner mot tilsvarende reduksjon på kap. 440, post 01.</w:t>
      </w:r>
    </w:p>
    <w:p w14:paraId="6CACAAD0" w14:textId="77777777" w:rsidR="000A2A2B" w:rsidRPr="007C3060" w:rsidRDefault="000A2A2B" w:rsidP="007C3060">
      <w:pPr>
        <w:pStyle w:val="b-budkaptit"/>
      </w:pPr>
      <w:r w:rsidRPr="007C3060">
        <w:t>Kap. 451 Direktoratet for samfunnssikkerhet og beredskap</w:t>
      </w:r>
    </w:p>
    <w:p w14:paraId="3721DEC8" w14:textId="77777777" w:rsidR="000A2A2B" w:rsidRPr="007C3060" w:rsidRDefault="000A2A2B" w:rsidP="007C3060">
      <w:pPr>
        <w:pStyle w:val="b-post"/>
      </w:pPr>
      <w:r w:rsidRPr="007C3060">
        <w:t>Post 01 Driftsutgifter</w:t>
      </w:r>
    </w:p>
    <w:p w14:paraId="296C63D1" w14:textId="77777777" w:rsidR="000A2A2B" w:rsidRPr="007C3060" w:rsidRDefault="000A2A2B" w:rsidP="007C3060">
      <w:r w:rsidRPr="007C3060">
        <w:t>I Saldert budsjett 2025 er det satt av midler til et gradert konsept for regjeringens innsats i krise og krig. Bevilgningen foreslås i den forbindelse økt med 2 mill. kroner, mot en tilsvarende reduksjon under Forsvarsdepartementets kap. 1710, post 01.</w:t>
      </w:r>
    </w:p>
    <w:p w14:paraId="3E3E1581" w14:textId="77777777" w:rsidR="000A2A2B" w:rsidRPr="007C3060" w:rsidRDefault="000A2A2B" w:rsidP="007C3060">
      <w:pPr>
        <w:pStyle w:val="b-post"/>
      </w:pPr>
      <w:r w:rsidRPr="007C3060">
        <w:t>Post 45 Større utstyrsanskaffelser og vedlikehold, kan overføres</w:t>
      </w:r>
    </w:p>
    <w:p w14:paraId="6ECBC1C3" w14:textId="77777777" w:rsidR="000A2A2B" w:rsidRPr="007C3060" w:rsidRDefault="000A2A2B" w:rsidP="007C3060">
      <w:r w:rsidRPr="007C3060">
        <w:t>I Saldert budsjett 2025 er det satt av midler til et gradert konsept for regjeringens innsats i krise og krig. Bevilgningen foreslås i den forbindelse økt med 43 mill. kroner, mot en tilsvarende reduksjon under Forsvarsdepartementets kap. 1710, post 01.</w:t>
      </w:r>
    </w:p>
    <w:p w14:paraId="19D5561F" w14:textId="77777777" w:rsidR="000A2A2B" w:rsidRPr="007C3060" w:rsidRDefault="000A2A2B" w:rsidP="007C3060">
      <w:pPr>
        <w:pStyle w:val="b-budkaptit"/>
      </w:pPr>
      <w:r w:rsidRPr="007C3060">
        <w:t>Kap. 454 Redningshelikoptertjenesten</w:t>
      </w:r>
    </w:p>
    <w:p w14:paraId="2855958A" w14:textId="77777777" w:rsidR="000A2A2B" w:rsidRPr="007C3060" w:rsidRDefault="000A2A2B" w:rsidP="007C3060">
      <w:pPr>
        <w:pStyle w:val="b-post"/>
      </w:pPr>
      <w:r w:rsidRPr="007C3060">
        <w:t>Post 01 Driftsutgifter</w:t>
      </w:r>
    </w:p>
    <w:p w14:paraId="7656A466" w14:textId="77777777" w:rsidR="000A2A2B" w:rsidRPr="007C3060" w:rsidRDefault="000A2A2B" w:rsidP="007C3060">
      <w:pPr>
        <w:pStyle w:val="avsnitt-undertittel"/>
      </w:pPr>
      <w:r w:rsidRPr="007C3060">
        <w:t>Ordinær redningshelikoptertjeneste</w:t>
      </w:r>
    </w:p>
    <w:p w14:paraId="74EDD204" w14:textId="77777777" w:rsidR="000A2A2B" w:rsidRPr="007C3060" w:rsidRDefault="000A2A2B" w:rsidP="007C3060">
      <w:r w:rsidRPr="007C3060">
        <w:t>Som følge av økte valutakurser foreslås det å øke bevilgningen til driften av den sivile redningshelikopterbasen i Tromsø med 4,7 mill. kroner.</w:t>
      </w:r>
    </w:p>
    <w:p w14:paraId="629ED21F" w14:textId="77777777" w:rsidR="000A2A2B" w:rsidRPr="007C3060" w:rsidRDefault="000A2A2B" w:rsidP="007C3060">
      <w:pPr>
        <w:pStyle w:val="avsnitt-undertittel"/>
      </w:pPr>
      <w:r w:rsidRPr="007C3060">
        <w:lastRenderedPageBreak/>
        <w:t>Flyværtjenesten på Bjørnøya</w:t>
      </w:r>
    </w:p>
    <w:p w14:paraId="01EFD40B" w14:textId="77777777" w:rsidR="000A2A2B" w:rsidRPr="007C3060" w:rsidRDefault="000A2A2B" w:rsidP="007C3060">
      <w:r w:rsidRPr="007C3060">
        <w:t>Det foreslås å redusere bevilgningen på kap. 454, post 01 med 775 000 kroner mot en tilsvarende økning på kap. 480, post 50 Svalbardbudsjettet. Omdisponeringen skal delfinansiere flyværtjenester som leveres fra Meteorologisk institutt på Bjørnøya.</w:t>
      </w:r>
    </w:p>
    <w:p w14:paraId="68A6693C" w14:textId="77777777" w:rsidR="000A2A2B" w:rsidRPr="007C3060" w:rsidRDefault="000A2A2B" w:rsidP="007C3060">
      <w:pPr>
        <w:pStyle w:val="avsnitt-undertittel"/>
      </w:pPr>
      <w:r w:rsidRPr="007C3060">
        <w:t>Oppsummering</w:t>
      </w:r>
    </w:p>
    <w:p w14:paraId="53200854" w14:textId="77777777" w:rsidR="000A2A2B" w:rsidRPr="007C3060" w:rsidRDefault="000A2A2B" w:rsidP="007C3060">
      <w:r w:rsidRPr="007C3060">
        <w:t>Samlet foreslås det å øke bevilgningen på kap. 454, post 01 med 3,9 mill. kroner.</w:t>
      </w:r>
    </w:p>
    <w:p w14:paraId="0EEC4DB8" w14:textId="77777777" w:rsidR="000A2A2B" w:rsidRPr="007C3060" w:rsidRDefault="000A2A2B" w:rsidP="007C3060">
      <w:pPr>
        <w:pStyle w:val="b-post"/>
      </w:pPr>
      <w:r w:rsidRPr="007C3060">
        <w:t>Post 45 Større utstyrsanskaffelser og vedlikehold, kan overføres</w:t>
      </w:r>
    </w:p>
    <w:p w14:paraId="1A6E3F19" w14:textId="77777777" w:rsidR="000A2A2B" w:rsidRPr="007C3060" w:rsidRDefault="000A2A2B" w:rsidP="007C3060">
      <w:pPr>
        <w:pStyle w:val="avsnitt-undertittel"/>
      </w:pPr>
      <w:r w:rsidRPr="007C3060">
        <w:t>Anskaffelse av redningshelikoptre</w:t>
      </w:r>
    </w:p>
    <w:p w14:paraId="12775EDA" w14:textId="77777777" w:rsidR="000A2A2B" w:rsidRPr="007C3060" w:rsidRDefault="000A2A2B" w:rsidP="007C3060">
      <w:r w:rsidRPr="007C3060">
        <w:t>Justis- og beredskapsdepartementet inngikk i desember 2013 kontrakt for anskaffelse av 16 nye redningshelikoptre. Anskaffelsen er nå gjennomført og nye SAR Queen-helikoptrene er satt i drift på alle seks redningsbasene. I tillegg til de nye redningshelikoptrene, omfatter kostnadsrammen utgifter til blant annet bygningsmessige tilpasninger ved redningshelikopterbasene og tilpasning av landingsmulighetene ved enkelte sykehus.</w:t>
      </w:r>
    </w:p>
    <w:p w14:paraId="087E9097" w14:textId="77777777" w:rsidR="000A2A2B" w:rsidRPr="007C3060" w:rsidRDefault="000A2A2B" w:rsidP="007C3060">
      <w:r w:rsidRPr="007C3060">
        <w:t>På grunn av forsinkelser i prosjektet ble en rekke kostnader skjøvet fra 2024 til 2025. Utgiftene som ble forskjøvet fra 2024 til 2025 knytter seg til avtalen med helikopterleverandøren, oppgradering av landingsplasser ved sykehus, eiendom, bygg og anlegg, IKT og kommunikasjonsutstyr. Utgiftene øker også noe i 2025 som følge av høyere valutakurser. Forsinkelser i prosjektet medfører dagbøter til helikopterleverandøren, i tillegg til at innføringsprosjektet i Forsvaret avvikles etter at siste base ble satt i drift oktober 2024. På bakgrunn av ovennevnte forhold foreslås det å øke bevilgningen på posten med 418,5 mill. kroner.</w:t>
      </w:r>
    </w:p>
    <w:p w14:paraId="7A7D9797" w14:textId="77777777" w:rsidR="000A2A2B" w:rsidRPr="007C3060" w:rsidRDefault="000A2A2B" w:rsidP="007C3060">
      <w:pPr>
        <w:pStyle w:val="avsnitt-undertittel"/>
      </w:pPr>
      <w:r w:rsidRPr="007C3060">
        <w:t>Ny redningshelikopterbase i Bodø</w:t>
      </w:r>
    </w:p>
    <w:p w14:paraId="3F2D7889" w14:textId="77777777" w:rsidR="000A2A2B" w:rsidRPr="007C3060" w:rsidRDefault="000A2A2B" w:rsidP="007C3060">
      <w:r w:rsidRPr="007C3060">
        <w:t>Som følge av at flyplassen i Bodø flyttes, skal det bygges en ny redningshelikopterbase ved den nye lufthavnen. Det er behov for å gjøre tilpasninger i prosjektet for ny redningshelikopterbase til hovedprosjektet om flytting av Bodø lufthavn. Tilpasningene skal gi en mest mulig kostnadseffektiv gjennomføring av prosjektene sett under ett. På denne bakgrunn foreslås det å øke bevilgningen på posten med 16,1 mill. kroner. Se nærmere omtale av prosjektet for bygging av ny redningshelikopterbase i Bodø under overskriften Andre saker.</w:t>
      </w:r>
    </w:p>
    <w:p w14:paraId="4E760333" w14:textId="77777777" w:rsidR="000A2A2B" w:rsidRPr="007C3060" w:rsidRDefault="000A2A2B" w:rsidP="007C3060">
      <w:pPr>
        <w:pStyle w:val="avsnitt-undertittel"/>
      </w:pPr>
      <w:r w:rsidRPr="007C3060">
        <w:t>Oppsummering</w:t>
      </w:r>
    </w:p>
    <w:p w14:paraId="206596CB" w14:textId="77777777" w:rsidR="000A2A2B" w:rsidRPr="007C3060" w:rsidRDefault="000A2A2B" w:rsidP="007C3060">
      <w:r w:rsidRPr="007C3060">
        <w:t>Samlet foreslås det å øke bevilgningen på kap. 454, post 45 med 434,6 mill. kroner.</w:t>
      </w:r>
    </w:p>
    <w:p w14:paraId="7456A65C" w14:textId="77777777" w:rsidR="000A2A2B" w:rsidRPr="007C3060" w:rsidRDefault="000A2A2B" w:rsidP="007C3060">
      <w:pPr>
        <w:pStyle w:val="b-budkaptit"/>
      </w:pPr>
      <w:r w:rsidRPr="007C3060">
        <w:t>Kap. 455 Redningstjenesten</w:t>
      </w:r>
    </w:p>
    <w:p w14:paraId="3B39159A" w14:textId="77777777" w:rsidR="000A2A2B" w:rsidRPr="007C3060" w:rsidRDefault="000A2A2B" w:rsidP="007C3060">
      <w:pPr>
        <w:pStyle w:val="b-post"/>
      </w:pPr>
      <w:r w:rsidRPr="007C3060">
        <w:t>Post 21 Spesielle driftsutgifter</w:t>
      </w:r>
    </w:p>
    <w:p w14:paraId="17FE8A4B" w14:textId="77777777" w:rsidR="000A2A2B" w:rsidRPr="007C3060" w:rsidRDefault="000A2A2B" w:rsidP="007C3060">
      <w:r w:rsidRPr="007C3060">
        <w:t xml:space="preserve">Bevilgningen omfatter utgifter til å engasjere private selskap, for eksempel helikopterselskap og frivillige redningsorganisasjoner i konkrete redningstilfeller. Videre omfatter bevilgningen refusjon til frivillige hjelpere for innsats i redningstjenesten, til forbruk og erstatning av tapt </w:t>
      </w:r>
      <w:r w:rsidRPr="007C3060">
        <w:lastRenderedPageBreak/>
        <w:t>materiell med videre. Forbruket på posten er vanskelig å beregne, siden utgifter varierer med antall redningsaksjoner. Utgiften på posten har vært stigende over flere år, som følge av en generell økning i antall hendelser, samt en økning i bruk av ressurser til maritime søk og redning.</w:t>
      </w:r>
    </w:p>
    <w:p w14:paraId="1B0C0E74" w14:textId="77777777" w:rsidR="000A2A2B" w:rsidRPr="007C3060" w:rsidRDefault="000A2A2B" w:rsidP="007C3060">
      <w:r w:rsidRPr="007C3060">
        <w:t>Det foreslås å øke bevilgningen på posten med 8 mill. kroner.</w:t>
      </w:r>
    </w:p>
    <w:p w14:paraId="38933C40" w14:textId="77777777" w:rsidR="000A2A2B" w:rsidRPr="007C3060" w:rsidRDefault="000A2A2B" w:rsidP="007C3060">
      <w:pPr>
        <w:pStyle w:val="b-budkaptit"/>
      </w:pPr>
      <w:r w:rsidRPr="007C3060">
        <w:t>Kap. 457 Nasjonal sikkerhetsmyndighet</w:t>
      </w:r>
    </w:p>
    <w:p w14:paraId="037B415D" w14:textId="77777777" w:rsidR="000A2A2B" w:rsidRPr="007C3060" w:rsidRDefault="000A2A2B" w:rsidP="007C3060">
      <w:pPr>
        <w:pStyle w:val="b-post"/>
      </w:pPr>
      <w:r w:rsidRPr="007C3060">
        <w:t>Post 01 Driftsutgifter</w:t>
      </w:r>
    </w:p>
    <w:p w14:paraId="2A8745A8" w14:textId="77777777" w:rsidR="000A2A2B" w:rsidRPr="007C3060" w:rsidRDefault="000A2A2B" w:rsidP="007C3060">
      <w:pPr>
        <w:pStyle w:val="avsnitt-undertittel"/>
      </w:pPr>
      <w:r w:rsidRPr="007C3060">
        <w:t>Fjerning av ulovlige bilder fra nett</w:t>
      </w:r>
    </w:p>
    <w:p w14:paraId="228812B4" w14:textId="77777777" w:rsidR="000A2A2B" w:rsidRPr="007C3060" w:rsidRDefault="000A2A2B" w:rsidP="007C3060">
      <w:r w:rsidRPr="007C3060">
        <w:t>Ulovlig deling av private bilder på nett er et betydelig problem, særlig blant barn og unge. I dag finnes det ikke et hjelpetilbud for fjerning av bilder på nett, det gis kun råd til barn og unge om hvordan de selv kan forsøke å fjerne bilder fra nettet. Norge er et av få land i Europa som ikke har et tilbud med dedikerte ansatte som tar direkte kontakt med tjenestetilbyderne for å få fjernet bildene på vegne av barn og unge. Et lignende tilbud bør derfor etableres i Norge. Midlene foreslås forvaltet av Norsk senter for informasjonssikring (</w:t>
      </w:r>
      <w:proofErr w:type="spellStart"/>
      <w:r w:rsidRPr="007C3060">
        <w:t>NorSIS</w:t>
      </w:r>
      <w:proofErr w:type="spellEnd"/>
      <w:r w:rsidRPr="007C3060">
        <w:t>).</w:t>
      </w:r>
    </w:p>
    <w:p w14:paraId="5942409B" w14:textId="77777777" w:rsidR="000A2A2B" w:rsidRPr="007C3060" w:rsidRDefault="000A2A2B" w:rsidP="007C3060">
      <w:r w:rsidRPr="007C3060">
        <w:t>På denne bakgrunn foreslås det å øke bevilgningen på posten med 2,5 mill. kroner.</w:t>
      </w:r>
    </w:p>
    <w:p w14:paraId="5DB56382" w14:textId="77777777" w:rsidR="000A2A2B" w:rsidRPr="007C3060" w:rsidRDefault="000A2A2B" w:rsidP="007C3060">
      <w:pPr>
        <w:pStyle w:val="b-budkaptit"/>
      </w:pPr>
      <w:r w:rsidRPr="007C3060">
        <w:t>Kap. 461 Advokattilsynet</w:t>
      </w:r>
    </w:p>
    <w:p w14:paraId="12B74CF8" w14:textId="77777777" w:rsidR="000A2A2B" w:rsidRPr="007C3060" w:rsidRDefault="000A2A2B" w:rsidP="007C3060">
      <w:pPr>
        <w:pStyle w:val="b-post"/>
      </w:pPr>
      <w:r w:rsidRPr="007C3060">
        <w:t>Post 01 Driftsutgifter, kan nyttes under post 21</w:t>
      </w:r>
    </w:p>
    <w:p w14:paraId="1D10784C" w14:textId="77777777" w:rsidR="000A2A2B" w:rsidRPr="007C3060" w:rsidRDefault="000A2A2B" w:rsidP="007C3060">
      <w:r w:rsidRPr="007C3060">
        <w:t xml:space="preserve">Bevilgningen på posten dekker utgifter til Advokattilsynet som lønn, husleie og andre administrative kostnader knyttet til driften av Advokattilsynet. Da </w:t>
      </w:r>
      <w:proofErr w:type="spellStart"/>
      <w:r w:rsidRPr="007C3060">
        <w:t>Prop</w:t>
      </w:r>
      <w:proofErr w:type="spellEnd"/>
      <w:r w:rsidRPr="007C3060">
        <w:t>. 1 S (2024–2025) ble lagt frem, var utgifts- og inntektskapitlene til Advokattilsynet basert på foreløpige prognoser for daværende Tilsynsrådet for advokatvirksomhet, som endret navn til Advokattilsynet da advokatloven trådte i kraft 1. januar 2025.</w:t>
      </w:r>
    </w:p>
    <w:p w14:paraId="1BE3C9E9" w14:textId="77777777" w:rsidR="000A2A2B" w:rsidRPr="007C3060" w:rsidRDefault="000A2A2B" w:rsidP="007C3060">
      <w:r w:rsidRPr="007C3060">
        <w:t xml:space="preserve">Advokattilsynets oppdaterte prognoser for 2025 er basert på Tilsynsrådet for advokatvirksomhets årsregnskap for 2024, herunder vurderinger av nivået på oppsparte midler, samt Advokattilsynets forventede aktiviteter i 2025. Da </w:t>
      </w:r>
      <w:proofErr w:type="spellStart"/>
      <w:r w:rsidRPr="007C3060">
        <w:t>Prop</w:t>
      </w:r>
      <w:proofErr w:type="spellEnd"/>
      <w:r w:rsidRPr="007C3060">
        <w:t>. 1 S (2024–2025) ble lagt frem ble det lagt til grunn at Advokattilsynets driftsutgifter i 2025 skulle være på 51,5 mill. kroner. De oppdaterte prognosene fra Advokattilsynet tilsier at driftsutgiftene kan reduseres til 48,3 mill. kroner. Det er samsvar mellom inntekts- og utgiftssiden.</w:t>
      </w:r>
    </w:p>
    <w:p w14:paraId="0CC5C25E" w14:textId="77777777" w:rsidR="000A2A2B" w:rsidRPr="007C3060" w:rsidRDefault="000A2A2B" w:rsidP="007C3060">
      <w:r w:rsidRPr="007C3060">
        <w:t>Det foreslås på denne bakgrunn å redusere bevilgningen på kap. 461, post 01 med 3,2 mill. kroner.</w:t>
      </w:r>
    </w:p>
    <w:p w14:paraId="19BE5802" w14:textId="77777777" w:rsidR="000A2A2B" w:rsidRPr="007C3060" w:rsidRDefault="000A2A2B" w:rsidP="007C3060">
      <w:pPr>
        <w:pStyle w:val="b-budkaptit"/>
      </w:pPr>
      <w:r w:rsidRPr="007C3060">
        <w:t>Kap. 3461 Advokattilsynet</w:t>
      </w:r>
    </w:p>
    <w:p w14:paraId="3642FF9F" w14:textId="77777777" w:rsidR="000A2A2B" w:rsidRPr="007C3060" w:rsidRDefault="000A2A2B" w:rsidP="007C3060">
      <w:pPr>
        <w:pStyle w:val="b-post"/>
      </w:pPr>
      <w:r w:rsidRPr="007C3060">
        <w:t>Post 01 Bidrag fra advokater og forvalterordning</w:t>
      </w:r>
    </w:p>
    <w:p w14:paraId="435547C2" w14:textId="77777777" w:rsidR="000A2A2B" w:rsidRPr="007C3060" w:rsidRDefault="000A2A2B" w:rsidP="007C3060">
      <w:r w:rsidRPr="007C3060">
        <w:t xml:space="preserve">Driften av Advokattilsynet finansieres av bidrag fra advokater. Bidraget for 2025 er satt til 4 500 kroner per advokat. Advokattilsynet mottar også innbetalinger etter refusjonskrav under forvalterordningen, jf. advokatloven § 46 andre ledd, refusjonskrav fra bokettersyn, jf. advokatloven § 45 andre ledd, og gebyr for forsinket betaling, jf. advokatloven § 60 andre ledd. </w:t>
      </w:r>
      <w:r w:rsidRPr="007C3060">
        <w:lastRenderedPageBreak/>
        <w:t>Oppdaterte beregninger viser at Advokattilsynets forventede inntekter i 2025 er på 48,3 mill. kroner.</w:t>
      </w:r>
    </w:p>
    <w:p w14:paraId="39AEC4E1" w14:textId="77777777" w:rsidR="000A2A2B" w:rsidRPr="007C3060" w:rsidRDefault="000A2A2B" w:rsidP="007C3060">
      <w:r w:rsidRPr="007C3060">
        <w:t>På denne bakgrunn foreslås det å redusere bevilgningen på kap. 3461, post 01 med 3,2 mill. kroner.</w:t>
      </w:r>
    </w:p>
    <w:p w14:paraId="00C3B8B2" w14:textId="77777777" w:rsidR="000A2A2B" w:rsidRPr="007C3060" w:rsidRDefault="000A2A2B" w:rsidP="007C3060">
      <w:pPr>
        <w:pStyle w:val="b-budkaptit"/>
      </w:pPr>
      <w:r w:rsidRPr="007C3060">
        <w:t>Kap. 466 Særskilte straffesaksutgifter m.m.</w:t>
      </w:r>
    </w:p>
    <w:p w14:paraId="6F9126AE" w14:textId="77777777" w:rsidR="000A2A2B" w:rsidRPr="007C3060" w:rsidRDefault="000A2A2B" w:rsidP="007C3060">
      <w:pPr>
        <w:pStyle w:val="b-post"/>
      </w:pPr>
      <w:r w:rsidRPr="007C3060">
        <w:t>Post 01 Driftsutgifter</w:t>
      </w:r>
    </w:p>
    <w:p w14:paraId="2E85CCE3" w14:textId="77777777" w:rsidR="000A2A2B" w:rsidRPr="007C3060" w:rsidRDefault="000A2A2B" w:rsidP="007C3060">
      <w:r w:rsidRPr="007C3060">
        <w:t xml:space="preserve">Bevilgningen dekker utgifter til juridisk bistand i straffesaker til personer som har rett til advokat-bistand i </w:t>
      </w:r>
      <w:proofErr w:type="gramStart"/>
      <w:r w:rsidRPr="007C3060">
        <w:t>medhold av</w:t>
      </w:r>
      <w:proofErr w:type="gramEnd"/>
      <w:r w:rsidRPr="007C3060">
        <w:t xml:space="preserve"> straffeprosessloven kap. 9 og 9a. I tillegg føres det utgifter knyttet til bruk av sakkyndige og tolk. Utgiftene er regelstyrt og knyttet til antall behandlede straffesaker og omfanget av disse.</w:t>
      </w:r>
    </w:p>
    <w:p w14:paraId="5E11E03A" w14:textId="77777777" w:rsidR="000A2A2B" w:rsidRPr="007C3060" w:rsidRDefault="000A2A2B" w:rsidP="007C3060">
      <w:r w:rsidRPr="007C3060">
        <w:t>I 2024 var det en markant økning i innkomne straffesaker til tingrettene og gjennomsnittskostnadene per sak øker. Det er forventet tilsvarende økning i 2025.</w:t>
      </w:r>
    </w:p>
    <w:p w14:paraId="6ED40103" w14:textId="77777777" w:rsidR="000A2A2B" w:rsidRPr="007C3060" w:rsidRDefault="000A2A2B" w:rsidP="007C3060">
      <w:r w:rsidRPr="007C3060">
        <w:t>Det foreslås på denne bakgrunn å øke bevilgningen på kap. 466, post 01 med 92,7 mill. kroner.</w:t>
      </w:r>
    </w:p>
    <w:p w14:paraId="5637B82A" w14:textId="77777777" w:rsidR="000A2A2B" w:rsidRPr="007C3060" w:rsidRDefault="000A2A2B" w:rsidP="007C3060">
      <w:pPr>
        <w:pStyle w:val="b-budkaptit"/>
      </w:pPr>
      <w:r w:rsidRPr="007C3060">
        <w:t>Kap. 467 Norsk Lovtidend</w:t>
      </w:r>
    </w:p>
    <w:p w14:paraId="32A108A3" w14:textId="77777777" w:rsidR="000A2A2B" w:rsidRPr="007C3060" w:rsidRDefault="000A2A2B" w:rsidP="007C3060">
      <w:pPr>
        <w:pStyle w:val="b-post"/>
      </w:pPr>
      <w:r w:rsidRPr="007C3060">
        <w:t>Post 01 Driftsutgifter</w:t>
      </w:r>
    </w:p>
    <w:p w14:paraId="66D525D6" w14:textId="77777777" w:rsidR="000A2A2B" w:rsidRPr="007C3060" w:rsidRDefault="000A2A2B" w:rsidP="007C3060">
      <w:r w:rsidRPr="007C3060">
        <w:t>Bevilgningen på posten dekker utgifter til bearbeiding av manuskripter og arbeidet med den elektroniske utgaven av Norsk Lovtidend.</w:t>
      </w:r>
    </w:p>
    <w:p w14:paraId="1A196DAB" w14:textId="77777777" w:rsidR="000A2A2B" w:rsidRPr="007C3060" w:rsidRDefault="000A2A2B" w:rsidP="007C3060">
      <w:r w:rsidRPr="007C3060">
        <w:t>Det er en økning i kunngjøringer av forskrifter etter opplæringsloven. Det foreslås på bakgrunn av dette å øke bevilgningen på kap. 467, post 01 med 2,7 mill. kroner.</w:t>
      </w:r>
    </w:p>
    <w:p w14:paraId="5C90F450" w14:textId="77777777" w:rsidR="000A2A2B" w:rsidRPr="007C3060" w:rsidRDefault="000A2A2B" w:rsidP="007C3060">
      <w:pPr>
        <w:pStyle w:val="b-budkaptit"/>
      </w:pPr>
      <w:r w:rsidRPr="007C3060">
        <w:t>Kap. 470 Fri rettshjelp</w:t>
      </w:r>
    </w:p>
    <w:p w14:paraId="3FF98DEF" w14:textId="77777777" w:rsidR="000A2A2B" w:rsidRPr="007C3060" w:rsidRDefault="000A2A2B" w:rsidP="007C3060">
      <w:pPr>
        <w:pStyle w:val="b-post"/>
      </w:pPr>
      <w:r w:rsidRPr="007C3060">
        <w:t>Post 01 Driftsutgifter</w:t>
      </w:r>
    </w:p>
    <w:p w14:paraId="63C6E0BD" w14:textId="77777777" w:rsidR="000A2A2B" w:rsidRPr="007C3060" w:rsidRDefault="000A2A2B" w:rsidP="007C3060">
      <w:r w:rsidRPr="007C3060">
        <w:t>Bevilgningen på posten skal dekke utgifter til advokat, sakkyndige om meddommere med flere der det er gitt fri sakførsel etter reglene i retts-hjelploven.</w:t>
      </w:r>
    </w:p>
    <w:p w14:paraId="5FA8A779" w14:textId="77777777" w:rsidR="000A2A2B" w:rsidRPr="007C3060" w:rsidRDefault="000A2A2B" w:rsidP="007C3060">
      <w:r w:rsidRPr="007C3060">
        <w:t xml:space="preserve">Stortinget har til behandling </w:t>
      </w:r>
      <w:proofErr w:type="spellStart"/>
      <w:r w:rsidRPr="007C3060">
        <w:t>Prop</w:t>
      </w:r>
      <w:proofErr w:type="spellEnd"/>
      <w:r w:rsidRPr="007C3060">
        <w:t>. 103 L (2024–2025) som blant annet gjelder utvidelse av prioriterte sakstyper i rettshjelpsloven. Forutsatt at forslaget vedtas, tar regjeringen sikte på at rettshjelp til innsatte i prioriterte sakstyper kan tre i kraft 1. juli 2025.</w:t>
      </w:r>
    </w:p>
    <w:p w14:paraId="642DAD9D" w14:textId="77777777" w:rsidR="000A2A2B" w:rsidRPr="007C3060" w:rsidRDefault="000A2A2B" w:rsidP="007C3060">
      <w:r w:rsidRPr="007C3060">
        <w:t>Det foreslås på denne bakgrunn å øke bevilgningen på posten med 5 mill. kroner.</w:t>
      </w:r>
    </w:p>
    <w:p w14:paraId="476A4603" w14:textId="77777777" w:rsidR="000A2A2B" w:rsidRPr="007C3060" w:rsidRDefault="000A2A2B" w:rsidP="007C3060">
      <w:pPr>
        <w:pStyle w:val="b-budkaptit"/>
      </w:pPr>
      <w:r w:rsidRPr="007C3060">
        <w:t>Kap. 471 Statens erstatningsansvar og -Stortingets rettferdsvederlagsordning</w:t>
      </w:r>
    </w:p>
    <w:p w14:paraId="530CC318" w14:textId="77777777" w:rsidR="000A2A2B" w:rsidRPr="007C3060" w:rsidRDefault="000A2A2B" w:rsidP="007C3060">
      <w:pPr>
        <w:pStyle w:val="b-post"/>
      </w:pPr>
      <w:r w:rsidRPr="007C3060">
        <w:t>Post 73 Stortingets rettferdsvederlagsordning</w:t>
      </w:r>
    </w:p>
    <w:p w14:paraId="2BA5600A" w14:textId="77777777" w:rsidR="000A2A2B" w:rsidRPr="007C3060" w:rsidRDefault="000A2A2B" w:rsidP="007C3060">
      <w:r w:rsidRPr="007C3060">
        <w:t>Stortingets rettferdsvederlagsordning er Stortingets egen ordning der enkeltpersoner som har kommet særlig uheldig ut i sitt møte med det offentlige i forhold til andre på samme tid, kan søke om skjønnsmessig kompensasjon.</w:t>
      </w:r>
    </w:p>
    <w:p w14:paraId="02621DD4" w14:textId="77777777" w:rsidR="000A2A2B" w:rsidRPr="007C3060" w:rsidRDefault="000A2A2B" w:rsidP="007C3060">
      <w:r w:rsidRPr="007C3060">
        <w:lastRenderedPageBreak/>
        <w:t>Det er variasjoner i utbetalingene som følge av at vederlagsutbetalingene varierer ut fra sakenes alvorlighetsgrad.</w:t>
      </w:r>
    </w:p>
    <w:p w14:paraId="091EF85B" w14:textId="77777777" w:rsidR="000A2A2B" w:rsidRPr="007C3060" w:rsidRDefault="000A2A2B" w:rsidP="007C3060">
      <w:r w:rsidRPr="007C3060">
        <w:t>Det foreslås å redusere bevilgningen på kap. 471, post 73 med 1,3 mill. kroner.</w:t>
      </w:r>
    </w:p>
    <w:p w14:paraId="042A603B" w14:textId="77777777" w:rsidR="000A2A2B" w:rsidRPr="007C3060" w:rsidRDefault="000A2A2B" w:rsidP="007C3060">
      <w:pPr>
        <w:pStyle w:val="b-budkaptit"/>
      </w:pPr>
      <w:r w:rsidRPr="007C3060">
        <w:t>Kap. 475 Bobehandling</w:t>
      </w:r>
    </w:p>
    <w:p w14:paraId="68BA5F22" w14:textId="77777777" w:rsidR="000A2A2B" w:rsidRPr="007C3060" w:rsidRDefault="000A2A2B" w:rsidP="007C3060">
      <w:pPr>
        <w:pStyle w:val="b-post"/>
      </w:pPr>
      <w:r w:rsidRPr="007C3060">
        <w:t>Post 01 Driftsutgifter, overslagsbevilgning</w:t>
      </w:r>
    </w:p>
    <w:p w14:paraId="50E096A3" w14:textId="77777777" w:rsidR="000A2A2B" w:rsidRPr="007C3060" w:rsidRDefault="000A2A2B" w:rsidP="007C3060">
      <w:r w:rsidRPr="007C3060">
        <w:t>Bevilgningen dekker statens ansvar for utgifter til konkursbehandling i tilfeller hvor boet eller den som begjærer konkurs ikke dekker utgiftene. Dette er regelstyrte utgifter etter konkursloven § 73. Det er domstolene som belaster posten.</w:t>
      </w:r>
    </w:p>
    <w:p w14:paraId="52FFC4C1" w14:textId="77777777" w:rsidR="000A2A2B" w:rsidRPr="007C3060" w:rsidRDefault="000A2A2B" w:rsidP="007C3060">
      <w:r w:rsidRPr="007C3060">
        <w:t>Utgiftene på posten er konjunkturavhengige. Det er forventet en økning i antall konkurser.</w:t>
      </w:r>
    </w:p>
    <w:p w14:paraId="392BFC47" w14:textId="77777777" w:rsidR="000A2A2B" w:rsidRPr="007C3060" w:rsidRDefault="000A2A2B" w:rsidP="007C3060">
      <w:r w:rsidRPr="007C3060">
        <w:t>Det foreslås på bakgrunn av dette å øke bevilgningen på kap. 475, post 01 med 15,6 mill. kroner.</w:t>
      </w:r>
    </w:p>
    <w:p w14:paraId="6779F34D" w14:textId="77777777" w:rsidR="000A2A2B" w:rsidRPr="007C3060" w:rsidRDefault="000A2A2B" w:rsidP="007C3060">
      <w:pPr>
        <w:pStyle w:val="b-budkaptit"/>
      </w:pPr>
      <w:r w:rsidRPr="007C3060">
        <w:t>Kap. 480 Svalbardbudsjettet</w:t>
      </w:r>
    </w:p>
    <w:p w14:paraId="4C77C410" w14:textId="77777777" w:rsidR="000A2A2B" w:rsidRPr="007C3060" w:rsidRDefault="000A2A2B" w:rsidP="007C3060">
      <w:pPr>
        <w:pStyle w:val="b-post"/>
      </w:pPr>
      <w:r w:rsidRPr="007C3060">
        <w:t>Post 50 Tilskudd</w:t>
      </w:r>
    </w:p>
    <w:p w14:paraId="29A973A7" w14:textId="77777777" w:rsidR="000A2A2B" w:rsidRPr="007C3060" w:rsidRDefault="000A2A2B" w:rsidP="007C3060">
      <w:pPr>
        <w:pStyle w:val="avsnitt-undertittel"/>
      </w:pPr>
      <w:r w:rsidRPr="007C3060">
        <w:t>Endring av postomtalen på Svalbardbudsjettet kap. 0019 post 01 – Meteorologisk institutt – husleie -Bjørnøya og Hopen</w:t>
      </w:r>
    </w:p>
    <w:p w14:paraId="64C69F56" w14:textId="77777777" w:rsidR="000A2A2B" w:rsidRPr="007C3060" w:rsidRDefault="000A2A2B" w:rsidP="007C3060">
      <w:r w:rsidRPr="007C3060">
        <w:t>Det foreslås at posten kan benyttes til også å dekke utgiftene Meteorologisk institutt har til drift av bygningene på Bjørnøya og Hopen. Forslaget innebærer at Meteorologisk institutt kan bruke bevilgingen også på andre driftsutgifter knyttet til bygningene på Bjørnøya og Hopen, herunder strøm.</w:t>
      </w:r>
    </w:p>
    <w:p w14:paraId="32DBA5FF" w14:textId="77777777" w:rsidR="000A2A2B" w:rsidRPr="007C3060" w:rsidRDefault="000A2A2B" w:rsidP="007C3060">
      <w:pPr>
        <w:pStyle w:val="avsnitt-undertittel"/>
      </w:pPr>
      <w:r w:rsidRPr="007C3060">
        <w:t>Endring av postomtalen på Svalbardbudsjettet kap. 0006 post 01 – Sysselmesterens transporttjeneste</w:t>
      </w:r>
    </w:p>
    <w:p w14:paraId="2F7BF5DD" w14:textId="77777777" w:rsidR="000A2A2B" w:rsidRPr="007C3060" w:rsidRDefault="000A2A2B" w:rsidP="007C3060">
      <w:r w:rsidRPr="007C3060">
        <w:t>Flyværtjenester fra Meteorologisk institutt på Bjørnøya er avgjørende for å kunne gjennomføre søk- og redningsoppdrag i nordområdene. Tjenesten har ikke lenger ekstern finansiering, og det foreslås derfor at Sysselmesteren på Svalbard kan bestille denne tjenesten. Det foreslås at svalbardbudsjettet kap. 0006, post 01 også kan benyttes til kjøp av flyværtjenester som er nødvendig for redningsberedskapen på Svalbard, og mellom Svalbard og fastlandet. Kostnaden for tjenesten er totalt 1,6 mill. kroner (halvårseffekt), og det foreslås at 775 000 kroner omdisponeres fra kap. 454, post 01 til kap. 480, post 50, og at 775 000 kroner fra kap. 0006 post 01 disponeres til formålet. Se også omtalen under kap. 454 post 01.</w:t>
      </w:r>
    </w:p>
    <w:p w14:paraId="4193EB0A" w14:textId="77777777" w:rsidR="000A2A2B" w:rsidRPr="007C3060" w:rsidRDefault="000A2A2B" w:rsidP="007C3060">
      <w:pPr>
        <w:pStyle w:val="avsnitt-undertittel"/>
      </w:pPr>
      <w:r w:rsidRPr="007C3060">
        <w:t>Støtte til reduserte strømpriser i Longyearbyen – -kap. 0003 post 50 Tilskudd til Longyearbyen lokalstyre</w:t>
      </w:r>
    </w:p>
    <w:p w14:paraId="62ACAA9C" w14:textId="77777777" w:rsidR="000A2A2B" w:rsidRPr="007C3060" w:rsidRDefault="000A2A2B" w:rsidP="007C3060">
      <w:r w:rsidRPr="007C3060">
        <w:t xml:space="preserve">Regjeringen tar sikte på å innføre Norgespris for strøm for fastlandet fra 1. oktober 2025. I den sammenheng er det også naturlig å legge til rette for reduserte strømpriser for husholdningene på Svalbard. Det foreslås å øke bevilgningen med 4,7 mill. kroner. Tilskuddet gis til </w:t>
      </w:r>
      <w:r w:rsidRPr="007C3060">
        <w:lastRenderedPageBreak/>
        <w:t>Longyearbyen lokalstyre slik at strømprisen for husholdninger kan settes til 1,2 kr/kWt. For nærmere omtale av Norgespris for strøm, se vises det til Energidepartementets kap. 1820, post 77.</w:t>
      </w:r>
    </w:p>
    <w:p w14:paraId="151A038F" w14:textId="77777777" w:rsidR="000A2A2B" w:rsidRPr="007C3060" w:rsidRDefault="000A2A2B" w:rsidP="007C3060">
      <w:pPr>
        <w:pStyle w:val="avsnitt-undertittel"/>
      </w:pPr>
      <w:r w:rsidRPr="007C3060">
        <w:t>Styrket beredskap og drift av Sysselmesteren – kap. 0005 post 01 Sysselmesteren</w:t>
      </w:r>
    </w:p>
    <w:p w14:paraId="2207331B" w14:textId="77777777" w:rsidR="000A2A2B" w:rsidRPr="007C3060" w:rsidRDefault="000A2A2B" w:rsidP="007C3060">
      <w:r w:rsidRPr="007C3060">
        <w:t>Økte kostnader og behov knyttet til blant annet beredskap gjør at det er behov for å styrke Sysselmesteren på Svalbard. Regjeringen foreslår å omdisponere 5 mill. kroner på svalbardbudsjettet fra kap. 0006 post 01 – Sysselmesterens transporttjeneste for å styrke beredskap og drift av Sysselmesteren på Svalbard.</w:t>
      </w:r>
    </w:p>
    <w:p w14:paraId="09406875" w14:textId="77777777" w:rsidR="000A2A2B" w:rsidRPr="007C3060" w:rsidRDefault="000A2A2B" w:rsidP="007C3060">
      <w:pPr>
        <w:pStyle w:val="avsnitt-undertittel"/>
      </w:pPr>
      <w:r w:rsidRPr="007C3060">
        <w:t>Oppsummering</w:t>
      </w:r>
    </w:p>
    <w:p w14:paraId="06F3F539" w14:textId="77777777" w:rsidR="000A2A2B" w:rsidRPr="007C3060" w:rsidRDefault="000A2A2B" w:rsidP="007C3060">
      <w:r w:rsidRPr="007C3060">
        <w:t>Samlet foreslås det å øke bevilgningen på kap. 480, post 50 med 5,5 mill. kroner.</w:t>
      </w:r>
    </w:p>
    <w:p w14:paraId="58133F55" w14:textId="77777777" w:rsidR="000A2A2B" w:rsidRPr="007C3060" w:rsidRDefault="000A2A2B" w:rsidP="007C3060">
      <w:pPr>
        <w:pStyle w:val="b-budkaptit"/>
      </w:pPr>
      <w:r w:rsidRPr="007C3060">
        <w:t>Kap. 490 Utlendingsdirektoratet</w:t>
      </w:r>
    </w:p>
    <w:p w14:paraId="75717F7C" w14:textId="77777777" w:rsidR="000A2A2B" w:rsidRPr="007C3060" w:rsidRDefault="000A2A2B" w:rsidP="007C3060">
      <w:pPr>
        <w:pStyle w:val="b-post"/>
      </w:pPr>
      <w:r w:rsidRPr="007C3060">
        <w:t>Post 01 Driftsutgifter</w:t>
      </w:r>
    </w:p>
    <w:p w14:paraId="1E34AF8F" w14:textId="77777777" w:rsidR="000A2A2B" w:rsidRPr="007C3060" w:rsidRDefault="000A2A2B" w:rsidP="007C3060">
      <w:pPr>
        <w:pStyle w:val="avsnitt-undertittel"/>
      </w:pPr>
      <w:r w:rsidRPr="007C3060">
        <w:t>Implementering av asyl- og migrasjonspakten</w:t>
      </w:r>
    </w:p>
    <w:p w14:paraId="663FCFFF" w14:textId="77777777" w:rsidR="000A2A2B" w:rsidRPr="007C3060" w:rsidRDefault="000A2A2B" w:rsidP="007C3060">
      <w:r w:rsidRPr="007C3060">
        <w:t>EU har vedtatt flere rettsakter på asyl- og migrasjonsområdet i en samlet regelverkspakke som handler om styrket kontroll og saksbehandling for irregulære migranter og asylsøkere. Norge blir bundet av noen av disse rettsaktene. Arbeidet med forberedelsene og implementeringen må foregå i 2025 for å kunne rekke å sette rettsaktene i verk i juni 2026. Arbeidet med implementeringen i henholdsvis politiet, Utlendingsdirektoratet (UDI) og Utlendingsnemnda (UNE) har kostnader på totalt 137,7 mill. kroner i 2025. I tillegg er det planlagt å dekke 28,7 mill. kroner fra EUs grense- og visumfond (BMVI) over kap. 440, post 48.</w:t>
      </w:r>
    </w:p>
    <w:p w14:paraId="391B5BAE" w14:textId="77777777" w:rsidR="000A2A2B" w:rsidRDefault="000A2A2B" w:rsidP="007C3060">
      <w:r w:rsidRPr="007C3060">
        <w:t>Det totale bevilgningsbehovet i 2025 er oppsummert i tabellen.</w:t>
      </w:r>
    </w:p>
    <w:p w14:paraId="55C10AF6" w14:textId="118045A0" w:rsidR="00AC1986" w:rsidRPr="007C3060" w:rsidRDefault="00AC1986" w:rsidP="00530C99">
      <w:pPr>
        <w:pStyle w:val="tabell-tittel"/>
      </w:pPr>
      <w:r w:rsidRPr="007C3060">
        <w:t>Bevilgningsbehov knyttet til implementering av asyl- og migrasjonspakten</w:t>
      </w:r>
    </w:p>
    <w:p w14:paraId="6998E738" w14:textId="77777777" w:rsidR="000A2A2B" w:rsidRPr="007C3060" w:rsidRDefault="000A2A2B" w:rsidP="007C3060">
      <w:pPr>
        <w:pStyle w:val="Tabellnavn"/>
      </w:pPr>
      <w:r w:rsidRPr="007C3060">
        <w:t>03J1xt1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900"/>
        <w:gridCol w:w="1840"/>
        <w:gridCol w:w="1840"/>
      </w:tblGrid>
      <w:tr w:rsidR="004B729E" w:rsidRPr="007C3060" w14:paraId="6EC68A93" w14:textId="77777777">
        <w:trPr>
          <w:trHeight w:val="360"/>
        </w:trPr>
        <w:tc>
          <w:tcPr>
            <w:tcW w:w="900" w:type="dxa"/>
            <w:tcBorders>
              <w:top w:val="single" w:sz="4" w:space="0" w:color="000000"/>
              <w:left w:val="nil"/>
              <w:bottom w:val="single" w:sz="4" w:space="0" w:color="000000"/>
              <w:right w:val="nil"/>
            </w:tcBorders>
            <w:tcMar>
              <w:top w:w="128" w:type="dxa"/>
              <w:left w:w="203" w:type="dxa"/>
              <w:bottom w:w="43" w:type="dxa"/>
              <w:right w:w="43" w:type="dxa"/>
            </w:tcMar>
            <w:vAlign w:val="bottom"/>
          </w:tcPr>
          <w:p w14:paraId="30EC377C" w14:textId="77777777" w:rsidR="000A2A2B" w:rsidRPr="007C3060" w:rsidRDefault="000A2A2B" w:rsidP="007C3060">
            <w:r w:rsidRPr="007C3060">
              <w:t>Kap.</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196FBA" w14:textId="77777777" w:rsidR="000A2A2B" w:rsidRPr="007C3060" w:rsidRDefault="000A2A2B" w:rsidP="007C3060">
            <w:r w:rsidRPr="007C3060">
              <w:t>Post</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E0310C" w14:textId="77777777" w:rsidR="000A2A2B" w:rsidRPr="007C3060" w:rsidRDefault="000A2A2B" w:rsidP="007C3060">
            <w:r w:rsidRPr="007C3060">
              <w:t>(i 1000 kroner)</w:t>
            </w:r>
          </w:p>
        </w:tc>
      </w:tr>
      <w:tr w:rsidR="004B729E" w:rsidRPr="007C3060" w14:paraId="362B158E" w14:textId="77777777">
        <w:trPr>
          <w:trHeight w:val="380"/>
        </w:trPr>
        <w:tc>
          <w:tcPr>
            <w:tcW w:w="900" w:type="dxa"/>
            <w:tcBorders>
              <w:top w:val="single" w:sz="4" w:space="0" w:color="000000"/>
              <w:left w:val="nil"/>
              <w:bottom w:val="nil"/>
              <w:right w:val="nil"/>
            </w:tcBorders>
            <w:tcMar>
              <w:top w:w="128" w:type="dxa"/>
              <w:left w:w="203" w:type="dxa"/>
              <w:bottom w:w="43" w:type="dxa"/>
              <w:right w:w="43" w:type="dxa"/>
            </w:tcMar>
          </w:tcPr>
          <w:p w14:paraId="51BF14EC" w14:textId="77777777" w:rsidR="000A2A2B" w:rsidRPr="007C3060" w:rsidRDefault="000A2A2B" w:rsidP="007C3060">
            <w:r w:rsidRPr="007C3060">
              <w:t>440</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2A9294C0" w14:textId="77777777" w:rsidR="000A2A2B" w:rsidRPr="007C3060" w:rsidRDefault="000A2A2B" w:rsidP="007C3060">
            <w:r w:rsidRPr="007C3060">
              <w:t>01</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54615C9F" w14:textId="77777777" w:rsidR="000A2A2B" w:rsidRPr="007C3060" w:rsidRDefault="000A2A2B" w:rsidP="007C3060">
            <w:r w:rsidRPr="007C3060">
              <w:t>76 600</w:t>
            </w:r>
          </w:p>
        </w:tc>
      </w:tr>
      <w:tr w:rsidR="004B729E" w:rsidRPr="007C3060" w14:paraId="3B23BD80" w14:textId="77777777">
        <w:trPr>
          <w:trHeight w:val="380"/>
        </w:trPr>
        <w:tc>
          <w:tcPr>
            <w:tcW w:w="900" w:type="dxa"/>
            <w:tcBorders>
              <w:top w:val="nil"/>
              <w:left w:val="nil"/>
              <w:bottom w:val="nil"/>
              <w:right w:val="nil"/>
            </w:tcBorders>
            <w:tcMar>
              <w:top w:w="128" w:type="dxa"/>
              <w:left w:w="203" w:type="dxa"/>
              <w:bottom w:w="43" w:type="dxa"/>
              <w:right w:w="43" w:type="dxa"/>
            </w:tcMar>
          </w:tcPr>
          <w:p w14:paraId="2DE6C19A" w14:textId="77777777" w:rsidR="000A2A2B" w:rsidRPr="007C3060" w:rsidRDefault="000A2A2B" w:rsidP="007C3060">
            <w:r w:rsidRPr="007C3060">
              <w:t>440</w:t>
            </w:r>
          </w:p>
        </w:tc>
        <w:tc>
          <w:tcPr>
            <w:tcW w:w="1840" w:type="dxa"/>
            <w:tcBorders>
              <w:top w:val="nil"/>
              <w:left w:val="nil"/>
              <w:bottom w:val="nil"/>
              <w:right w:val="nil"/>
            </w:tcBorders>
            <w:tcMar>
              <w:top w:w="128" w:type="dxa"/>
              <w:left w:w="43" w:type="dxa"/>
              <w:bottom w:w="43" w:type="dxa"/>
              <w:right w:w="43" w:type="dxa"/>
            </w:tcMar>
            <w:vAlign w:val="bottom"/>
          </w:tcPr>
          <w:p w14:paraId="089E02B2" w14:textId="77777777" w:rsidR="000A2A2B" w:rsidRPr="007C3060" w:rsidRDefault="000A2A2B" w:rsidP="007C3060">
            <w:r w:rsidRPr="007C3060">
              <w:t>25</w:t>
            </w:r>
          </w:p>
        </w:tc>
        <w:tc>
          <w:tcPr>
            <w:tcW w:w="1840" w:type="dxa"/>
            <w:tcBorders>
              <w:top w:val="nil"/>
              <w:left w:val="nil"/>
              <w:bottom w:val="nil"/>
              <w:right w:val="nil"/>
            </w:tcBorders>
            <w:tcMar>
              <w:top w:w="128" w:type="dxa"/>
              <w:left w:w="43" w:type="dxa"/>
              <w:bottom w:w="43" w:type="dxa"/>
              <w:right w:w="43" w:type="dxa"/>
            </w:tcMar>
            <w:vAlign w:val="bottom"/>
          </w:tcPr>
          <w:p w14:paraId="30DA20A9" w14:textId="77777777" w:rsidR="000A2A2B" w:rsidRPr="007C3060" w:rsidRDefault="000A2A2B" w:rsidP="007C3060">
            <w:r w:rsidRPr="007C3060">
              <w:t>2 700</w:t>
            </w:r>
          </w:p>
        </w:tc>
      </w:tr>
      <w:tr w:rsidR="004B729E" w:rsidRPr="007C3060" w14:paraId="45B15531" w14:textId="77777777">
        <w:trPr>
          <w:trHeight w:val="380"/>
        </w:trPr>
        <w:tc>
          <w:tcPr>
            <w:tcW w:w="900" w:type="dxa"/>
            <w:tcBorders>
              <w:top w:val="nil"/>
              <w:left w:val="nil"/>
              <w:bottom w:val="nil"/>
              <w:right w:val="nil"/>
            </w:tcBorders>
            <w:tcMar>
              <w:top w:w="128" w:type="dxa"/>
              <w:left w:w="203" w:type="dxa"/>
              <w:bottom w:w="43" w:type="dxa"/>
              <w:right w:w="43" w:type="dxa"/>
            </w:tcMar>
          </w:tcPr>
          <w:p w14:paraId="6529A3A0" w14:textId="77777777" w:rsidR="000A2A2B" w:rsidRPr="007C3060" w:rsidRDefault="000A2A2B" w:rsidP="007C3060">
            <w:r w:rsidRPr="007C3060">
              <w:t>490</w:t>
            </w:r>
          </w:p>
        </w:tc>
        <w:tc>
          <w:tcPr>
            <w:tcW w:w="1840" w:type="dxa"/>
            <w:tcBorders>
              <w:top w:val="nil"/>
              <w:left w:val="nil"/>
              <w:bottom w:val="nil"/>
              <w:right w:val="nil"/>
            </w:tcBorders>
            <w:tcMar>
              <w:top w:w="128" w:type="dxa"/>
              <w:left w:w="43" w:type="dxa"/>
              <w:bottom w:w="43" w:type="dxa"/>
              <w:right w:w="43" w:type="dxa"/>
            </w:tcMar>
            <w:vAlign w:val="bottom"/>
          </w:tcPr>
          <w:p w14:paraId="09771FF3" w14:textId="77777777" w:rsidR="000A2A2B" w:rsidRPr="007C3060" w:rsidRDefault="000A2A2B" w:rsidP="007C3060">
            <w:r w:rsidRPr="007C3060">
              <w:t>01</w:t>
            </w:r>
          </w:p>
        </w:tc>
        <w:tc>
          <w:tcPr>
            <w:tcW w:w="1840" w:type="dxa"/>
            <w:tcBorders>
              <w:top w:val="nil"/>
              <w:left w:val="nil"/>
              <w:bottom w:val="nil"/>
              <w:right w:val="nil"/>
            </w:tcBorders>
            <w:tcMar>
              <w:top w:w="128" w:type="dxa"/>
              <w:left w:w="43" w:type="dxa"/>
              <w:bottom w:w="43" w:type="dxa"/>
              <w:right w:w="43" w:type="dxa"/>
            </w:tcMar>
            <w:vAlign w:val="bottom"/>
          </w:tcPr>
          <w:p w14:paraId="3A115331" w14:textId="77777777" w:rsidR="000A2A2B" w:rsidRPr="007C3060" w:rsidRDefault="000A2A2B" w:rsidP="007C3060">
            <w:r w:rsidRPr="007C3060">
              <w:t>22 800</w:t>
            </w:r>
          </w:p>
        </w:tc>
      </w:tr>
      <w:tr w:rsidR="004B729E" w:rsidRPr="007C3060" w14:paraId="7660F59D" w14:textId="77777777">
        <w:trPr>
          <w:trHeight w:val="380"/>
        </w:trPr>
        <w:tc>
          <w:tcPr>
            <w:tcW w:w="900" w:type="dxa"/>
            <w:tcBorders>
              <w:top w:val="nil"/>
              <w:left w:val="nil"/>
              <w:bottom w:val="nil"/>
              <w:right w:val="nil"/>
            </w:tcBorders>
            <w:tcMar>
              <w:top w:w="128" w:type="dxa"/>
              <w:left w:w="203" w:type="dxa"/>
              <w:bottom w:w="43" w:type="dxa"/>
              <w:right w:w="43" w:type="dxa"/>
            </w:tcMar>
          </w:tcPr>
          <w:p w14:paraId="3F1E2333" w14:textId="77777777" w:rsidR="000A2A2B" w:rsidRPr="007C3060" w:rsidRDefault="000A2A2B" w:rsidP="007C3060">
            <w:r w:rsidRPr="007C3060">
              <w:t>490</w:t>
            </w:r>
          </w:p>
        </w:tc>
        <w:tc>
          <w:tcPr>
            <w:tcW w:w="1840" w:type="dxa"/>
            <w:tcBorders>
              <w:top w:val="nil"/>
              <w:left w:val="nil"/>
              <w:bottom w:val="nil"/>
              <w:right w:val="nil"/>
            </w:tcBorders>
            <w:tcMar>
              <w:top w:w="128" w:type="dxa"/>
              <w:left w:w="43" w:type="dxa"/>
              <w:bottom w:w="43" w:type="dxa"/>
              <w:right w:w="43" w:type="dxa"/>
            </w:tcMar>
            <w:vAlign w:val="bottom"/>
          </w:tcPr>
          <w:p w14:paraId="023932AC" w14:textId="77777777" w:rsidR="000A2A2B" w:rsidRPr="007C3060" w:rsidRDefault="000A2A2B" w:rsidP="007C3060">
            <w:r w:rsidRPr="007C3060">
              <w:t>30</w:t>
            </w:r>
          </w:p>
        </w:tc>
        <w:tc>
          <w:tcPr>
            <w:tcW w:w="1840" w:type="dxa"/>
            <w:tcBorders>
              <w:top w:val="nil"/>
              <w:left w:val="nil"/>
              <w:bottom w:val="nil"/>
              <w:right w:val="nil"/>
            </w:tcBorders>
            <w:tcMar>
              <w:top w:w="128" w:type="dxa"/>
              <w:left w:w="43" w:type="dxa"/>
              <w:bottom w:w="43" w:type="dxa"/>
              <w:right w:w="43" w:type="dxa"/>
            </w:tcMar>
            <w:vAlign w:val="bottom"/>
          </w:tcPr>
          <w:p w14:paraId="6759AD79" w14:textId="77777777" w:rsidR="000A2A2B" w:rsidRPr="007C3060" w:rsidRDefault="000A2A2B" w:rsidP="007C3060">
            <w:r w:rsidRPr="007C3060">
              <w:t>33 600</w:t>
            </w:r>
          </w:p>
        </w:tc>
      </w:tr>
      <w:tr w:rsidR="004B729E" w:rsidRPr="007C3060" w14:paraId="147B3C82" w14:textId="77777777">
        <w:trPr>
          <w:trHeight w:val="380"/>
        </w:trPr>
        <w:tc>
          <w:tcPr>
            <w:tcW w:w="900" w:type="dxa"/>
            <w:tcBorders>
              <w:top w:val="nil"/>
              <w:left w:val="nil"/>
              <w:bottom w:val="single" w:sz="4" w:space="0" w:color="000000"/>
              <w:right w:val="nil"/>
            </w:tcBorders>
            <w:tcMar>
              <w:top w:w="128" w:type="dxa"/>
              <w:left w:w="203" w:type="dxa"/>
              <w:bottom w:w="43" w:type="dxa"/>
              <w:right w:w="43" w:type="dxa"/>
            </w:tcMar>
          </w:tcPr>
          <w:p w14:paraId="00BB8625" w14:textId="77777777" w:rsidR="000A2A2B" w:rsidRPr="007C3060" w:rsidRDefault="000A2A2B" w:rsidP="007C3060">
            <w:r w:rsidRPr="007C3060">
              <w:t>491</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3515E187" w14:textId="77777777" w:rsidR="000A2A2B" w:rsidRPr="007C3060" w:rsidRDefault="000A2A2B" w:rsidP="007C3060">
            <w:r w:rsidRPr="007C3060">
              <w:t>01</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2379D8B4" w14:textId="77777777" w:rsidR="000A2A2B" w:rsidRPr="007C3060" w:rsidRDefault="000A2A2B" w:rsidP="007C3060">
            <w:r w:rsidRPr="007C3060">
              <w:t>2 000</w:t>
            </w:r>
          </w:p>
        </w:tc>
      </w:tr>
      <w:tr w:rsidR="004B729E" w:rsidRPr="007C3060" w14:paraId="6AAD96CB" w14:textId="77777777">
        <w:trPr>
          <w:trHeight w:val="380"/>
        </w:trPr>
        <w:tc>
          <w:tcPr>
            <w:tcW w:w="900" w:type="dxa"/>
            <w:tcBorders>
              <w:top w:val="single" w:sz="4" w:space="0" w:color="000000"/>
              <w:left w:val="nil"/>
              <w:bottom w:val="single" w:sz="4" w:space="0" w:color="000000"/>
              <w:right w:val="nil"/>
            </w:tcBorders>
            <w:tcMar>
              <w:top w:w="128" w:type="dxa"/>
              <w:left w:w="203" w:type="dxa"/>
              <w:bottom w:w="43" w:type="dxa"/>
              <w:right w:w="43" w:type="dxa"/>
            </w:tcMar>
          </w:tcPr>
          <w:p w14:paraId="56CD1184" w14:textId="77777777" w:rsidR="000A2A2B" w:rsidRPr="007C3060" w:rsidRDefault="000A2A2B" w:rsidP="007C3060">
            <w:r w:rsidRPr="007C3060">
              <w:lastRenderedPageBreak/>
              <w:t xml:space="preserve">Sum </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25E5B0" w14:textId="77777777" w:rsidR="000A2A2B" w:rsidRPr="007C3060" w:rsidRDefault="000A2A2B" w:rsidP="007C3060"/>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E93BF3" w14:textId="77777777" w:rsidR="000A2A2B" w:rsidRPr="007C3060" w:rsidRDefault="000A2A2B" w:rsidP="007C3060">
            <w:r w:rsidRPr="007C3060">
              <w:t>137 700</w:t>
            </w:r>
          </w:p>
        </w:tc>
      </w:tr>
    </w:tbl>
    <w:p w14:paraId="3ADCFAC2" w14:textId="77777777" w:rsidR="000A2A2B" w:rsidRPr="007C3060" w:rsidRDefault="000A2A2B" w:rsidP="007C3060">
      <w:r w:rsidRPr="007C3060">
        <w:t>Se mer informasjon under kap. 490, post 30, kap. 440, post 01, 25 og 48, samt kap. 491, post 01.</w:t>
      </w:r>
    </w:p>
    <w:p w14:paraId="4A8CBE8A" w14:textId="77777777" w:rsidR="000A2A2B" w:rsidRPr="007C3060" w:rsidRDefault="000A2A2B" w:rsidP="007C3060">
      <w:r w:rsidRPr="007C3060">
        <w:t>De vesentlige kostnadene for implementering av regelverkene i 2025 knytter seg til følgende:</w:t>
      </w:r>
    </w:p>
    <w:p w14:paraId="14769AB6" w14:textId="77777777" w:rsidR="000A2A2B" w:rsidRPr="007C3060" w:rsidRDefault="000A2A2B" w:rsidP="007C3060">
      <w:pPr>
        <w:pStyle w:val="Liste"/>
      </w:pPr>
      <w:r w:rsidRPr="007C3060">
        <w:t>Screeningforordningen, hvor bevilgningsbehovet i hovedsak er knyttet til IT-systemutvikling i Politidirektoratet (POD) og UDI og forprosjekt bygningstekniske tilpasninger ved Nasjonalt ankomstsenter.</w:t>
      </w:r>
    </w:p>
    <w:p w14:paraId="251A0525" w14:textId="77777777" w:rsidR="000A2A2B" w:rsidRPr="007C3060" w:rsidRDefault="000A2A2B" w:rsidP="007C3060">
      <w:pPr>
        <w:pStyle w:val="Liste"/>
      </w:pPr>
      <w:r w:rsidRPr="007C3060">
        <w:t>Asyl- og migrasjonshåndteringsforordningen (AMMR), hvor bevilgningsbehovet er knyttet til utrednings-/implementeringsarbeid og restansenedbygging av Dublin-saker i POD, UNE og UDI, IT-systemtilpasninger i POD og UDI og variable utgifter ved ankomst, mottak og retur i Politiets utlendingsenhet (PU).</w:t>
      </w:r>
    </w:p>
    <w:p w14:paraId="72442BCA" w14:textId="77777777" w:rsidR="000A2A2B" w:rsidRPr="007C3060" w:rsidRDefault="000A2A2B" w:rsidP="007C3060">
      <w:r w:rsidRPr="007C3060">
        <w:t>For å legge til rette for implementeringen av asyl- og migrasjonspakten foreslår regjeringen å øke bevilgningen på kap. 490, post 01 med 22,8 mill. kroner.</w:t>
      </w:r>
    </w:p>
    <w:p w14:paraId="3C50CBEF" w14:textId="77777777" w:rsidR="000A2A2B" w:rsidRPr="007C3060" w:rsidRDefault="000A2A2B" w:rsidP="007C3060">
      <w:pPr>
        <w:pStyle w:val="b-post"/>
      </w:pPr>
      <w:r w:rsidRPr="007C3060">
        <w:t>Post 21 Spesielle driftsutgifter, asylmottak</w:t>
      </w:r>
    </w:p>
    <w:p w14:paraId="02AC6ADE" w14:textId="77777777" w:rsidR="000A2A2B" w:rsidRPr="007C3060" w:rsidRDefault="000A2A2B" w:rsidP="007C3060">
      <w:r w:rsidRPr="007C3060">
        <w:t xml:space="preserve">Som følge av reduksjon i antall ankomster i 2025, anslås det et </w:t>
      </w:r>
      <w:proofErr w:type="spellStart"/>
      <w:r w:rsidRPr="007C3060">
        <w:t>mindrebehov</w:t>
      </w:r>
      <w:proofErr w:type="spellEnd"/>
      <w:r w:rsidRPr="007C3060">
        <w:t xml:space="preserve"> til drift av asylmottak på 270,5 mill. kroner sammenlignet med saldert budsjett.</w:t>
      </w:r>
    </w:p>
    <w:p w14:paraId="2B8C6E5D" w14:textId="77777777" w:rsidR="000A2A2B" w:rsidRPr="007C3060" w:rsidRDefault="000A2A2B" w:rsidP="007C3060">
      <w:r w:rsidRPr="007C3060">
        <w:t>Regjeringen foreslår på denne bakgrunn å redusere bevilgningen på kap. 490, post 21 med 270,5 mill. kroner.</w:t>
      </w:r>
    </w:p>
    <w:p w14:paraId="4572A39A" w14:textId="77777777" w:rsidR="000A2A2B" w:rsidRPr="007C3060" w:rsidRDefault="000A2A2B" w:rsidP="007C3060">
      <w:pPr>
        <w:pStyle w:val="b-post"/>
      </w:pPr>
      <w:r w:rsidRPr="007C3060">
        <w:t>Post 22 Spesielle driftsutgifter, tolk og oversettelse</w:t>
      </w:r>
    </w:p>
    <w:p w14:paraId="59FB362B" w14:textId="77777777" w:rsidR="000A2A2B" w:rsidRPr="007C3060" w:rsidRDefault="000A2A2B" w:rsidP="007C3060">
      <w:r w:rsidRPr="007C3060">
        <w:t>Det er et redusert behov for tolketjenester i forbindelse med vedtakssamtaler som følge av at prognosene for antall ankomster har gått ned, sammenlignet med prognosen som lå til grunn for budsjettet.</w:t>
      </w:r>
    </w:p>
    <w:p w14:paraId="1559E6B1" w14:textId="77777777" w:rsidR="000A2A2B" w:rsidRPr="007C3060" w:rsidRDefault="000A2A2B" w:rsidP="007C3060">
      <w:r w:rsidRPr="007C3060">
        <w:t>Det foreslås å redusere bevilgningen på kap. 490 post. 22 med 5,7 mill. kroner.</w:t>
      </w:r>
    </w:p>
    <w:p w14:paraId="34F3CA53" w14:textId="77777777" w:rsidR="000A2A2B" w:rsidRPr="007C3060" w:rsidRDefault="000A2A2B" w:rsidP="007C3060">
      <w:pPr>
        <w:pStyle w:val="b-post"/>
      </w:pPr>
      <w:r w:rsidRPr="007C3060">
        <w:t>Post 30 (Ny) Ombygginger, ankomstsenter for asylregistrering og mottak, kan overføres</w:t>
      </w:r>
    </w:p>
    <w:p w14:paraId="07A5AA92" w14:textId="77777777" w:rsidR="000A2A2B" w:rsidRPr="007C3060" w:rsidRDefault="000A2A2B" w:rsidP="007C3060">
      <w:r w:rsidRPr="007C3060">
        <w:t>Bevilgningen på posten dekker ombygging av Nasjonalt Ankomstsenter i Råde i Østfold. Som en del av implementeringen av asyl- og migrasjonspakten og i forbindelse med etablering av ny -screeningforordning, som er omtalt under kap. 490, post 01, er det behov for bygningsmessige tilpasninger på Nasjonalt Ankomstsenter.</w:t>
      </w:r>
    </w:p>
    <w:p w14:paraId="798D6366" w14:textId="77777777" w:rsidR="000A2A2B" w:rsidRPr="007C3060" w:rsidRDefault="000A2A2B" w:rsidP="007C3060">
      <w:r w:rsidRPr="007C3060">
        <w:t>Regjeringen foreslår derfor å bevilge 33,6 mill. kroner på posten.</w:t>
      </w:r>
    </w:p>
    <w:p w14:paraId="402B4162" w14:textId="256224E7" w:rsidR="000A2A2B" w:rsidRPr="007C3060" w:rsidRDefault="000A2A2B" w:rsidP="007C3060">
      <w:pPr>
        <w:pStyle w:val="b-post"/>
      </w:pPr>
      <w:r w:rsidRPr="007C3060">
        <w:t>Post 46 Investeringer i Schengen IT-systemer, kan overføres</w:t>
      </w:r>
    </w:p>
    <w:p w14:paraId="567813DB" w14:textId="77777777" w:rsidR="000A2A2B" w:rsidRPr="007C3060" w:rsidRDefault="000A2A2B" w:rsidP="007C3060">
      <w:r w:rsidRPr="007C3060">
        <w:t xml:space="preserve">Som følge av prisutvikling har UDI et merbehov på 3 mill. kroner i 2025 på post 46. Behovet tar utgangspunkt i en ny periodisering av styringsrammen for prosjektene VIS </w:t>
      </w:r>
      <w:proofErr w:type="spellStart"/>
      <w:r w:rsidRPr="007C3060">
        <w:t>recast</w:t>
      </w:r>
      <w:proofErr w:type="spellEnd"/>
      <w:r w:rsidRPr="007C3060">
        <w:t xml:space="preserve">, </w:t>
      </w:r>
      <w:proofErr w:type="spellStart"/>
      <w:r w:rsidRPr="007C3060">
        <w:t>Eurodac</w:t>
      </w:r>
      <w:proofErr w:type="spellEnd"/>
      <w:r w:rsidRPr="007C3060">
        <w:t xml:space="preserve"> og Interoperabilitet (IO). Regjeringen foreslår på denne bakgrunn å øke bevilgningen på kap. 490, post 46, med 3 mill. kroner i 2025.</w:t>
      </w:r>
    </w:p>
    <w:p w14:paraId="579EAECB" w14:textId="77777777" w:rsidR="000A2A2B" w:rsidRPr="007C3060" w:rsidRDefault="000A2A2B" w:rsidP="007C3060">
      <w:r w:rsidRPr="007C3060">
        <w:lastRenderedPageBreak/>
        <w:t xml:space="preserve">Det vises til omtale under kap. 440, post 46, herunder forslag om endring i kostnadsramme for Schengen IT-systemene SIS </w:t>
      </w:r>
      <w:proofErr w:type="spellStart"/>
      <w:r w:rsidRPr="007C3060">
        <w:t>recast</w:t>
      </w:r>
      <w:proofErr w:type="spellEnd"/>
      <w:r w:rsidRPr="007C3060">
        <w:t xml:space="preserve">, VIS </w:t>
      </w:r>
      <w:proofErr w:type="spellStart"/>
      <w:r w:rsidRPr="007C3060">
        <w:t>recast</w:t>
      </w:r>
      <w:proofErr w:type="spellEnd"/>
      <w:r w:rsidRPr="007C3060">
        <w:t xml:space="preserve">, </w:t>
      </w:r>
      <w:proofErr w:type="spellStart"/>
      <w:r w:rsidRPr="007C3060">
        <w:t>Eurodac</w:t>
      </w:r>
      <w:proofErr w:type="spellEnd"/>
      <w:r w:rsidRPr="007C3060">
        <w:t xml:space="preserve"> og IO i politiet og UDI, samt etablering av kostnadsramme for Schengen IT-systemene EES og ETIAS i politiet og UDI.</w:t>
      </w:r>
    </w:p>
    <w:p w14:paraId="7DA493B5" w14:textId="77777777" w:rsidR="000A2A2B" w:rsidRPr="007C3060" w:rsidRDefault="000A2A2B" w:rsidP="007C3060">
      <w:pPr>
        <w:pStyle w:val="b-post"/>
      </w:pPr>
      <w:r w:rsidRPr="007C3060">
        <w:t>Post 60 Tilskudd til vertskommuner for asylmottak</w:t>
      </w:r>
    </w:p>
    <w:p w14:paraId="2DC39186" w14:textId="77777777" w:rsidR="000A2A2B" w:rsidRPr="007C3060" w:rsidRDefault="000A2A2B" w:rsidP="007C3060">
      <w:r w:rsidRPr="007C3060">
        <w:t xml:space="preserve">Det er anslått et </w:t>
      </w:r>
      <w:proofErr w:type="spellStart"/>
      <w:r w:rsidRPr="007C3060">
        <w:t>mindrebehov</w:t>
      </w:r>
      <w:proofErr w:type="spellEnd"/>
      <w:r w:rsidRPr="007C3060">
        <w:t xml:space="preserve"> på posten på 41,6 mill. kroner. </w:t>
      </w:r>
      <w:proofErr w:type="spellStart"/>
      <w:r w:rsidRPr="007C3060">
        <w:t>Mindrebehovet</w:t>
      </w:r>
      <w:proofErr w:type="spellEnd"/>
      <w:r w:rsidRPr="007C3060">
        <w:t xml:space="preserve"> skyldes i all hovedsak en reduksjon i antall mottak og kapasitet i mottak, og redusert prognose for bruk av alternativ mottaksplassering.</w:t>
      </w:r>
    </w:p>
    <w:p w14:paraId="42B28471" w14:textId="77777777" w:rsidR="000A2A2B" w:rsidRPr="007C3060" w:rsidRDefault="000A2A2B" w:rsidP="007C3060">
      <w:r w:rsidRPr="007C3060">
        <w:t>Det foreslås på denne bakgrunn å redusere bevilgningen på kap. 490, post 60, med 41,6 mill. kroner i 2025.</w:t>
      </w:r>
    </w:p>
    <w:p w14:paraId="558FB6D2" w14:textId="77777777" w:rsidR="000A2A2B" w:rsidRPr="007C3060" w:rsidRDefault="000A2A2B" w:rsidP="007C3060">
      <w:pPr>
        <w:pStyle w:val="b-post"/>
      </w:pPr>
      <w:r w:rsidRPr="007C3060">
        <w:t>Post 70 Stønader til beboere i asylmottak</w:t>
      </w:r>
    </w:p>
    <w:p w14:paraId="056572FB" w14:textId="77777777" w:rsidR="000A2A2B" w:rsidRPr="007C3060" w:rsidRDefault="000A2A2B" w:rsidP="007C3060">
      <w:r w:rsidRPr="007C3060">
        <w:t xml:space="preserve">Det er anslått et </w:t>
      </w:r>
      <w:proofErr w:type="spellStart"/>
      <w:r w:rsidRPr="007C3060">
        <w:t>mindrebehov</w:t>
      </w:r>
      <w:proofErr w:type="spellEnd"/>
      <w:r w:rsidRPr="007C3060">
        <w:t xml:space="preserve"> på posten på 15 mill. kroner som følge av redusert prognose for belegg i mottak.</w:t>
      </w:r>
    </w:p>
    <w:p w14:paraId="1FF8AEBF" w14:textId="77777777" w:rsidR="000A2A2B" w:rsidRPr="007C3060" w:rsidRDefault="000A2A2B" w:rsidP="007C3060">
      <w:r w:rsidRPr="007C3060">
        <w:t>Det foreslås på denne bakgrunn å redusere bevilgningen på kap. 490, post 70 med 15 mill. kroner i 2025.</w:t>
      </w:r>
    </w:p>
    <w:p w14:paraId="2254ABA2" w14:textId="77777777" w:rsidR="000A2A2B" w:rsidRPr="007C3060" w:rsidRDefault="000A2A2B" w:rsidP="007C3060">
      <w:pPr>
        <w:pStyle w:val="b-post"/>
      </w:pPr>
      <w:r w:rsidRPr="007C3060">
        <w:t>Post 72 Assistert retur og reintegrering i hjemlandet, kan overføres</w:t>
      </w:r>
    </w:p>
    <w:p w14:paraId="25491BF4" w14:textId="77777777" w:rsidR="000A2A2B" w:rsidRPr="007C3060" w:rsidRDefault="000A2A2B" w:rsidP="007C3060">
      <w:r w:rsidRPr="007C3060">
        <w:t>I budsjettet for 2025 ligger det til grunn en prognose på 1 000 tilbakevendinger. Prognosen for antall tilbakevendinger har økt til 4 450 i 2025. I tillegg har prognosen for antall personer som reiser med assistert retur økt, noe som gir et merbehov på 3 mill. kroner i 2025.</w:t>
      </w:r>
    </w:p>
    <w:p w14:paraId="00C218AA" w14:textId="77777777" w:rsidR="000A2A2B" w:rsidRPr="007C3060" w:rsidRDefault="000A2A2B" w:rsidP="007C3060">
      <w:r w:rsidRPr="007C3060">
        <w:t>Økninger i antall personer som reiser tilbake til hjemlandet vil føre til reduserte utgifter til blant annet innkvartering i asylmottak, se mer informasjon under kap. 490, post 21 med flere. Økning i tilbakevendinger og assistert retur vil også redusere utgifter til integrering og opplæring over Arbeids- og inkluderingsdepartementets budsjettposter.</w:t>
      </w:r>
    </w:p>
    <w:p w14:paraId="3138EE00" w14:textId="77777777" w:rsidR="000A2A2B" w:rsidRPr="007C3060" w:rsidRDefault="000A2A2B" w:rsidP="007C3060">
      <w:r w:rsidRPr="007C3060">
        <w:t>Det foreslås samlet å øke bevilgningen på posten med 61,6 mill. kroner i 2025.</w:t>
      </w:r>
    </w:p>
    <w:p w14:paraId="700F5156" w14:textId="412E7EA5" w:rsidR="000A2A2B" w:rsidRPr="007C3060" w:rsidRDefault="000A2A2B" w:rsidP="007C3060">
      <w:pPr>
        <w:pStyle w:val="b-post"/>
      </w:pPr>
      <w:r w:rsidRPr="007C3060">
        <w:t>Post 75 Reiseutgifter for flyktninger fra utlandet, kan overføres</w:t>
      </w:r>
    </w:p>
    <w:p w14:paraId="16B045B2" w14:textId="77777777" w:rsidR="000A2A2B" w:rsidRPr="007C3060" w:rsidRDefault="000A2A2B" w:rsidP="007C3060">
      <w:r w:rsidRPr="007C3060">
        <w:t>Det er anslått et merbehov på posten som skyldes at ankomstprognosen for blant annet overføringsflyktninger har økt, sammenlignet med det som ble lagt til grunn i Saldert budsjett 2025.</w:t>
      </w:r>
    </w:p>
    <w:p w14:paraId="036E79B0" w14:textId="77777777" w:rsidR="000A2A2B" w:rsidRPr="007C3060" w:rsidRDefault="000A2A2B" w:rsidP="007C3060">
      <w:r w:rsidRPr="007C3060">
        <w:t>Det foreslås å øke bevilgningen på kap. 490, post 75, med 2 mill. kroner.</w:t>
      </w:r>
    </w:p>
    <w:p w14:paraId="403EF502" w14:textId="77777777" w:rsidR="000A2A2B" w:rsidRPr="007C3060" w:rsidRDefault="000A2A2B" w:rsidP="007C3060">
      <w:pPr>
        <w:pStyle w:val="b-budkaptit"/>
      </w:pPr>
      <w:r w:rsidRPr="007C3060">
        <w:t>Kap. 3490 Utlendingsdirektoratet</w:t>
      </w:r>
    </w:p>
    <w:p w14:paraId="4A4A1DAD" w14:textId="77777777" w:rsidR="000A2A2B" w:rsidRPr="007C3060" w:rsidRDefault="000A2A2B" w:rsidP="007C3060">
      <w:pPr>
        <w:pStyle w:val="b-post"/>
      </w:pPr>
      <w:r w:rsidRPr="007C3060">
        <w:t>Post 01 Assistert retur fra Norge for asylsøkere med avslag, ODA-godkjente utgifter</w:t>
      </w:r>
    </w:p>
    <w:p w14:paraId="1861486C" w14:textId="77777777" w:rsidR="000A2A2B" w:rsidRPr="007C3060" w:rsidRDefault="000A2A2B" w:rsidP="007C3060">
      <w:r w:rsidRPr="007C3060">
        <w:t xml:space="preserve">Det foreslås å øke bevilgningen på kap. 3490, post 01, med 1,2 mill. kroner i 2025 fordi antall returer og andelen returer til ODA-land har økt. I tillegg har kostnadene knyttet til avtalen med </w:t>
      </w:r>
      <w:r w:rsidRPr="007C3060">
        <w:lastRenderedPageBreak/>
        <w:t>International Organization for Migration (IOM) om assisterte returer økt noe. Se omtale under kap. 490, post 72.</w:t>
      </w:r>
    </w:p>
    <w:p w14:paraId="67241127" w14:textId="77777777" w:rsidR="000A2A2B" w:rsidRPr="007C3060" w:rsidRDefault="000A2A2B" w:rsidP="007C3060">
      <w:pPr>
        <w:pStyle w:val="b-post"/>
      </w:pPr>
      <w:r w:rsidRPr="007C3060">
        <w:t>Post 03 Reiseutgifter for flyktninger fra utlandet, ODA-godkjente utgifter</w:t>
      </w:r>
    </w:p>
    <w:p w14:paraId="6DB2EEAA" w14:textId="77777777" w:rsidR="000A2A2B" w:rsidRPr="007C3060" w:rsidRDefault="000A2A2B" w:rsidP="007C3060">
      <w:r w:rsidRPr="007C3060">
        <w:t>Det foreslås å øke bevilgningen på kap. 3490, post 03, med 3,7 mill. kroner blant annet som følge av økt ankomstprognose for overføringsflyktninger for 2025 (basert på endringer på kap. 490, post 01 og 75).</w:t>
      </w:r>
    </w:p>
    <w:p w14:paraId="047AE660" w14:textId="77777777" w:rsidR="000A2A2B" w:rsidRPr="007C3060" w:rsidRDefault="000A2A2B" w:rsidP="007C3060">
      <w:pPr>
        <w:pStyle w:val="b-post"/>
      </w:pPr>
      <w:r w:rsidRPr="007C3060">
        <w:t>Post 04 Asylmottak, ODA-godkjente utgifter</w:t>
      </w:r>
    </w:p>
    <w:p w14:paraId="79E492AA" w14:textId="77777777" w:rsidR="000A2A2B" w:rsidRPr="007C3060" w:rsidRDefault="000A2A2B" w:rsidP="007C3060">
      <w:r w:rsidRPr="007C3060">
        <w:t>Det foreslås å redusere bevilgningen på kap. 3490, post 04, med 800 mill. kroner. Dette skyldes redusert anslag for belegget i mottak som beskrevet under kap. 490, post 21, 60 og 70. I tillegg har andelen ODA-godkjente utgifter blitt redusert.</w:t>
      </w:r>
    </w:p>
    <w:p w14:paraId="50DB80E3" w14:textId="77777777" w:rsidR="000A2A2B" w:rsidRPr="007C3060" w:rsidRDefault="000A2A2B" w:rsidP="007C3060">
      <w:r w:rsidRPr="007C3060">
        <w:t>Økningen i andel personer i mottak som har mer enn ett års botid i mottak bidrar til at reduksjonen i de ODA-godkjente mottaksutgiftene er høyere enn reduksjonen i de totale utgiftene til innkvartering av asylsøkere.</w:t>
      </w:r>
    </w:p>
    <w:p w14:paraId="0FEC6B7F" w14:textId="77777777" w:rsidR="000A2A2B" w:rsidRPr="007C3060" w:rsidRDefault="000A2A2B" w:rsidP="007C3060">
      <w:pPr>
        <w:pStyle w:val="b-post"/>
      </w:pPr>
      <w:r w:rsidRPr="007C3060">
        <w:t>Post 07 Tolk og oversettelse, ODA-godkjente utgifter</w:t>
      </w:r>
    </w:p>
    <w:p w14:paraId="7BE4913E" w14:textId="77777777" w:rsidR="000A2A2B" w:rsidRPr="007C3060" w:rsidRDefault="000A2A2B" w:rsidP="007C3060">
      <w:r w:rsidRPr="007C3060">
        <w:t>Det foreslås å redusere bevilgningen på kap. 3490, post 07, med 5,7 mill. kroner som følge av en reduksjon i behov for tolketjenester (basert på endring på kap. 490, post 22).</w:t>
      </w:r>
    </w:p>
    <w:p w14:paraId="0AA4FAE0" w14:textId="77777777" w:rsidR="000A2A2B" w:rsidRPr="007C3060" w:rsidRDefault="000A2A2B" w:rsidP="007C3060">
      <w:pPr>
        <w:pStyle w:val="b-post"/>
      </w:pPr>
      <w:r w:rsidRPr="007C3060">
        <w:t>Post 08 Internasjonalt migrasjonsarbeid og reintegrering i hjemlandet, ODA-godkjente utgifter</w:t>
      </w:r>
    </w:p>
    <w:p w14:paraId="763926E2" w14:textId="77777777" w:rsidR="000A2A2B" w:rsidRPr="007C3060" w:rsidRDefault="000A2A2B" w:rsidP="007C3060">
      <w:r w:rsidRPr="007C3060">
        <w:t>Det foreslås å øke bevilgningen på kap. 3490, post 08, med 49,3 mill. kroner som følge av økt prognose på tilbakevending (basert på endring på kap. 490, post 72).</w:t>
      </w:r>
    </w:p>
    <w:p w14:paraId="09959F32" w14:textId="77777777" w:rsidR="000A2A2B" w:rsidRPr="007C3060" w:rsidRDefault="000A2A2B" w:rsidP="007C3060">
      <w:pPr>
        <w:pStyle w:val="b-budkaptit"/>
      </w:pPr>
      <w:r w:rsidRPr="007C3060">
        <w:t>Kap. 491 Utlendingsnemnda</w:t>
      </w:r>
    </w:p>
    <w:p w14:paraId="4C08F4A4" w14:textId="77777777" w:rsidR="000A2A2B" w:rsidRPr="007C3060" w:rsidRDefault="000A2A2B" w:rsidP="007C3060">
      <w:pPr>
        <w:pStyle w:val="b-post"/>
      </w:pPr>
      <w:r w:rsidRPr="007C3060">
        <w:t>Post 01 Driftsutgifter, kan nyttes under post 21</w:t>
      </w:r>
    </w:p>
    <w:p w14:paraId="0E9E0941" w14:textId="77777777" w:rsidR="000A2A2B" w:rsidRPr="007C3060" w:rsidRDefault="000A2A2B" w:rsidP="007C3060">
      <w:r w:rsidRPr="007C3060">
        <w:t>For å sikre implementeringen av asyl- og migrasjonspakten foreslås det å øke bevilgningen på kap. 491, post 01 med 2 mill. kroner. Se omtale under kap. 490, post 01.</w:t>
      </w:r>
    </w:p>
    <w:p w14:paraId="5FD5B5A3" w14:textId="77777777" w:rsidR="000A2A2B" w:rsidRPr="007C3060" w:rsidRDefault="000A2A2B" w:rsidP="007C3060">
      <w:pPr>
        <w:pStyle w:val="Undertittel"/>
      </w:pPr>
      <w:r w:rsidRPr="007C3060">
        <w:t>Andre saker</w:t>
      </w:r>
    </w:p>
    <w:p w14:paraId="24A622CE" w14:textId="77777777" w:rsidR="000A2A2B" w:rsidRPr="007C3060" w:rsidRDefault="000A2A2B" w:rsidP="007C3060">
      <w:pPr>
        <w:pStyle w:val="avsnitt-undertittel"/>
      </w:pPr>
      <w:r w:rsidRPr="007C3060">
        <w:t>Håndtering av asylankomster</w:t>
      </w:r>
    </w:p>
    <w:p w14:paraId="14920497" w14:textId="77777777" w:rsidR="000A2A2B" w:rsidRPr="007C3060" w:rsidRDefault="000A2A2B" w:rsidP="007C3060">
      <w:r w:rsidRPr="007C3060">
        <w:t xml:space="preserve">Jf. </w:t>
      </w:r>
      <w:proofErr w:type="spellStart"/>
      <w:r w:rsidRPr="007C3060">
        <w:t>Prop</w:t>
      </w:r>
      <w:proofErr w:type="spellEnd"/>
      <w:r w:rsidRPr="007C3060">
        <w:t>. 1 S (2024–2025) er det satt av 75 mill. kroner til politiets håndtering av asylankomster og registrering av asylsøkere i 2025. En mulig konsekvens av begrenset bevilgning til registreringskapasitet er oppgitt å blant annet være lengre ventetid før registrering. For å unngå unødvendig bruk av venteinnkvartering og sikre en effektiv håndtering av ankomster må politiet tilpasse kapasiteten til det reelle behovet, også ved å omprioritere ressurser internt i etaten.</w:t>
      </w:r>
    </w:p>
    <w:p w14:paraId="40C6E0D5" w14:textId="77777777" w:rsidR="000A2A2B" w:rsidRPr="007C3060" w:rsidRDefault="000A2A2B" w:rsidP="007C3060">
      <w:pPr>
        <w:pStyle w:val="avsnitt-undertittel"/>
      </w:pPr>
      <w:r w:rsidRPr="007C3060">
        <w:lastRenderedPageBreak/>
        <w:t>Økte kostnader til bygging av ny rednings-helikopterbase i Bodø</w:t>
      </w:r>
    </w:p>
    <w:p w14:paraId="28AC2C43" w14:textId="77777777" w:rsidR="000A2A2B" w:rsidRPr="007C3060" w:rsidRDefault="000A2A2B" w:rsidP="007C3060">
      <w:r w:rsidRPr="007C3060">
        <w:t xml:space="preserve">I Meld. St. 20 (2022–2023) </w:t>
      </w:r>
      <w:r w:rsidRPr="007C3060">
        <w:rPr>
          <w:rStyle w:val="kursiv"/>
        </w:rPr>
        <w:t>Nasjonal transportplan 2022–2023</w:t>
      </w:r>
      <w:r w:rsidRPr="007C3060">
        <w:t xml:space="preserve"> (NTP) ble det prioritert 3,1 mrd. 2021-kroner til prosjektet «flytting av Bodø lufthavn». Prosjektet gir følgekostnader for staten, blant annet flyttekostnader for redningshelikopter-tjenesten. Stortinget vedtok ved behandlingen av </w:t>
      </w:r>
      <w:proofErr w:type="spellStart"/>
      <w:r w:rsidRPr="007C3060">
        <w:t>Innst</w:t>
      </w:r>
      <w:proofErr w:type="spellEnd"/>
      <w:r w:rsidRPr="007C3060">
        <w:t xml:space="preserve">. 6 S (2023–2024), jf. </w:t>
      </w:r>
      <w:proofErr w:type="spellStart"/>
      <w:r w:rsidRPr="007C3060">
        <w:t>Prop</w:t>
      </w:r>
      <w:proofErr w:type="spellEnd"/>
      <w:r w:rsidRPr="007C3060">
        <w:t>. 1 S (2023–2024) for Justis- og beredskapsdepartementet, en egen kostnadsramme for å bygge ny redningshelikopterbase ved ny lufthavn i Bodø.</w:t>
      </w:r>
    </w:p>
    <w:p w14:paraId="702ADADB" w14:textId="77777777" w:rsidR="000A2A2B" w:rsidRPr="007C3060" w:rsidRDefault="000A2A2B" w:rsidP="007C3060">
      <w:r w:rsidRPr="007C3060">
        <w:t>Nye foreløpige kostnadsanslag for byggingen av ny redningshelikopterbase ved Bodø lufthavn viser betydelige økte kostnader. Anslagene er usikre og skal revideres. Som følge av forsinkelser i prosjektet er det hittil påløpt kun en mindre del av gjeldende ramme, til sammen om lag 25 mill. kroner. De nye beregningene tilsier imidlertid at den gjeldende kostnadsrammen på 609 mill. kroner sannsynligvis vil bli overskredet dersom prosjektet fullføres. Dette skyldes blant annet tilpasninger til hovedprosjektet for flyttingen av lufthavnen i Bodø, tilpasninger på tomta der basen skal bygges og justeringer i selve byggeprosjektet. Det er iverksatt et arbeid med å identifisere kutt og forenklinger. Det legges blant annet til rette for et effektivt samspill mellom prosjekt ny lufthavn Bodø og prosjekt ny redningshelikopterbase, som vil gi en mest mulig kostnadseffektiv gjennom-føring av prosjektene sett under ett.</w:t>
      </w:r>
    </w:p>
    <w:p w14:paraId="371AFF91" w14:textId="77777777" w:rsidR="000A2A2B" w:rsidRPr="007C3060" w:rsidRDefault="000A2A2B" w:rsidP="007C3060">
      <w:r w:rsidRPr="007C3060">
        <w:t>Konsekvensene av å eventuelt stanse prosjektet vil være store. Dagens redningshelikopterbase ligger innenfor et område som skal utvikles til næringsformål. Fortsatt redningshelikopterdrift på dagens base anses derfor ikke som et realistisk alternativ. Av beredskapsmessige hensyn er det heller ikke vurdert å legge ned redningshelikopterbasen i Bodø.</w:t>
      </w:r>
    </w:p>
    <w:p w14:paraId="21CB28D5" w14:textId="77777777" w:rsidR="000A2A2B" w:rsidRPr="007C3060" w:rsidRDefault="000A2A2B" w:rsidP="007C3060">
      <w:r w:rsidRPr="007C3060">
        <w:t xml:space="preserve">Justis- og beredskapsdepartementet vil komme tilbake til saken på egnet måte, og det tas sikte på å foreslå en oppdatert kostnadsramme i </w:t>
      </w:r>
      <w:proofErr w:type="spellStart"/>
      <w:r w:rsidRPr="007C3060">
        <w:t>Prop</w:t>
      </w:r>
      <w:proofErr w:type="spellEnd"/>
      <w:r w:rsidRPr="007C3060">
        <w:t>. 1 S (2025–2026) for Justis- og beredskaps-departementet.</w:t>
      </w:r>
    </w:p>
    <w:p w14:paraId="09EA2DFA" w14:textId="77777777" w:rsidR="000A2A2B" w:rsidRPr="007C3060" w:rsidRDefault="000A2A2B" w:rsidP="007C3060">
      <w:pPr>
        <w:pStyle w:val="Overskrift2"/>
      </w:pPr>
      <w:r w:rsidRPr="007C3060">
        <w:t xml:space="preserve">Kommunal- og </w:t>
      </w:r>
      <w:proofErr w:type="spellStart"/>
      <w:r w:rsidRPr="007C3060">
        <w:t>distriktsdepartementet</w:t>
      </w:r>
      <w:proofErr w:type="spellEnd"/>
    </w:p>
    <w:p w14:paraId="77F284F1" w14:textId="77777777" w:rsidR="000A2A2B" w:rsidRPr="007C3060" w:rsidRDefault="000A2A2B" w:rsidP="007C3060">
      <w:pPr>
        <w:pStyle w:val="b-budkaptit"/>
      </w:pPr>
      <w:r w:rsidRPr="007C3060">
        <w:t>Kap. 553 Regional og distriktsutvikling</w:t>
      </w:r>
    </w:p>
    <w:p w14:paraId="2DE30970" w14:textId="77777777" w:rsidR="000A2A2B" w:rsidRPr="007C3060" w:rsidRDefault="000A2A2B" w:rsidP="007C3060">
      <w:pPr>
        <w:pStyle w:val="b-post"/>
      </w:pPr>
      <w:r w:rsidRPr="007C3060">
        <w:t>Post 61 Mobiliserende og kvalifiserende næringsutvikling</w:t>
      </w:r>
    </w:p>
    <w:p w14:paraId="79EDD923" w14:textId="77777777" w:rsidR="000A2A2B" w:rsidRPr="007C3060" w:rsidRDefault="000A2A2B" w:rsidP="007C3060">
      <w:r w:rsidRPr="007C3060">
        <w:t>Bevilgningen går til fylkeskommunene som gir oppdrag til Innovasjon Norge og Siva for en portefølje av næringsrettede virkemidler, med mål om innovasjon og næringsutvikling lokalt og regionalt. Virkemidlene inkluderer låne- og tilskuddsordninger, veiledning og nettverk.</w:t>
      </w:r>
    </w:p>
    <w:p w14:paraId="34B0108C" w14:textId="77777777" w:rsidR="000A2A2B" w:rsidRPr="007C3060" w:rsidRDefault="000A2A2B" w:rsidP="007C3060">
      <w:pPr>
        <w:pStyle w:val="avsnitt-undertittel"/>
      </w:pPr>
      <w:r w:rsidRPr="007C3060">
        <w:t>Næringsutvikling i Finnmark</w:t>
      </w:r>
    </w:p>
    <w:p w14:paraId="61779603" w14:textId="77777777" w:rsidR="000A2A2B" w:rsidRPr="007C3060" w:rsidRDefault="000A2A2B" w:rsidP="007C3060">
      <w:r w:rsidRPr="007C3060">
        <w:t xml:space="preserve">Som følge av krigen i Ukraina, og nedgangen i fiske-kvotene, står lokalsamfunnene og næringslivet i Finnmark i en krevende situasjon. Det har derfor i flere omganger blitt bevilget ekstra midler over kap. 553, post 61 til tiltak i regionen, blant annet med mål om et sterkere og mer diversifisert næringsliv. Situasjonen i Finnmark er fortsatt krevende, men det finnes lyspunkter. Forsterket innsats for mobilisering hos Innovasjon Norge Arktis, og bedre samarbeid mellom Innovasjon Norge, kommunene, næringshagene og lokale banker, gir resultater. Det er </w:t>
      </w:r>
      <w:r w:rsidRPr="007C3060">
        <w:lastRenderedPageBreak/>
        <w:t>nå mer gründeraktivitet og flere nye prosjekter i utviklings- og søknadsfasen. Dette har ført til at de ekstraordinære bevilgningene til Finnmark er brukt opp.</w:t>
      </w:r>
    </w:p>
    <w:p w14:paraId="43C2D20C" w14:textId="77777777" w:rsidR="000A2A2B" w:rsidRPr="007C3060" w:rsidRDefault="000A2A2B" w:rsidP="007C3060">
      <w:r w:rsidRPr="007C3060">
        <w:t xml:space="preserve">Det foreslås derfor å øke bevilgningen med 10 mill. kroner, for å finansiere den økte innsatsen og aktiviteten hos Innovasjon Norge i Finnmark. Økningen sees i sammenheng med virkemiddelet </w:t>
      </w:r>
      <w:r w:rsidRPr="007C3060">
        <w:rPr>
          <w:rStyle w:val="kursiv"/>
        </w:rPr>
        <w:t>utviklingstilskudd for Finnmark</w:t>
      </w:r>
      <w:r w:rsidRPr="007C3060">
        <w:t xml:space="preserve"> jf. nedenfor.</w:t>
      </w:r>
    </w:p>
    <w:p w14:paraId="2400F1D9" w14:textId="77777777" w:rsidR="000A2A2B" w:rsidRPr="007C3060" w:rsidRDefault="000A2A2B" w:rsidP="007C3060">
      <w:pPr>
        <w:pStyle w:val="avsnitt-undertittel"/>
      </w:pPr>
      <w:r w:rsidRPr="007C3060">
        <w:t>Utviklingstilskudd for Finnmark</w:t>
      </w:r>
    </w:p>
    <w:p w14:paraId="534AE35A" w14:textId="77777777" w:rsidR="000A2A2B" w:rsidRPr="007C3060" w:rsidRDefault="000A2A2B" w:rsidP="007C3060">
      <w:r w:rsidRPr="007C3060">
        <w:t xml:space="preserve">I forbindelse med revidert nasjonalbudsjett for 2024 ble det opprettet et nytt bedriftsrettet virkemiddel forvaltet av Innovasjon Norge: </w:t>
      </w:r>
      <w:proofErr w:type="spellStart"/>
      <w:r w:rsidRPr="007C3060">
        <w:rPr>
          <w:rStyle w:val="kursiv"/>
        </w:rPr>
        <w:t>utviklingstilskot</w:t>
      </w:r>
      <w:proofErr w:type="spellEnd"/>
      <w:r w:rsidRPr="007C3060">
        <w:rPr>
          <w:rStyle w:val="kursiv"/>
        </w:rPr>
        <w:t xml:space="preserve"> for Aust-Finnmark</w:t>
      </w:r>
      <w:r w:rsidRPr="007C3060">
        <w:t xml:space="preserve">, jf. </w:t>
      </w:r>
      <w:proofErr w:type="spellStart"/>
      <w:r w:rsidRPr="007C3060">
        <w:t>Prop</w:t>
      </w:r>
      <w:proofErr w:type="spellEnd"/>
      <w:r w:rsidRPr="007C3060">
        <w:t xml:space="preserve">. 104 S (2023–2024) og </w:t>
      </w:r>
      <w:proofErr w:type="spellStart"/>
      <w:r w:rsidRPr="007C3060">
        <w:t>Innst</w:t>
      </w:r>
      <w:proofErr w:type="spellEnd"/>
      <w:r w:rsidRPr="007C3060">
        <w:t>. 447 S (2023–2024). Det kan gis tilskudd til investerings- og bedriftsutviklingsprosjekter. Prosjektenes betydning for lokalsamfunnene skal vektlegges, og det er krav til bedriftsøkonomisk lønnsomhet, men ikke til innovasjonshøyde. Tilskuddet var opprinnelig forbeholdt bedrifter og investeringsprosjekter i kommunene i Øst-Finnmark.</w:t>
      </w:r>
    </w:p>
    <w:p w14:paraId="7B00E582" w14:textId="77777777" w:rsidR="000A2A2B" w:rsidRPr="007C3060" w:rsidRDefault="000A2A2B" w:rsidP="007C3060">
      <w:r w:rsidRPr="007C3060">
        <w:t xml:space="preserve">I lys av nedgangen i fiskeriene som følge av reduksjon av fiskekvotene ble det i </w:t>
      </w:r>
      <w:proofErr w:type="spellStart"/>
      <w:r w:rsidRPr="007C3060">
        <w:t>nysaldert</w:t>
      </w:r>
      <w:proofErr w:type="spellEnd"/>
      <w:r w:rsidRPr="007C3060">
        <w:t xml:space="preserve"> budsjett for 2024 åpnet for at tilskuddet også kan brukes i fiskeriavhengige kystkommuner.</w:t>
      </w:r>
    </w:p>
    <w:p w14:paraId="6C71A90E" w14:textId="77777777" w:rsidR="000A2A2B" w:rsidRPr="007C3060" w:rsidRDefault="000A2A2B" w:rsidP="007C3060">
      <w:r w:rsidRPr="007C3060">
        <w:t>Det har vært noe usikkerhet blant kommunene etter utvidelsen av virkeområdet for tilskuddet om hvilke kommuner som er omfattet. Det er derfor et behov for å klargjøre tildelingskriteriene. Bedrifter i alle kommuner i Finnmark kan søke om støtte til investeringsprosjekter som skal bidra til omstilling og utvikling i kommuner i Finnmark i sentralitetsklasse 5 og 6. Øvrige tildelingskriterier ligger fast.</w:t>
      </w:r>
    </w:p>
    <w:p w14:paraId="5F6F6F9A" w14:textId="77777777" w:rsidR="000A2A2B" w:rsidRPr="007C3060" w:rsidRDefault="000A2A2B" w:rsidP="007C3060">
      <w:pPr>
        <w:pStyle w:val="b-post"/>
      </w:pPr>
      <w:r w:rsidRPr="007C3060">
        <w:t xml:space="preserve">Post 63 Interreg, Arktis 2030 og det norske </w:t>
      </w:r>
      <w:proofErr w:type="spellStart"/>
      <w:r w:rsidRPr="007C3060">
        <w:t>Barentssekretariatet</w:t>
      </w:r>
      <w:proofErr w:type="spellEnd"/>
    </w:p>
    <w:p w14:paraId="511947FA" w14:textId="77777777" w:rsidR="000A2A2B" w:rsidRPr="007C3060" w:rsidRDefault="000A2A2B" w:rsidP="007C3060">
      <w:r w:rsidRPr="007C3060">
        <w:t>Kap. 553 post 63 omfatter tilskudd til norsk deltakelse i grenseregionale Interreg-program. Programmene forvaltes av fylkeskommunene på norsk side, i samarbeid med grenseregioner i samarbeidslandene.</w:t>
      </w:r>
    </w:p>
    <w:p w14:paraId="51EB2446" w14:textId="77777777" w:rsidR="000A2A2B" w:rsidRPr="007C3060" w:rsidRDefault="000A2A2B" w:rsidP="007C3060">
      <w:proofErr w:type="spellStart"/>
      <w:r w:rsidRPr="007C3060">
        <w:t>Kolarctic</w:t>
      </w:r>
      <w:proofErr w:type="spellEnd"/>
      <w:r w:rsidRPr="007C3060">
        <w:t xml:space="preserve">-programmet, hvor Nord-Norge inngikk på norsk side, inkluderte også nord-vest Russland. Programmet ble stoppet av Europakommisjonen etter Russlands invasjon av Ukraina. Ved behandlingen av budsjettet for 2023 vedtok -Stortinget å overføre midlene som var avsatt til </w:t>
      </w:r>
      <w:proofErr w:type="spellStart"/>
      <w:r w:rsidRPr="007C3060">
        <w:t>Kolarctic</w:t>
      </w:r>
      <w:proofErr w:type="spellEnd"/>
      <w:r w:rsidRPr="007C3060">
        <w:t xml:space="preserve">-programmet i 2021 og 2022 til andre Interreg-programmer på samme budsjettpost, jf. </w:t>
      </w:r>
      <w:proofErr w:type="spellStart"/>
      <w:r w:rsidRPr="007C3060">
        <w:t>Prop</w:t>
      </w:r>
      <w:proofErr w:type="spellEnd"/>
      <w:r w:rsidRPr="007C3060">
        <w:t xml:space="preserve">. 1 S (2022–2023) og </w:t>
      </w:r>
      <w:proofErr w:type="spellStart"/>
      <w:r w:rsidRPr="007C3060">
        <w:t>Innst</w:t>
      </w:r>
      <w:proofErr w:type="spellEnd"/>
      <w:r w:rsidRPr="007C3060">
        <w:t>. 16 S (2022–2023).</w:t>
      </w:r>
    </w:p>
    <w:p w14:paraId="44DB8532" w14:textId="77777777" w:rsidR="000A2A2B" w:rsidRPr="007C3060" w:rsidRDefault="000A2A2B" w:rsidP="007C3060">
      <w:proofErr w:type="spellStart"/>
      <w:r w:rsidRPr="007C3060">
        <w:t>Kolarctic</w:t>
      </w:r>
      <w:proofErr w:type="spellEnd"/>
      <w:r w:rsidRPr="007C3060">
        <w:t>-programmet er nå avsluttet. Finnmark fylkeskommune melder at det fortsatt gjenstår 4 mill. kroner fra en bevilgning til programmet i foregående programperiode (2014–2020). Det foreslås å benytte de gjenværende midlene til Interreg-programmet Aurora, for å øke innsatsen i Nord-Norge.</w:t>
      </w:r>
    </w:p>
    <w:p w14:paraId="34919AFE" w14:textId="77777777" w:rsidR="000A2A2B" w:rsidRPr="007C3060" w:rsidRDefault="000A2A2B" w:rsidP="007C3060">
      <w:pPr>
        <w:pStyle w:val="b-budkaptit"/>
      </w:pPr>
      <w:r w:rsidRPr="007C3060">
        <w:t>Kap. 563 Internasjonalt reindriftssenter</w:t>
      </w:r>
    </w:p>
    <w:p w14:paraId="50F3D538" w14:textId="77777777" w:rsidR="000A2A2B" w:rsidRPr="007C3060" w:rsidRDefault="000A2A2B" w:rsidP="007C3060">
      <w:pPr>
        <w:pStyle w:val="b-post"/>
      </w:pPr>
      <w:r w:rsidRPr="007C3060">
        <w:t>Post 21 Spesielle driftsutgifter, kan overføres</w:t>
      </w:r>
    </w:p>
    <w:p w14:paraId="3547A21B" w14:textId="77777777" w:rsidR="000A2A2B" w:rsidRPr="007C3060" w:rsidRDefault="000A2A2B" w:rsidP="007C3060">
      <w:r w:rsidRPr="007C3060">
        <w:t>Bevilgningen dekker utgifter til eksternt finansierte prosjekter i Internasjonalt reindriftssenter (ICR). Prosjektene skal være selvfinansierte. Inntektene føres på kap. 3563, post 02.</w:t>
      </w:r>
    </w:p>
    <w:p w14:paraId="1822BAB5" w14:textId="77777777" w:rsidR="000A2A2B" w:rsidRPr="007C3060" w:rsidRDefault="000A2A2B" w:rsidP="007C3060">
      <w:r w:rsidRPr="007C3060">
        <w:lastRenderedPageBreak/>
        <w:t>Siden 2022 har ICR hatt en kraftig økning i større internasjonale, eksternt finansierte prosjekter, med støtte fra blant annet fra FN og EU. Siden flere av disse aktørene avventer med å utbetale deler av støtten til prosjektene er avsluttet, og prosjektrevisjon er behandlet, har det ført til at deler av inntektene ikke har blitt innbetalt samme år som utgiftene har påløpt. ICR har dermed fått relativt store merutgifter, mot tilsvarende økning i inntektene påfølgende år. Det ventes at denne typen prosjekter blir stadig mer relevant i årene fremover.</w:t>
      </w:r>
    </w:p>
    <w:p w14:paraId="07615D84" w14:textId="77777777" w:rsidR="000A2A2B" w:rsidRPr="007C3060" w:rsidRDefault="000A2A2B" w:rsidP="007C3060">
      <w:r w:rsidRPr="007C3060">
        <w:t>For at ICR skal kunne videreføre sin virksomhet og oppfylle sitt samfunnsoppdrag, foreslås det at Internasjonalt reindriftssenter gis fullmakt til å starte opp prosjekter for inntil 5 mill. kroner før finansiering i sin helhet er innbetalt, forutsatt at ICR har fått bindende tilsagn om tilskudd fra eksterne parter, jf. forslag til romertallsvedtak.</w:t>
      </w:r>
    </w:p>
    <w:p w14:paraId="3D4D476D" w14:textId="77777777" w:rsidR="000A2A2B" w:rsidRPr="007C3060" w:rsidRDefault="000A2A2B" w:rsidP="007C3060">
      <w:pPr>
        <w:pStyle w:val="b-budkaptit"/>
      </w:pPr>
      <w:r w:rsidRPr="007C3060">
        <w:t>Kap. 571 Rammetilskudd til kommuner</w:t>
      </w:r>
    </w:p>
    <w:p w14:paraId="58B9FC75" w14:textId="77777777" w:rsidR="000A2A2B" w:rsidRPr="007C3060" w:rsidRDefault="000A2A2B" w:rsidP="007C3060">
      <w:pPr>
        <w:pStyle w:val="b-post"/>
      </w:pPr>
      <w:r w:rsidRPr="007C3060">
        <w:t>Post 60 Innbyggertilskudd</w:t>
      </w:r>
    </w:p>
    <w:p w14:paraId="721708DD" w14:textId="77777777" w:rsidR="000A2A2B" w:rsidRPr="007C3060" w:rsidRDefault="000A2A2B" w:rsidP="007C3060">
      <w:pPr>
        <w:pStyle w:val="avsnitt-undertittel"/>
      </w:pPr>
      <w:r w:rsidRPr="007C3060">
        <w:t>Pensjonskostnader</w:t>
      </w:r>
    </w:p>
    <w:p w14:paraId="78BC09DB" w14:textId="77777777" w:rsidR="000A2A2B" w:rsidRPr="007C3060" w:rsidRDefault="000A2A2B" w:rsidP="007C3060">
      <w:r w:rsidRPr="007C3060">
        <w:t xml:space="preserve">I </w:t>
      </w:r>
      <w:proofErr w:type="spellStart"/>
      <w:r w:rsidRPr="007C3060">
        <w:t>Prop</w:t>
      </w:r>
      <w:proofErr w:type="spellEnd"/>
      <w:r w:rsidRPr="007C3060">
        <w:t xml:space="preserve">. 1 S (2024–2025) for Kommunal- og </w:t>
      </w:r>
      <w:proofErr w:type="spellStart"/>
      <w:r w:rsidRPr="007C3060">
        <w:t>distriktsdepartementet</w:t>
      </w:r>
      <w:proofErr w:type="spellEnd"/>
      <w:r w:rsidRPr="007C3060">
        <w:t xml:space="preserve"> ble det anslått en negativ vekst i kommunesektorens samlede pensjonskostnader på om lag 500 mill. kroner utover anslått lønnsvekst. Anslaget inkluderte ikke effekten av ny offentlig AFP som ble innført fra 1. januar 2025. Det ble varslet at regjeringen i revidert nasjonalbudsjett for 2025 ville komme tilbake med oppdatert anslag for merkostnadene til pensjon inkludert effekten av ny offentlig AFP. Det ble videre varslet at regjeringen ville ta utgangspunkt i oppdatert anslag for merkostnader til pensjon for å dekke en økning i disse, men også ville gjøre en samlet vurdering av kommunesektorens økonomi.</w:t>
      </w:r>
    </w:p>
    <w:p w14:paraId="60D31543" w14:textId="77777777" w:rsidR="000A2A2B" w:rsidRPr="007C3060" w:rsidRDefault="000A2A2B" w:rsidP="007C3060">
      <w:r w:rsidRPr="007C3060">
        <w:t xml:space="preserve">Kommunal- og </w:t>
      </w:r>
      <w:proofErr w:type="spellStart"/>
      <w:r w:rsidRPr="007C3060">
        <w:t>distriktsdepartementet</w:t>
      </w:r>
      <w:proofErr w:type="spellEnd"/>
      <w:r w:rsidRPr="007C3060">
        <w:t xml:space="preserve"> har nå laget et oppdatert anslag på merkostnader til pensjon i 2025 blant annet basert på opplysninger fra pensjonsleverandørene. Tallene inkluderer effekten av ny offentlig AFP. Tall innhentet fra KLP inkluderer i tillegg effekten av nye regler for personer med særaldersgrenser.</w:t>
      </w:r>
    </w:p>
    <w:p w14:paraId="1CE38B2D" w14:textId="77777777" w:rsidR="000A2A2B" w:rsidRPr="007C3060" w:rsidRDefault="000A2A2B" w:rsidP="007C3060">
      <w:r w:rsidRPr="007C3060">
        <w:t xml:space="preserve">Beregningene viser en merkostnad i kommune-sektorens samlede pensjonskostnader i 2025 på om lag 3,6 mrd. kroner utover anslått lønnsvekst. Sammenlignet med anslaget i </w:t>
      </w:r>
      <w:proofErr w:type="spellStart"/>
      <w:r w:rsidRPr="007C3060">
        <w:t>Prop</w:t>
      </w:r>
      <w:proofErr w:type="spellEnd"/>
      <w:r w:rsidRPr="007C3060">
        <w:t>. 1 S (2024–2025) er økningen om lag 4,1 mrd. kroner.</w:t>
      </w:r>
    </w:p>
    <w:p w14:paraId="605EFD09" w14:textId="77777777" w:rsidR="000A2A2B" w:rsidRPr="007C3060" w:rsidRDefault="000A2A2B" w:rsidP="007C3060">
      <w:r w:rsidRPr="007C3060">
        <w:t>På bakgrunn av dette foreslås det en bevilgningsøkning i 2025 på 4,1 mrd. kroner. Økningen fordeles med 3,7 mrd. kroner på kommunene og 0,4 mrd. kroner på fylkeskommunene, jf. kap. 572, post 60.</w:t>
      </w:r>
    </w:p>
    <w:p w14:paraId="371E2B3F" w14:textId="77777777" w:rsidR="000A2A2B" w:rsidRPr="007C3060" w:rsidRDefault="000A2A2B" w:rsidP="007C3060">
      <w:pPr>
        <w:pStyle w:val="avsnitt-undertittel"/>
      </w:pPr>
      <w:r w:rsidRPr="007C3060">
        <w:t>Vaksinasjonsprogrammet for voksne – omlegging av systemet for egenbetaling</w:t>
      </w:r>
    </w:p>
    <w:p w14:paraId="1B6DD5B9" w14:textId="77777777" w:rsidR="000A2A2B" w:rsidRPr="007C3060" w:rsidRDefault="000A2A2B" w:rsidP="007C3060">
      <w:r w:rsidRPr="007C3060">
        <w:t xml:space="preserve">Det foreslås å redusere bevilgningen med 55 mill. kroner knyttet til omlegging av systemet for egenbetaling i vaksinasjonsprogrammet for voksne, tilsvarende de reduserte utgiftene for kommunene samlet sett. Omleggingen innebærer at kommunene ikke blir fakturert for vaksinene de bestiller fra Folkehelseinstituttet og at egenbetalingen ved korona- og </w:t>
      </w:r>
      <w:proofErr w:type="spellStart"/>
      <w:r w:rsidRPr="007C3060">
        <w:t>pneumokokkvaksine</w:t>
      </w:r>
      <w:proofErr w:type="spellEnd"/>
      <w:r w:rsidRPr="007C3060">
        <w:t xml:space="preserve"> (inntil 25 pst.) blir beregnet samlet for vaksine og vaksinasjon. Forslaget er provenynøytralt og </w:t>
      </w:r>
      <w:r w:rsidRPr="007C3060">
        <w:lastRenderedPageBreak/>
        <w:t xml:space="preserve">innebærer ikke endringer i forutsetningen om inntil 25 pst. egenbetaling på vaksine og vaksinasjon mot </w:t>
      </w:r>
      <w:proofErr w:type="spellStart"/>
      <w:r w:rsidRPr="007C3060">
        <w:t>pneumokokk</w:t>
      </w:r>
      <w:proofErr w:type="spellEnd"/>
      <w:r w:rsidRPr="007C3060">
        <w:t xml:space="preserve"> og korona. Satsen på egenbetalingen blir ikke påvirket av omleggingen.</w:t>
      </w:r>
    </w:p>
    <w:p w14:paraId="5FACD8C5" w14:textId="77777777" w:rsidR="000A2A2B" w:rsidRPr="007C3060" w:rsidRDefault="000A2A2B" w:rsidP="007C3060">
      <w:r w:rsidRPr="007C3060">
        <w:t>Se nærmere omtale under kap. 710, post 23 og kap. 3710, post 03 under Helse- og omsorgsdepartementet.</w:t>
      </w:r>
    </w:p>
    <w:p w14:paraId="0504F11C" w14:textId="77777777" w:rsidR="000A2A2B" w:rsidRPr="007C3060" w:rsidRDefault="000A2A2B" w:rsidP="007C3060">
      <w:pPr>
        <w:pStyle w:val="avsnitt-undertittel"/>
      </w:pPr>
      <w:r w:rsidRPr="007C3060">
        <w:t>Kompensasjon for reduserte skatteinntekter -(jordbrukskonto)</w:t>
      </w:r>
    </w:p>
    <w:p w14:paraId="29A27619" w14:textId="77777777" w:rsidR="000A2A2B" w:rsidRPr="007C3060" w:rsidRDefault="000A2A2B" w:rsidP="007C3060">
      <w:r w:rsidRPr="007C3060">
        <w:t>Regjeringen foreslår å innføre en kontoordning for jordbruket fra 1. januar 2025. Ordningen gir mulighet til å utsette skatt. Årets overskudd fra jordbruket kan overføres på kontoen, og det må betales skatt av minst 85 pst. av kontoens saldo hvert år. Forslaget har et samlet påløpt og bokført provenytap på om lag 570 mill. kroner i 2025. Det foreslås at kommunene kompenseres for deres andel av innføringen av jordbrukskonto. Bevilgningen foreslås på denne bakgrunn økt med 205 mill. kroner.</w:t>
      </w:r>
    </w:p>
    <w:p w14:paraId="58995607" w14:textId="77777777" w:rsidR="000A2A2B" w:rsidRPr="007C3060" w:rsidRDefault="000A2A2B" w:rsidP="007C3060">
      <w:r w:rsidRPr="007C3060">
        <w:t xml:space="preserve">Se nærmere omtale i kapittel 4 i </w:t>
      </w:r>
      <w:proofErr w:type="spellStart"/>
      <w:r w:rsidRPr="007C3060">
        <w:t>Prop</w:t>
      </w:r>
      <w:proofErr w:type="spellEnd"/>
      <w:r w:rsidRPr="007C3060">
        <w:t xml:space="preserve">. 145 LS (2024–2025) </w:t>
      </w:r>
      <w:proofErr w:type="spellStart"/>
      <w:r w:rsidRPr="007C3060">
        <w:rPr>
          <w:rStyle w:val="kursiv"/>
        </w:rPr>
        <w:t>Endringar</w:t>
      </w:r>
      <w:proofErr w:type="spellEnd"/>
      <w:r w:rsidRPr="007C3060">
        <w:rPr>
          <w:rStyle w:val="kursiv"/>
        </w:rPr>
        <w:t xml:space="preserve"> i skatte- og avgiftslov-givinga</w:t>
      </w:r>
      <w:r w:rsidRPr="007C3060">
        <w:t>.</w:t>
      </w:r>
    </w:p>
    <w:p w14:paraId="0D86262F" w14:textId="77777777" w:rsidR="000A2A2B" w:rsidRPr="007C3060" w:rsidRDefault="000A2A2B" w:rsidP="007C3060">
      <w:pPr>
        <w:pStyle w:val="avsnitt-undertittel"/>
      </w:pPr>
      <w:r w:rsidRPr="007C3060">
        <w:t>Oppsummering</w:t>
      </w:r>
    </w:p>
    <w:p w14:paraId="6E73922B" w14:textId="77777777" w:rsidR="000A2A2B" w:rsidRPr="007C3060" w:rsidRDefault="000A2A2B" w:rsidP="007C3060">
      <w:r w:rsidRPr="007C3060">
        <w:t>Bevilgningen på posten foreslås økt med i alt 3 850 mill. kroner.</w:t>
      </w:r>
    </w:p>
    <w:p w14:paraId="62BB6531" w14:textId="77777777" w:rsidR="000A2A2B" w:rsidRPr="007C3060" w:rsidRDefault="000A2A2B" w:rsidP="007C3060">
      <w:pPr>
        <w:pStyle w:val="b-budkaptit"/>
      </w:pPr>
      <w:r w:rsidRPr="007C3060">
        <w:t>Kap. 572 Rammetilskudd til -fylkeskommuner</w:t>
      </w:r>
    </w:p>
    <w:p w14:paraId="4A260675" w14:textId="77777777" w:rsidR="000A2A2B" w:rsidRPr="007C3060" w:rsidRDefault="000A2A2B" w:rsidP="007C3060">
      <w:pPr>
        <w:pStyle w:val="b-post"/>
      </w:pPr>
      <w:r w:rsidRPr="007C3060">
        <w:t>Post 60 Innbyggertilskudd</w:t>
      </w:r>
    </w:p>
    <w:p w14:paraId="2FD2816F" w14:textId="77777777" w:rsidR="000A2A2B" w:rsidRPr="007C3060" w:rsidRDefault="000A2A2B" w:rsidP="007C3060">
      <w:pPr>
        <w:pStyle w:val="avsnitt-undertittel"/>
      </w:pPr>
      <w:r w:rsidRPr="007C3060">
        <w:t>Pensjonskostnader</w:t>
      </w:r>
    </w:p>
    <w:p w14:paraId="39BC4B61" w14:textId="77777777" w:rsidR="000A2A2B" w:rsidRPr="007C3060" w:rsidRDefault="000A2A2B" w:rsidP="007C3060">
      <w:r w:rsidRPr="007C3060">
        <w:t>Det vises til omtale under kap. 571, post 60. Det foreslås å øke bevilgningen med 400 mill. kroner.</w:t>
      </w:r>
    </w:p>
    <w:p w14:paraId="07A489BB" w14:textId="77777777" w:rsidR="000A2A2B" w:rsidRPr="007C3060" w:rsidRDefault="000A2A2B" w:rsidP="007C3060">
      <w:pPr>
        <w:pStyle w:val="avsnitt-undertittel"/>
      </w:pPr>
      <w:r w:rsidRPr="007C3060">
        <w:t>Kompensasjon til Oslo kommune for pensjon til -beredskapshjem</w:t>
      </w:r>
    </w:p>
    <w:p w14:paraId="4E4474F8" w14:textId="77777777" w:rsidR="000A2A2B" w:rsidRPr="007C3060" w:rsidRDefault="000A2A2B" w:rsidP="007C3060">
      <w:r w:rsidRPr="007C3060">
        <w:t xml:space="preserve">Stortinget har endret lov om pensjonsordning for oppdragstaker i beredskapshjem eller spesialisert fosterhjem, jf. </w:t>
      </w:r>
      <w:proofErr w:type="spellStart"/>
      <w:r w:rsidRPr="007C3060">
        <w:t>Prop</w:t>
      </w:r>
      <w:proofErr w:type="spellEnd"/>
      <w:r w:rsidRPr="007C3060">
        <w:t xml:space="preserve">. 5 L (2024–2025) og </w:t>
      </w:r>
      <w:proofErr w:type="spellStart"/>
      <w:r w:rsidRPr="007C3060">
        <w:t>Innst</w:t>
      </w:r>
      <w:proofErr w:type="spellEnd"/>
      <w:r w:rsidRPr="007C3060">
        <w:t>. 89 L (2024–2025). Endringen trer i kraft 1. juli 2025 og gir beredskapshjem i Oslo kommune rett til medlemskap i Statens pensjonskasse. Kostnaden for denne lovendringen har en beregnet helårseffekt på om lag 4 mill. kroner. Oslo kommune kompenseres gjennom en særskilt fordeling (tabell C) på kap. 572, post 60.</w:t>
      </w:r>
    </w:p>
    <w:p w14:paraId="3348241D" w14:textId="77777777" w:rsidR="000A2A2B" w:rsidRPr="007C3060" w:rsidRDefault="000A2A2B" w:rsidP="007C3060">
      <w:r w:rsidRPr="007C3060">
        <w:t>Det foreslås å øke bevilgningen med 2 mill. kroner, tilsvarende halvårseffekten av lovendringen.</w:t>
      </w:r>
    </w:p>
    <w:p w14:paraId="719E3417" w14:textId="77777777" w:rsidR="000A2A2B" w:rsidRPr="007C3060" w:rsidRDefault="000A2A2B" w:rsidP="007C3060">
      <w:pPr>
        <w:pStyle w:val="avsnitt-undertittel"/>
      </w:pPr>
      <w:r w:rsidRPr="007C3060">
        <w:t>Kompensasjon for reduserte skatteinntekter -(jordbrukskonto)</w:t>
      </w:r>
    </w:p>
    <w:p w14:paraId="5D41421A" w14:textId="77777777" w:rsidR="000A2A2B" w:rsidRPr="007C3060" w:rsidRDefault="000A2A2B" w:rsidP="007C3060">
      <w:r w:rsidRPr="007C3060">
        <w:t>Det vises til omtale under kap. 571, post 60. Det foreslås at fylkeskommunene kompenseres for deres andel av innføringen av jordbrukskonto. Bevilgningen foreslås på denne bakgrunn økt med 45 mill. kroner.</w:t>
      </w:r>
    </w:p>
    <w:p w14:paraId="2B91C114" w14:textId="77777777" w:rsidR="000A2A2B" w:rsidRPr="007C3060" w:rsidRDefault="000A2A2B" w:rsidP="007C3060">
      <w:pPr>
        <w:pStyle w:val="avsnitt-undertittel"/>
      </w:pPr>
      <w:r w:rsidRPr="007C3060">
        <w:lastRenderedPageBreak/>
        <w:t>Oppsummering</w:t>
      </w:r>
    </w:p>
    <w:p w14:paraId="11A8E9BF" w14:textId="77777777" w:rsidR="000A2A2B" w:rsidRPr="007C3060" w:rsidRDefault="000A2A2B" w:rsidP="007C3060">
      <w:r w:rsidRPr="007C3060">
        <w:t>Bevilgningen på posten foreslås økt med i alt 447 mill. kroner.</w:t>
      </w:r>
    </w:p>
    <w:p w14:paraId="181BF0D2" w14:textId="77777777" w:rsidR="000A2A2B" w:rsidRPr="007C3060" w:rsidRDefault="000A2A2B" w:rsidP="007C3060">
      <w:pPr>
        <w:pStyle w:val="b-budkaptit"/>
      </w:pPr>
      <w:r w:rsidRPr="007C3060">
        <w:t xml:space="preserve">Kap. 587 Direktoratet for </w:t>
      </w:r>
      <w:proofErr w:type="spellStart"/>
      <w:r w:rsidRPr="007C3060">
        <w:t>byggkvalitet</w:t>
      </w:r>
      <w:proofErr w:type="spellEnd"/>
    </w:p>
    <w:p w14:paraId="02F2771E" w14:textId="77777777" w:rsidR="000A2A2B" w:rsidRPr="007C3060" w:rsidRDefault="000A2A2B" w:rsidP="007C3060">
      <w:pPr>
        <w:pStyle w:val="b-post"/>
      </w:pPr>
      <w:r w:rsidRPr="007C3060">
        <w:t>Post 01 Driftsutgifter</w:t>
      </w:r>
    </w:p>
    <w:p w14:paraId="2AD070AC" w14:textId="77777777" w:rsidR="000A2A2B" w:rsidRPr="007C3060" w:rsidRDefault="000A2A2B" w:rsidP="007C3060">
      <w:r w:rsidRPr="007C3060">
        <w:t xml:space="preserve">Bevilgningen dekker lønn, husleie og andre faste utgifter for Direktoratet for </w:t>
      </w:r>
      <w:proofErr w:type="spellStart"/>
      <w:r w:rsidRPr="007C3060">
        <w:t>byggkvalitet</w:t>
      </w:r>
      <w:proofErr w:type="spellEnd"/>
      <w:r w:rsidRPr="007C3060">
        <w:t xml:space="preserve"> (</w:t>
      </w:r>
      <w:proofErr w:type="spellStart"/>
      <w:r w:rsidRPr="007C3060">
        <w:t>DiBK</w:t>
      </w:r>
      <w:proofErr w:type="spellEnd"/>
      <w:r w:rsidRPr="007C3060">
        <w:t>).</w:t>
      </w:r>
    </w:p>
    <w:p w14:paraId="197F47DD" w14:textId="77777777" w:rsidR="000A2A2B" w:rsidRPr="007C3060" w:rsidRDefault="000A2A2B" w:rsidP="007C3060">
      <w:r w:rsidRPr="007C3060">
        <w:t xml:space="preserve">Effektive plan- og byggesaksprosesser er sentralt for å holde kostnader og tidsbruk nede. Det er også sentralt for å dempe negative effekter av etterspørselssvingninger. </w:t>
      </w:r>
      <w:proofErr w:type="spellStart"/>
      <w:r w:rsidRPr="007C3060">
        <w:t>DiBK</w:t>
      </w:r>
      <w:proofErr w:type="spellEnd"/>
      <w:r w:rsidRPr="007C3060">
        <w:t xml:space="preserve"> har over tid jobbet med forenklinger som bidrar til mer effektiv ressursbruk i kommuner og hos utbyggere, men det er fortsatt behov for og potensiale for forenklingstiltak i alle ledd av plan- og byggesaks-prosessen.</w:t>
      </w:r>
    </w:p>
    <w:p w14:paraId="42F49771" w14:textId="77777777" w:rsidR="000A2A2B" w:rsidRPr="007C3060" w:rsidRDefault="000A2A2B" w:rsidP="007C3060">
      <w:r w:rsidRPr="007C3060">
        <w:t xml:space="preserve">Det foreslås å øke bevilgningen til </w:t>
      </w:r>
      <w:proofErr w:type="spellStart"/>
      <w:r w:rsidRPr="007C3060">
        <w:t>DiBK</w:t>
      </w:r>
      <w:proofErr w:type="spellEnd"/>
      <w:r w:rsidRPr="007C3060">
        <w:t xml:space="preserve"> med 10 mill. kroner til arbeidet med digitalisering av plan- og byggesaksprosessene og digital tilrettelegging og forenkling av regelverket. Midlene fordeles med 5 mill. kroner på post 01 og 5 mill. kroner på post 22. Midlene skal gå til å automatisere byggesaksprosesser, blant annet kommunens vedtak om igangsettelse, brukstillatelse og ferdig-attest for byggeprosjekter. Se også omtale under post 22.</w:t>
      </w:r>
    </w:p>
    <w:p w14:paraId="3C629FB2" w14:textId="77777777" w:rsidR="000A2A2B" w:rsidRPr="007C3060" w:rsidRDefault="000A2A2B" w:rsidP="007C3060">
      <w:pPr>
        <w:pStyle w:val="b-post"/>
      </w:pPr>
      <w:r w:rsidRPr="007C3060">
        <w:t>Post 22 Kunnskapsutvikling og informasjonsformidling, kan overføres</w:t>
      </w:r>
    </w:p>
    <w:p w14:paraId="2E953ABE" w14:textId="77777777" w:rsidR="000A2A2B" w:rsidRPr="007C3060" w:rsidRDefault="000A2A2B" w:rsidP="007C3060">
      <w:r w:rsidRPr="007C3060">
        <w:t>Bevilgningen skal finansiere utredninger og samarbeids- og kommunikasjonsaktiviteter som bidrar til kunnskapsutvikling og formidling av informasjon om bygningspolitiske temaer.</w:t>
      </w:r>
    </w:p>
    <w:p w14:paraId="2DFB6504" w14:textId="77777777" w:rsidR="000A2A2B" w:rsidRPr="007C3060" w:rsidRDefault="000A2A2B" w:rsidP="007C3060">
      <w:r w:rsidRPr="007C3060">
        <w:t>Det foreslås å øke bevilgningen med 5 mill. kroner. Se nærmere omtale under kap. 587, post 01.</w:t>
      </w:r>
    </w:p>
    <w:p w14:paraId="205F03B3" w14:textId="77777777" w:rsidR="000A2A2B" w:rsidRPr="007C3060" w:rsidRDefault="000A2A2B" w:rsidP="007C3060">
      <w:pPr>
        <w:pStyle w:val="b-budkaptit"/>
      </w:pPr>
      <w:r w:rsidRPr="007C3060">
        <w:t>Kap. 2412 Husbanken</w:t>
      </w:r>
    </w:p>
    <w:p w14:paraId="781DBB2C" w14:textId="77777777" w:rsidR="000A2A2B" w:rsidRPr="007C3060" w:rsidRDefault="000A2A2B" w:rsidP="007C3060">
      <w:pPr>
        <w:pStyle w:val="b-post"/>
      </w:pPr>
      <w:r w:rsidRPr="007C3060">
        <w:t>Post 90 Nye lån, overslagsbevilgning</w:t>
      </w:r>
    </w:p>
    <w:p w14:paraId="27A27C53" w14:textId="77777777" w:rsidR="000A2A2B" w:rsidRPr="007C3060" w:rsidRDefault="000A2A2B" w:rsidP="007C3060">
      <w:r w:rsidRPr="007C3060">
        <w:t>Bevilgningen dekker utbetaling av nye lån, i tillegg til beregnede, opptjente, ikke betalte renter på lånene. I tillegg til å bidra til å nå boligpolitiske mål, kan lånerammen bidra til å stimulere til aktivitet i byggenæringen. Husbanken gir startlån, lån til utleieboliger, lån til boligkvalitet og lån til studentboliger. Startlån utbetales i hovedsak det året tilsagn gis, mens de andre lånene blir utbetalt over flere år.</w:t>
      </w:r>
    </w:p>
    <w:p w14:paraId="1F884104" w14:textId="77777777" w:rsidR="000A2A2B" w:rsidRPr="007C3060" w:rsidRDefault="000A2A2B" w:rsidP="007C3060">
      <w:r w:rsidRPr="007C3060">
        <w:t>For å stimulere til bygging og oppgradering av boliger, foreslås det å øke lånerammen med 1 mrd. kroner, fra 32 til 33 mrd. kroner i 2025, jf. forslag til romertallsvedtak. På bakgrunn av dette foreslås det å øke bevilgningen med 70,4 mill. kroner.</w:t>
      </w:r>
    </w:p>
    <w:p w14:paraId="4932E728" w14:textId="77777777" w:rsidR="000A2A2B" w:rsidRPr="007C3060" w:rsidRDefault="000A2A2B" w:rsidP="007C3060">
      <w:r w:rsidRPr="007C3060">
        <w:t>I tillegg foreslås det å øke bevilgningen med 356 mill. kroner som følge av anslagsendringer. Regnskapet for 2024 viser at en større andel av lånerammen ble benyttet til andre lån enn startlån, enn det som ble lagt til grunn i statsbudsjettet for 2025. Siden disse lånene blir utbetalt senere enn startlån, blir utbetalingene høyere i 2025 enn tidligere anslått.</w:t>
      </w:r>
    </w:p>
    <w:p w14:paraId="40DAC5EB" w14:textId="77777777" w:rsidR="000A2A2B" w:rsidRPr="007C3060" w:rsidRDefault="000A2A2B" w:rsidP="007C3060">
      <w:r w:rsidRPr="007C3060">
        <w:lastRenderedPageBreak/>
        <w:t>Samlet foreslås det å øke bevilgningen med 426,4 mill. kroner.</w:t>
      </w:r>
    </w:p>
    <w:p w14:paraId="23E7A0CA" w14:textId="77777777" w:rsidR="000A2A2B" w:rsidRPr="007C3060" w:rsidRDefault="000A2A2B" w:rsidP="007C3060">
      <w:pPr>
        <w:pStyle w:val="b-budkaptit"/>
      </w:pPr>
      <w:r w:rsidRPr="007C3060">
        <w:t>Kap. 5312 Husbanken</w:t>
      </w:r>
    </w:p>
    <w:p w14:paraId="081025C0" w14:textId="77777777" w:rsidR="000A2A2B" w:rsidRPr="007C3060" w:rsidRDefault="000A2A2B" w:rsidP="007C3060">
      <w:pPr>
        <w:pStyle w:val="b-post"/>
      </w:pPr>
      <w:r w:rsidRPr="007C3060">
        <w:t>Post 90 Avdrag</w:t>
      </w:r>
    </w:p>
    <w:p w14:paraId="6E84EB59" w14:textId="77777777" w:rsidR="000A2A2B" w:rsidRPr="007C3060" w:rsidRDefault="000A2A2B" w:rsidP="007C3060">
      <w:r w:rsidRPr="007C3060">
        <w:t>Posten omfatter ordinære og ekstraordinære avdrag og andre innbetalinger, tilbakebetaling av opptjente, ikke betalte renter og tap.</w:t>
      </w:r>
    </w:p>
    <w:p w14:paraId="7C45A2CD" w14:textId="77777777" w:rsidR="000A2A2B" w:rsidRPr="007C3060" w:rsidRDefault="000A2A2B" w:rsidP="007C3060">
      <w:r w:rsidRPr="007C3060">
        <w:t>Bevilgningen er blant annet basert på anslag på regnskap for 2024. Endelige regnskap viser at ordinære avdrag og ekstraordinære innbetalinger ble lavere enn lagt til grunn i saldert budsjett. Hovedårsaken til dette er at flere har forlenget låneperioden og søkt om avdragsfrihet. På denne bakgrunn foreslås det å redusere bevilgningen med 1 820 mill. kroner.</w:t>
      </w:r>
    </w:p>
    <w:p w14:paraId="16837ADA" w14:textId="77777777" w:rsidR="000A2A2B" w:rsidRPr="007C3060" w:rsidRDefault="000A2A2B" w:rsidP="007C3060">
      <w:r w:rsidRPr="007C3060">
        <w:t>I tillegg foreslås det å øke bevilgningen med 0,4 mill. kroner som følge av økning av lånerammen fra 32 til 33 mrd. kroner, jf. kap. 2412, post 90.</w:t>
      </w:r>
    </w:p>
    <w:p w14:paraId="4D0CB1B8" w14:textId="77777777" w:rsidR="000A2A2B" w:rsidRPr="007C3060" w:rsidRDefault="000A2A2B" w:rsidP="007C3060">
      <w:r w:rsidRPr="007C3060">
        <w:t>Samlet foreslås det å redusere bevilgningen med 1 819,6 mill. kroner.</w:t>
      </w:r>
    </w:p>
    <w:p w14:paraId="7B0AC658" w14:textId="77777777" w:rsidR="000A2A2B" w:rsidRPr="007C3060" w:rsidRDefault="000A2A2B" w:rsidP="007C3060">
      <w:pPr>
        <w:pStyle w:val="b-budkaptit"/>
      </w:pPr>
      <w:r w:rsidRPr="007C3060">
        <w:t>Kap. 5615 Husbanken</w:t>
      </w:r>
    </w:p>
    <w:p w14:paraId="67680A63" w14:textId="77777777" w:rsidR="000A2A2B" w:rsidRPr="007C3060" w:rsidRDefault="000A2A2B" w:rsidP="007C3060">
      <w:pPr>
        <w:pStyle w:val="b-post"/>
      </w:pPr>
      <w:r w:rsidRPr="007C3060">
        <w:t>Post 80 Renter</w:t>
      </w:r>
    </w:p>
    <w:p w14:paraId="1D6371E0" w14:textId="77777777" w:rsidR="000A2A2B" w:rsidRPr="007C3060" w:rsidRDefault="000A2A2B" w:rsidP="007C3060">
      <w:r w:rsidRPr="007C3060">
        <w:t>Posten omfatter betalte renter på lån, opptjente ikke betalte renter og rentestøtte.</w:t>
      </w:r>
    </w:p>
    <w:p w14:paraId="0B146629" w14:textId="77777777" w:rsidR="000A2A2B" w:rsidRPr="007C3060" w:rsidRDefault="000A2A2B" w:rsidP="007C3060">
      <w:r w:rsidRPr="007C3060">
        <w:t>Det foreslås å øke bevilgningen med 39 mill. kroner som følge av noe høyere utlånsportefølje og høyere gjennomsnittsrente i porteføljen enn lagt til grunn i saldert budsjett.</w:t>
      </w:r>
    </w:p>
    <w:p w14:paraId="289FE6D2" w14:textId="77777777" w:rsidR="000A2A2B" w:rsidRPr="007C3060" w:rsidRDefault="000A2A2B" w:rsidP="007C3060">
      <w:r w:rsidRPr="007C3060">
        <w:t>Videre foreslås det å øke bevilgningen med 1,4 mill. kroner som følge av forslaget om økning av lånerammen fra 32 til 33 mrd. kroner, jf. omtale under kap. 2412, post 90.</w:t>
      </w:r>
    </w:p>
    <w:p w14:paraId="1966DB69" w14:textId="77777777" w:rsidR="000A2A2B" w:rsidRPr="007C3060" w:rsidRDefault="000A2A2B" w:rsidP="007C3060">
      <w:r w:rsidRPr="007C3060">
        <w:t>Samlet foreslås det å øke bevilgningen med 40,4 mill. kroner.</w:t>
      </w:r>
    </w:p>
    <w:p w14:paraId="19FC0BCF" w14:textId="77777777" w:rsidR="000A2A2B" w:rsidRPr="007C3060" w:rsidRDefault="000A2A2B" w:rsidP="007C3060">
      <w:pPr>
        <w:pStyle w:val="b-budkaptit"/>
      </w:pPr>
      <w:r w:rsidRPr="007C3060">
        <w:t>Kap. 595 Statens kartverk</w:t>
      </w:r>
    </w:p>
    <w:p w14:paraId="755DD4AB" w14:textId="77777777" w:rsidR="000A2A2B" w:rsidRPr="007C3060" w:rsidRDefault="000A2A2B" w:rsidP="007C3060">
      <w:pPr>
        <w:pStyle w:val="b-post"/>
      </w:pPr>
      <w:r w:rsidRPr="007C3060">
        <w:t>Post 01 Driftsutgifter, kan nyttes under post 21 og 45</w:t>
      </w:r>
    </w:p>
    <w:p w14:paraId="2BB4A779" w14:textId="77777777" w:rsidR="000A2A2B" w:rsidRPr="007C3060" w:rsidRDefault="000A2A2B" w:rsidP="007C3060">
      <w:r w:rsidRPr="007C3060">
        <w:t>Bevilgningen dekker Kartverkets utgifter til lønn og andre faste driftsutgifter.</w:t>
      </w:r>
    </w:p>
    <w:p w14:paraId="4C899078" w14:textId="77777777" w:rsidR="000A2A2B" w:rsidRPr="007C3060" w:rsidRDefault="000A2A2B" w:rsidP="007C3060">
      <w:r w:rsidRPr="007C3060">
        <w:t xml:space="preserve">Kartverket har driftsansvaret for den internasjonale elektroniske sjøkarttjenesten PRIMAR. En liten del av inntektene fra salg av elektroniske sjøkart dekker drift og utvikling gjennom Kartverket, mens hoveddelen utbetales til medlemslandene som royalties. Inntekter som skal dekke drift og utvikling føres på kap. 3595, post 02, mens utgiftene dekkes over kap. 595, post 01 og post 21. </w:t>
      </w:r>
      <w:proofErr w:type="spellStart"/>
      <w:r w:rsidRPr="007C3060">
        <w:t>Royaltiesinntekter</w:t>
      </w:r>
      <w:proofErr w:type="spellEnd"/>
      <w:r w:rsidRPr="007C3060">
        <w:t xml:space="preserve"> som utbetales til Kartverket føres også på kap. 3595, post 02. </w:t>
      </w:r>
      <w:proofErr w:type="spellStart"/>
      <w:r w:rsidRPr="007C3060">
        <w:t>Royaltiesinntektene</w:t>
      </w:r>
      <w:proofErr w:type="spellEnd"/>
      <w:r w:rsidRPr="007C3060">
        <w:t xml:space="preserve"> dekker utgifter til å produsere og forvalte norske sjøkart over kap. 595, post 01 og 21.</w:t>
      </w:r>
    </w:p>
    <w:p w14:paraId="54781852" w14:textId="77777777" w:rsidR="000A2A2B" w:rsidRPr="007C3060" w:rsidRDefault="000A2A2B" w:rsidP="007C3060">
      <w:r w:rsidRPr="007C3060">
        <w:t>Medlemslandene i PRIMAR-samarbeidet ønsker å øke utviklingsarbeidet knyttet til elektroniske sjøkart. Det foreslås derfor en parallell økning av inntektene og utgiftene knyttet til drift og utvikling på 13,2 mill. kroner.</w:t>
      </w:r>
    </w:p>
    <w:p w14:paraId="1E49DBA1" w14:textId="77777777" w:rsidR="000A2A2B" w:rsidRPr="007C3060" w:rsidRDefault="000A2A2B" w:rsidP="007C3060">
      <w:r w:rsidRPr="007C3060">
        <w:lastRenderedPageBreak/>
        <w:t xml:space="preserve">I tillegg er det en økning i </w:t>
      </w:r>
      <w:proofErr w:type="spellStart"/>
      <w:r w:rsidRPr="007C3060">
        <w:t>royalitiesinntektene</w:t>
      </w:r>
      <w:proofErr w:type="spellEnd"/>
      <w:r w:rsidRPr="007C3060">
        <w:t xml:space="preserve"> på 8,5 mill. kroner, som benyttes til å dekke utgifter til produksjon og forvaltning av norske sjøkart.</w:t>
      </w:r>
    </w:p>
    <w:p w14:paraId="127B812A" w14:textId="77777777" w:rsidR="000A2A2B" w:rsidRPr="007C3060" w:rsidRDefault="000A2A2B" w:rsidP="007C3060">
      <w:r w:rsidRPr="007C3060">
        <w:t>Samlet sett foreslås det å øke bevilgningen over kap. 595, post 01 med 13,2 mill. kroner og kap. 595, post 21 med 8,1 mill. kroner. Inntektene over kap. 3595, post 02 foreslås økt med 23,1 mill. kroner. Se også omtale under kap. 595, post 21 og kap. 3595, post 02.</w:t>
      </w:r>
    </w:p>
    <w:p w14:paraId="2716DB49" w14:textId="2FBD59C8" w:rsidR="000A2A2B" w:rsidRPr="007C3060" w:rsidRDefault="000A2A2B" w:rsidP="007C3060">
      <w:pPr>
        <w:pStyle w:val="b-post"/>
      </w:pPr>
      <w:r w:rsidRPr="007C3060">
        <w:t>Post 21 Spesielle driftsutgifter, kan overføres, kan nyttes under post 1 og 45</w:t>
      </w:r>
    </w:p>
    <w:p w14:paraId="32E74DBF" w14:textId="77777777" w:rsidR="000A2A2B" w:rsidRPr="007C3060" w:rsidRDefault="000A2A2B" w:rsidP="007C3060">
      <w:r w:rsidRPr="007C3060">
        <w:t>Bevilgningen dekker i hovedsak Kartverkets tidsavgrensede prosjekter og kjøp av tjenester fra private leverandører. Det foreslås å øke bevilgningen med 8,1 mill. kroner, jf. omtale under kap. 595, post 01.</w:t>
      </w:r>
    </w:p>
    <w:p w14:paraId="6E9E6423" w14:textId="77777777" w:rsidR="000A2A2B" w:rsidRPr="007C3060" w:rsidRDefault="000A2A2B" w:rsidP="007C3060">
      <w:pPr>
        <w:pStyle w:val="b-budkaptit"/>
      </w:pPr>
      <w:r w:rsidRPr="007C3060">
        <w:t>Kap. 3595 Statens kartverk</w:t>
      </w:r>
    </w:p>
    <w:p w14:paraId="4D74850E" w14:textId="77777777" w:rsidR="000A2A2B" w:rsidRPr="007C3060" w:rsidRDefault="000A2A2B" w:rsidP="007C3060">
      <w:pPr>
        <w:pStyle w:val="b-post"/>
      </w:pPr>
      <w:r w:rsidRPr="007C3060">
        <w:t>Post 01 Gebyrinntekter tinglysing</w:t>
      </w:r>
    </w:p>
    <w:p w14:paraId="0A214B1F" w14:textId="77777777" w:rsidR="000A2A2B" w:rsidRPr="007C3060" w:rsidRDefault="000A2A2B" w:rsidP="007C3060">
      <w:r w:rsidRPr="007C3060">
        <w:t>På posten føres inntekter knyttet til gebyr for rettsregistrering av boretter og tinglysing i fast eiendom.</w:t>
      </w:r>
    </w:p>
    <w:p w14:paraId="3A4BA05B" w14:textId="77777777" w:rsidR="000A2A2B" w:rsidRPr="007C3060" w:rsidRDefault="000A2A2B" w:rsidP="007C3060">
      <w:r w:rsidRPr="007C3060">
        <w:t>Saldert budsjett for 2025 er 464,7 mill. kroner. Kartverket anslår nå at gebyrinntektene vil ligge på om lag 484 mill. kroner, grunnet høyere aktivitet i boligmarkedet. Det foreslås å øke bevilgningen med 19,3 mill. kroner.</w:t>
      </w:r>
    </w:p>
    <w:p w14:paraId="02539077" w14:textId="77777777" w:rsidR="000A2A2B" w:rsidRPr="007C3060" w:rsidRDefault="000A2A2B" w:rsidP="007C3060">
      <w:pPr>
        <w:pStyle w:val="b-post"/>
      </w:pPr>
      <w:r w:rsidRPr="007C3060">
        <w:t>Post 02 Salg og abonnement m.m.</w:t>
      </w:r>
    </w:p>
    <w:p w14:paraId="5AD9CAB1" w14:textId="77777777" w:rsidR="000A2A2B" w:rsidRPr="007C3060" w:rsidRDefault="000A2A2B" w:rsidP="007C3060">
      <w:r w:rsidRPr="007C3060">
        <w:t>På posten føres inntekter fra ulike salg og abonnement i Kartverket. Det foreslås å øke bevilgningen med 21,3 mill. kroner, jf. omtale under kap. 595, post 01.</w:t>
      </w:r>
    </w:p>
    <w:p w14:paraId="7041E19C" w14:textId="77777777" w:rsidR="000A2A2B" w:rsidRPr="007C3060" w:rsidRDefault="000A2A2B" w:rsidP="007C3060">
      <w:pPr>
        <w:pStyle w:val="Undertittel"/>
      </w:pPr>
      <w:r w:rsidRPr="007C3060">
        <w:t>Andre saker</w:t>
      </w:r>
    </w:p>
    <w:p w14:paraId="2A791170" w14:textId="77777777" w:rsidR="000A2A2B" w:rsidRPr="007C3060" w:rsidRDefault="000A2A2B" w:rsidP="007C3060">
      <w:pPr>
        <w:pStyle w:val="avsnitt-undertittel"/>
      </w:pPr>
      <w:r w:rsidRPr="007C3060">
        <w:t>Bostøtte – boutgiftstak</w:t>
      </w:r>
    </w:p>
    <w:p w14:paraId="019EC198" w14:textId="77777777" w:rsidR="000A2A2B" w:rsidRPr="007C3060" w:rsidRDefault="000A2A2B" w:rsidP="007C3060">
      <w:r w:rsidRPr="007C3060">
        <w:t>Formålet med bostøtten er å sikre personer med lave inntekter og høye boutgifter en egnet bolig. I saldert budsjett for 2025 er det bevilget 4 062 mill. kroner til ordningen. Det er i dag en grense for hvor høye boutgifter som kan inngå i beregningen av bostøtte, omtalt som boutgiftstak. Husstander som har boutgifter over boutgiftstaket, får ikke beregnet bostøtte for den delen som overstiger taket. Boutgiftstakene varierer ut ifra antall personer i husstanden og hvilken kommune man bor i.</w:t>
      </w:r>
    </w:p>
    <w:p w14:paraId="427597C5" w14:textId="77777777" w:rsidR="000A2A2B" w:rsidRPr="007C3060" w:rsidRDefault="000A2A2B" w:rsidP="007C3060">
      <w:r w:rsidRPr="007C3060">
        <w:t xml:space="preserve">Kommunal- og </w:t>
      </w:r>
      <w:proofErr w:type="spellStart"/>
      <w:r w:rsidRPr="007C3060">
        <w:t>distriktsdepartementet</w:t>
      </w:r>
      <w:proofErr w:type="spellEnd"/>
      <w:r w:rsidRPr="007C3060">
        <w:t xml:space="preserve"> viser til at det i forbindelse med budsjettforliket om revidert nasjonalbudsjett for 2024 ble gitt følgende flertallsmerknad, jf. </w:t>
      </w:r>
      <w:proofErr w:type="spellStart"/>
      <w:r w:rsidRPr="007C3060">
        <w:t>Innst</w:t>
      </w:r>
      <w:proofErr w:type="spellEnd"/>
      <w:r w:rsidRPr="007C3060">
        <w:t>. 447 S (2023–2024):</w:t>
      </w:r>
    </w:p>
    <w:p w14:paraId="344C3935" w14:textId="77777777" w:rsidR="000A2A2B" w:rsidRPr="007C3060" w:rsidRDefault="000A2A2B" w:rsidP="007C3060">
      <w:pPr>
        <w:pStyle w:val="blokksit"/>
      </w:pPr>
      <w:r w:rsidRPr="007C3060">
        <w:t>«Flertallet viser til enighet om at regjeringen i det videre arbeidet med å forenkle og forbedre bostøtteordningen skal utrede endringer i boutgiftstaket innen revidert nasjonalbudsjett 2025. Flertallet mener boutgiftstaket i større grad bør gjenspeile de faktiske boutgiftene i landet, for eksempel med utgangspunkt i SSBs leiemarkedsundersøkelse.»</w:t>
      </w:r>
    </w:p>
    <w:p w14:paraId="6B3B86FC" w14:textId="77777777" w:rsidR="000A2A2B" w:rsidRPr="007C3060" w:rsidRDefault="000A2A2B" w:rsidP="007C3060">
      <w:r w:rsidRPr="007C3060">
        <w:lastRenderedPageBreak/>
        <w:t xml:space="preserve">Kommunal- og </w:t>
      </w:r>
      <w:proofErr w:type="spellStart"/>
      <w:r w:rsidRPr="007C3060">
        <w:t>distriktsdepartementet</w:t>
      </w:r>
      <w:proofErr w:type="spellEnd"/>
      <w:r w:rsidRPr="007C3060">
        <w:t xml:space="preserve"> har i samråd med Husbanken utredet mulige endringer i innretningen på boutgiftstaket i bostøtten, blant annet med utgangspunkt i SSBs leiemarkeds-undersøkelse og geografisk variasjon basert på SSBs sentralitetsindeks. Regjeringen vil vurdere dette videre i den ordinære budsjettprosessen.</w:t>
      </w:r>
    </w:p>
    <w:p w14:paraId="65B65E7E" w14:textId="77777777" w:rsidR="000A2A2B" w:rsidRPr="007C3060" w:rsidRDefault="000A2A2B" w:rsidP="007C3060">
      <w:pPr>
        <w:pStyle w:val="Overskrift2"/>
      </w:pPr>
      <w:r w:rsidRPr="007C3060">
        <w:t>Arbeids- og inkluderingsdepartementet</w:t>
      </w:r>
    </w:p>
    <w:p w14:paraId="2053E5D0" w14:textId="77777777" w:rsidR="000A2A2B" w:rsidRPr="007C3060" w:rsidRDefault="000A2A2B" w:rsidP="007C3060">
      <w:pPr>
        <w:pStyle w:val="b-budkaptit"/>
      </w:pPr>
      <w:r w:rsidRPr="007C3060">
        <w:t>Kap. 600 Arbeids- og inkluderingsdepartementet</w:t>
      </w:r>
    </w:p>
    <w:p w14:paraId="4DA40E77" w14:textId="77777777" w:rsidR="000A2A2B" w:rsidRPr="007C3060" w:rsidRDefault="000A2A2B" w:rsidP="007C3060">
      <w:pPr>
        <w:pStyle w:val="b-post"/>
      </w:pPr>
      <w:r w:rsidRPr="007C3060">
        <w:t>Post 01 Driftsutgifter</w:t>
      </w:r>
    </w:p>
    <w:p w14:paraId="29CBC406" w14:textId="77777777" w:rsidR="000A2A2B" w:rsidRPr="007C3060" w:rsidRDefault="000A2A2B" w:rsidP="007C3060">
      <w:r w:rsidRPr="007C3060">
        <w:t>Bevilgningen på posten er 300,9 mill. kroner.</w:t>
      </w:r>
    </w:p>
    <w:p w14:paraId="092BD706" w14:textId="77777777" w:rsidR="000A2A2B" w:rsidRPr="007C3060" w:rsidRDefault="000A2A2B" w:rsidP="007C3060">
      <w:r w:rsidRPr="007C3060">
        <w:t>Arbeids- og inkluderingsdepartementet vil starte et arbeid for å sikre at folketrygdens regelverk er tilpasset behovene for digitalisering og forenkling. Dette vil være et krevende arbeid som vil ta tid og kreve ressurser, og som medfører behov for å øke bevilgningen til departementet.</w:t>
      </w:r>
    </w:p>
    <w:p w14:paraId="71E4C789" w14:textId="77777777" w:rsidR="000A2A2B" w:rsidRPr="007C3060" w:rsidRDefault="000A2A2B" w:rsidP="007C3060">
      <w:r w:rsidRPr="007C3060">
        <w:t>Bevilgningen foreslås økt med 2 mill. kroner.</w:t>
      </w:r>
    </w:p>
    <w:p w14:paraId="70C7C21C" w14:textId="77777777" w:rsidR="000A2A2B" w:rsidRPr="007C3060" w:rsidRDefault="000A2A2B" w:rsidP="007C3060">
      <w:pPr>
        <w:pStyle w:val="b-budkaptit"/>
      </w:pPr>
      <w:r w:rsidRPr="007C3060">
        <w:t>Kap. 601 Utredningsvirksomhet, forskning mv.</w:t>
      </w:r>
    </w:p>
    <w:p w14:paraId="3A6EA961" w14:textId="77777777" w:rsidR="000A2A2B" w:rsidRPr="007C3060" w:rsidRDefault="000A2A2B" w:rsidP="007C3060">
      <w:pPr>
        <w:pStyle w:val="b-post"/>
      </w:pPr>
      <w:r w:rsidRPr="007C3060">
        <w:t>Post 21 Spesielle driftsutgifter, kan overføres</w:t>
      </w:r>
    </w:p>
    <w:p w14:paraId="4264B5CC" w14:textId="77777777" w:rsidR="000A2A2B" w:rsidRPr="007C3060" w:rsidRDefault="000A2A2B" w:rsidP="007C3060">
      <w:r w:rsidRPr="007C3060">
        <w:t>Bevilgningen på posten er 96 mill. kroner.</w:t>
      </w:r>
    </w:p>
    <w:p w14:paraId="2C9F187F" w14:textId="77777777" w:rsidR="000A2A2B" w:rsidRPr="007C3060" w:rsidRDefault="000A2A2B" w:rsidP="007C3060">
      <w:r w:rsidRPr="007C3060">
        <w:t xml:space="preserve">Norge (og de andre EØS/EFTA-statene) har deltatt fra oppstarten av European Labour </w:t>
      </w:r>
      <w:proofErr w:type="spellStart"/>
      <w:r w:rsidRPr="007C3060">
        <w:t>Authority</w:t>
      </w:r>
      <w:proofErr w:type="spellEnd"/>
      <w:r w:rsidRPr="007C3060">
        <w:t xml:space="preserve"> (ELA) som observatører i styret. Siden forordningen nå er tatt inn i EØS-avtalen og Stortinget ga sitt samtykke 1. april 2025, jf. </w:t>
      </w:r>
      <w:proofErr w:type="spellStart"/>
      <w:r w:rsidRPr="007C3060">
        <w:t>Prop</w:t>
      </w:r>
      <w:proofErr w:type="spellEnd"/>
      <w:r w:rsidRPr="007C3060">
        <w:t xml:space="preserve">. 8 LS (2024–2025), </w:t>
      </w:r>
      <w:proofErr w:type="spellStart"/>
      <w:r w:rsidRPr="007C3060">
        <w:t>Innst</w:t>
      </w:r>
      <w:proofErr w:type="spellEnd"/>
      <w:r w:rsidRPr="007C3060">
        <w:t>. 182 S (2024–2025), vil Norge kunne delta fullt ut i det operative arbeidet til ELA. Dette innebærer at en del av utgiftene som hittil har vært ført på kap. 601 Utredningsvirksomhet, forskning mv., post 70 Tilskudd skal overføres til post 21 Spesielle driftsutgifter da det dreier seg om utgifter av mer driftsmessig karakter.</w:t>
      </w:r>
    </w:p>
    <w:p w14:paraId="6E7B7B41" w14:textId="77777777" w:rsidR="000A2A2B" w:rsidRPr="007C3060" w:rsidRDefault="000A2A2B" w:rsidP="007C3060">
      <w:r w:rsidRPr="007C3060">
        <w:t>Bevilgningen under kap. 601, post 21 foreslås økt med 1,9 mill. kroner mot en tilsvarende reduksjon under kap. 601, post 70.</w:t>
      </w:r>
    </w:p>
    <w:p w14:paraId="12345285" w14:textId="0E2A1F55" w:rsidR="000A2A2B" w:rsidRPr="007C3060" w:rsidRDefault="000A2A2B" w:rsidP="007C3060">
      <w:pPr>
        <w:pStyle w:val="b-post"/>
      </w:pPr>
      <w:r w:rsidRPr="007C3060">
        <w:t>Post 22 Kunnskapsutvikling i IA-avtalen mv., kan overføres</w:t>
      </w:r>
    </w:p>
    <w:p w14:paraId="7C4E6CFD" w14:textId="77777777" w:rsidR="000A2A2B" w:rsidRPr="007C3060" w:rsidRDefault="000A2A2B" w:rsidP="007C3060">
      <w:r w:rsidRPr="007C3060">
        <w:t>Bevilgningen på posten er 29,2 mill. kroner.</w:t>
      </w:r>
    </w:p>
    <w:p w14:paraId="67B81A59" w14:textId="77777777" w:rsidR="000A2A2B" w:rsidRPr="007C3060" w:rsidRDefault="000A2A2B" w:rsidP="007C3060">
      <w:r w:rsidRPr="007C3060">
        <w:t>I Avtale om redusert sykefravær og frafall fra arbeidslivet (IA-avtalen) 2025–2028 er det enighet om å videreføre satsingen på kunnskapsutvikling fra forrige avtale (IA-FoU programmet og statistikkforum), samtidig som det i 2025 og 2026 skal gjennomføres en bred kunnskapsinnhenting om årsaker til utviklingen i sykefraværet og behovet for nye tiltak.</w:t>
      </w:r>
    </w:p>
    <w:p w14:paraId="1CD7ACAA" w14:textId="77777777" w:rsidR="000A2A2B" w:rsidRPr="007C3060" w:rsidRDefault="000A2A2B" w:rsidP="007C3060">
      <w:r w:rsidRPr="007C3060">
        <w:t>Videre er det behov for midler til å igangsette flere utviklingsarbeider i 2025, herunder systemutvikling, for å støtte opp under tiltakene i avtalen. Dette inkluderer blant annet arbeid med å vurdere alternative måter å tilby bedriftstiltaket -</w:t>
      </w:r>
      <w:proofErr w:type="spellStart"/>
      <w:r w:rsidRPr="007C3060">
        <w:t>HelseIArbeid</w:t>
      </w:r>
      <w:proofErr w:type="spellEnd"/>
      <w:r w:rsidRPr="007C3060">
        <w:t xml:space="preserve"> på og utviklingskostnader </w:t>
      </w:r>
      <w:r w:rsidRPr="007C3060">
        <w:lastRenderedPageBreak/>
        <w:t>knyttet til sykefraværsoppfølgingen, herunder å utvikle en digital løsning for å søke tilskudd til ekspert-bistand og kreve refusjon.</w:t>
      </w:r>
    </w:p>
    <w:p w14:paraId="1907B18E" w14:textId="77777777" w:rsidR="000A2A2B" w:rsidRPr="007C3060" w:rsidRDefault="000A2A2B" w:rsidP="007C3060">
      <w:r w:rsidRPr="007C3060">
        <w:t>En rekke av de avtalte virkemidlene i ny IA-avtale vil ha økonomiske konsekvenser som først kommer i 2026, og de vil dermed medføre behov for å omprioritere ressurser til dette formålet innenfor rammen til oppfølgingen av IA-avtalen. Når nærmere avklaringer foreligger, vil Arbeids- og inkluderingsdepartementet komme tilbake til Stortinget med forslag om nødvendige bevilg-</w:t>
      </w:r>
      <w:proofErr w:type="spellStart"/>
      <w:r w:rsidRPr="007C3060">
        <w:t>ning</w:t>
      </w:r>
      <w:proofErr w:type="spellEnd"/>
      <w:r w:rsidRPr="007C3060">
        <w:t>-s--endringer.</w:t>
      </w:r>
    </w:p>
    <w:p w14:paraId="5733461D" w14:textId="77777777" w:rsidR="000A2A2B" w:rsidRPr="007C3060" w:rsidRDefault="000A2A2B" w:rsidP="007C3060">
      <w:r w:rsidRPr="007C3060">
        <w:t>Det foreslås å øke bevilgningen med 55,4 mill. kroner.</w:t>
      </w:r>
    </w:p>
    <w:p w14:paraId="6515A2D8" w14:textId="77777777" w:rsidR="000A2A2B" w:rsidRPr="007C3060" w:rsidRDefault="000A2A2B" w:rsidP="007C3060">
      <w:pPr>
        <w:pStyle w:val="b-post"/>
      </w:pPr>
      <w:r w:rsidRPr="007C3060">
        <w:t>Post 70 Tilskudd</w:t>
      </w:r>
    </w:p>
    <w:p w14:paraId="0A153048" w14:textId="77777777" w:rsidR="000A2A2B" w:rsidRPr="007C3060" w:rsidRDefault="000A2A2B" w:rsidP="007C3060">
      <w:r w:rsidRPr="007C3060">
        <w:t>Bevilgningen på posten er 65,1 mill. kroner.</w:t>
      </w:r>
    </w:p>
    <w:p w14:paraId="69E9FEA3" w14:textId="77777777" w:rsidR="000A2A2B" w:rsidRPr="007C3060" w:rsidRDefault="000A2A2B" w:rsidP="007C3060">
      <w:r w:rsidRPr="007C3060">
        <w:t>Bevilgningen dekker tilskudd til institusjoner og organisasjoner på departementets politikkområde og departementets forpliktelser tilknyttet internasjonale avtaler. Store deler av bevilgningen på posten går til å dekke departementets andel av Norges bidrag til EUs programmer og byråer. Utgiftene vil variere fra år til år i programperioden. I 2025 er utgiftene noe lavere enn det som er lagt til grunn i saldert budsjett.</w:t>
      </w:r>
    </w:p>
    <w:p w14:paraId="50DAB42A" w14:textId="77777777" w:rsidR="000A2A2B" w:rsidRPr="007C3060" w:rsidRDefault="000A2A2B" w:rsidP="007C3060">
      <w:r w:rsidRPr="007C3060">
        <w:t>Det vises til omtale under kap. 601 Utredningsvirksomhet, forskning mv., post 21 Spesielle driftsutgifter. Det foreslås å redusere bevilgningen under kap. 601, post 70 med 1,9 mill. kroner mot tilsvarende økning under kap. 601, post 21 knyttet til ELA.</w:t>
      </w:r>
    </w:p>
    <w:p w14:paraId="713EA03F" w14:textId="77777777" w:rsidR="000A2A2B" w:rsidRPr="007C3060" w:rsidRDefault="000A2A2B" w:rsidP="007C3060">
      <w:r w:rsidRPr="007C3060">
        <w:t>Samlet foreslås det å redusere bevilgningen under kap. 601, post 70 med 4,7 mill. kroner.</w:t>
      </w:r>
    </w:p>
    <w:p w14:paraId="0A968DCC" w14:textId="77777777" w:rsidR="000A2A2B" w:rsidRPr="007C3060" w:rsidRDefault="000A2A2B" w:rsidP="007C3060">
      <w:pPr>
        <w:pStyle w:val="b-post"/>
      </w:pPr>
      <w:r w:rsidRPr="007C3060">
        <w:t>Post 75 (Ny) Tilskudd til bærekraftig sykmelding, kan overføres</w:t>
      </w:r>
    </w:p>
    <w:p w14:paraId="4CCA76CB" w14:textId="77777777" w:rsidR="000A2A2B" w:rsidRPr="007C3060" w:rsidRDefault="000A2A2B" w:rsidP="007C3060">
      <w:r w:rsidRPr="007C3060">
        <w:t>Det foreslås å opprette en ny post 75 Tilskudd til bærekraftig sykmelding. Bevilgningen på posten skal dekke utgifter til tilskudd til prosjektet «Bærekraftig sykmelding».</w:t>
      </w:r>
    </w:p>
    <w:p w14:paraId="0E3C1F9E" w14:textId="77777777" w:rsidR="000A2A2B" w:rsidRPr="007C3060" w:rsidRDefault="000A2A2B" w:rsidP="007C3060">
      <w:r w:rsidRPr="007C3060">
        <w:t>I Avtale om redusert sykefravær og frafall fra arbeidslivet (IA-avtalen) 2025–2028 er det enighet om å etablere et samarbeidsprosjekt med den norske legeforening om bærekraftig sykmelding. Formålet med prosjektet er å styrke fastlegens rolle i sykefraværsarbeidet og øke helsekompetansen i befolkningen.</w:t>
      </w:r>
    </w:p>
    <w:p w14:paraId="3395AA05" w14:textId="77777777" w:rsidR="000A2A2B" w:rsidRPr="007C3060" w:rsidRDefault="000A2A2B" w:rsidP="007C3060">
      <w:r w:rsidRPr="007C3060">
        <w:t>Prosjektet innebærer å igangsette tiltak rettet mot både fastlege og pasientene. Tiltaket omfatter både bevisstgjøring og opplæringstiltak rettet mot fastlegene om deres sykmeldingspraksis, og tiltak for å øke pasientenes bevissthet og forståelse av sykefravær. Målet er at dialogen mellom lege og pasient om sykmelding skal bli bedre, og på den måten bidra til færre, kortere og mer graderte sykmeldinger.</w:t>
      </w:r>
    </w:p>
    <w:p w14:paraId="0FA84F72" w14:textId="77777777" w:rsidR="000A2A2B" w:rsidRPr="007C3060" w:rsidRDefault="000A2A2B" w:rsidP="007C3060">
      <w:r w:rsidRPr="007C3060">
        <w:t>Midlene til prosjektet vil bli gitt som tilskudd til Den Norske Legeforening. I tillegg til å dekke kostnader til utvikling av kommunikasjon, undervisning og informasjonsmateriell, skal midlene også benyttes til opplysningskampanjer, praksiskompensasjon for deltakende fastleger og administrativ oppfølging av prosjektet. Prosjektet vil bli evaluert, og det vil bli utviklet kriterier for hvordan resultatene av prosjektet skal måles. Kostnadene er anslått til 8,7 mill. kroner i 2025, og 16 mill. kroner i årene 2026–2028.</w:t>
      </w:r>
    </w:p>
    <w:p w14:paraId="46FC82C8" w14:textId="77777777" w:rsidR="000A2A2B" w:rsidRPr="007C3060" w:rsidRDefault="000A2A2B" w:rsidP="007C3060">
      <w:r w:rsidRPr="007C3060">
        <w:lastRenderedPageBreak/>
        <w:t>Det foreslås en bevilgning på 8,7 mill. kroner.</w:t>
      </w:r>
    </w:p>
    <w:p w14:paraId="60321F9A" w14:textId="77777777" w:rsidR="000A2A2B" w:rsidRPr="007C3060" w:rsidRDefault="000A2A2B" w:rsidP="007C3060">
      <w:pPr>
        <w:pStyle w:val="b-budkaptit"/>
      </w:pPr>
      <w:r w:rsidRPr="007C3060">
        <w:t>Kap. 605 Arbeids- og velferdsetaten</w:t>
      </w:r>
    </w:p>
    <w:p w14:paraId="7DF334D4" w14:textId="77777777" w:rsidR="000A2A2B" w:rsidRPr="007C3060" w:rsidRDefault="000A2A2B" w:rsidP="007C3060">
      <w:pPr>
        <w:pStyle w:val="b-post"/>
      </w:pPr>
      <w:r w:rsidRPr="007C3060">
        <w:t>Post 01 Driftsutgifter</w:t>
      </w:r>
    </w:p>
    <w:p w14:paraId="763E99B4" w14:textId="77777777" w:rsidR="000A2A2B" w:rsidRPr="007C3060" w:rsidRDefault="000A2A2B" w:rsidP="007C3060">
      <w:r w:rsidRPr="007C3060">
        <w:t>Bevilgningen på posten er 15 061,2 mill. kroner.</w:t>
      </w:r>
    </w:p>
    <w:p w14:paraId="5A9B95C9" w14:textId="77777777" w:rsidR="000A2A2B" w:rsidRPr="007C3060" w:rsidRDefault="000A2A2B" w:rsidP="007C3060">
      <w:r w:rsidRPr="007C3060">
        <w:t>Det er endringer på posten som trekker i ulik retning. I sum øker forslag til bevilgning med i underkant av 1 mill. kroner.</w:t>
      </w:r>
    </w:p>
    <w:p w14:paraId="1DCE228D" w14:textId="77777777" w:rsidR="000A2A2B" w:rsidRPr="007C3060" w:rsidRDefault="000A2A2B" w:rsidP="007C3060">
      <w:pPr>
        <w:pStyle w:val="avsnitt-undertittel"/>
      </w:pPr>
      <w:r w:rsidRPr="007C3060">
        <w:t>Fremtidens innkreving</w:t>
      </w:r>
    </w:p>
    <w:p w14:paraId="08104F98" w14:textId="77777777" w:rsidR="000A2A2B" w:rsidRPr="007C3060" w:rsidRDefault="000A2A2B" w:rsidP="007C3060">
      <w:r w:rsidRPr="007C3060">
        <w:t>Som følge av endret periodisering og at deler av bevilgningen opprinnelig ikke inkluderte kompensasjon for merverdiavgift, foreslås bevilgningen i 2025 økt med 20,3 mill. kroner.</w:t>
      </w:r>
    </w:p>
    <w:p w14:paraId="74CA41EC" w14:textId="77777777" w:rsidR="000A2A2B" w:rsidRPr="007C3060" w:rsidRDefault="000A2A2B" w:rsidP="007C3060">
      <w:pPr>
        <w:pStyle w:val="avsnitt-undertittel"/>
      </w:pPr>
      <w:r w:rsidRPr="007C3060">
        <w:t>Styrking av arbeids- og velferdsforvaltningens arbeid mot radikalisering og voldelig ekstremisme</w:t>
      </w:r>
    </w:p>
    <w:p w14:paraId="0E4FF46C" w14:textId="77777777" w:rsidR="000A2A2B" w:rsidRPr="007C3060" w:rsidRDefault="000A2A2B" w:rsidP="007C3060">
      <w:r w:rsidRPr="007C3060">
        <w:t xml:space="preserve">Som ledd i oppfølgingen av Meld. St. 13 (2024–2025) </w:t>
      </w:r>
      <w:r w:rsidRPr="007C3060">
        <w:rPr>
          <w:rStyle w:val="kursiv"/>
        </w:rPr>
        <w:t>Forebygging av ekstremisme</w:t>
      </w:r>
      <w:r w:rsidRPr="007C3060">
        <w:t>, foreslås det å styrke arbeidet med kompetanseheving i arbeids- og velferdsforvaltningen om radikalisering og voldelig ekstremisme. Det er lokalisert en egen veiledningsfunksjon på feltet ved NAV Grünerløkka. Det foreslås å øke bevilgningen under kap. 605 Arbeids- og velferdsetaten, post 01 Driftsutgifter med 1 mill. kroner mot tilsvarende reduksjon under Kultur- og likestillingsdepartementets kap. 351 Likestilling, post 21 Forskning, utredning og spesielle driftsutgifter. Se også omtale under kap. 351, post 21.</w:t>
      </w:r>
    </w:p>
    <w:p w14:paraId="2C60861D" w14:textId="77777777" w:rsidR="000A2A2B" w:rsidRPr="007C3060" w:rsidRDefault="000A2A2B" w:rsidP="007C3060">
      <w:pPr>
        <w:pStyle w:val="avsnitt-undertittel"/>
      </w:pPr>
      <w:r w:rsidRPr="007C3060">
        <w:t>Endringer under Avtale om redusert sykefravær og frafall fra arbeidslivet (IA-avtalen)</w:t>
      </w:r>
    </w:p>
    <w:p w14:paraId="0E05C6D4" w14:textId="77777777" w:rsidR="000A2A2B" w:rsidRPr="007C3060" w:rsidRDefault="000A2A2B" w:rsidP="007C3060">
      <w:r w:rsidRPr="007C3060">
        <w:t>Forsøk med kompetansetiltak for sykmeldte er avviklet fra 1. januar 2025, se også kap. 2650 Sykepenger, Post 76 Tilskudd til ekspertbistand, kan overføres. Midlene til administrativ oppfølging av deltakere i forsøket har vært bevilget under driftsbevilgningen til Arbeids- og velferdsetaten (26,5 mill. kroner).</w:t>
      </w:r>
    </w:p>
    <w:p w14:paraId="0EA960A6" w14:textId="77777777" w:rsidR="000A2A2B" w:rsidRPr="007C3060" w:rsidRDefault="000A2A2B" w:rsidP="007C3060">
      <w:r w:rsidRPr="007C3060">
        <w:t>Som en oppfølging av IA-avtalen 2025–2028, vurderes det å igangsette et nytt forsøk med forsterket oppfølging av sykmeldte med uklare jobb-utsikter. Målgruppen for forsøket er sykmeldte arbeidstakere med lave og uklare jobbforventninger som har behov for en tettere og mer forutsigbar oppfølging enn det de får fra Arbeids- og velferdsetaten i dag.</w:t>
      </w:r>
    </w:p>
    <w:p w14:paraId="12ED8B89" w14:textId="77777777" w:rsidR="000A2A2B" w:rsidRPr="007C3060" w:rsidRDefault="000A2A2B" w:rsidP="007C3060">
      <w:r w:rsidRPr="007C3060">
        <w:t xml:space="preserve">Forslaget innebærer å utvikle og prøve ut oppfølgingsmetodikk som er tilpasset denne målgruppen. Kartlegging og karriereveiledning blir sentrale elementer. Formålet er å redusere omfanget av gjentagende sykefravær, gjennom mer forutsigbarhet og systematikk i oppfølgingen og mer aktiv bruk av arbeidsrettede tiltak og andre virkemidler. Prosjektperioden er fra 2025 til 2028, hvor 2025 vil være et oppstartsår med forberedelser knyttet til utvikling av metodikk og kursopplegg, samt opplæring av veiledere på lokale Nav-kontor i opplæringsmetodikken. Kostnader i 2025 er anslått til 8,6 mill. kroner. Selve forsøket vil kunne komme i gang i 2026, og vil medføre behov for å omprioritere ressurser til dette formålet innenfor rammen til oppfølgingen av </w:t>
      </w:r>
      <w:r w:rsidRPr="007C3060">
        <w:lastRenderedPageBreak/>
        <w:t>IA-avtalen. Når nærmere avklaringer foreligger, vil departementet komme tilbake til Stortinget med forslag om nødvendige bevilgningsendringer.</w:t>
      </w:r>
    </w:p>
    <w:p w14:paraId="3E0EC855" w14:textId="77777777" w:rsidR="000A2A2B" w:rsidRPr="007C3060" w:rsidRDefault="000A2A2B" w:rsidP="007C3060">
      <w:pPr>
        <w:pStyle w:val="avsnitt-undertittel"/>
      </w:pPr>
      <w:r w:rsidRPr="007C3060">
        <w:t>Parallelljustering</w:t>
      </w:r>
    </w:p>
    <w:p w14:paraId="58283C3F" w14:textId="77777777" w:rsidR="000A2A2B" w:rsidRPr="007C3060" w:rsidRDefault="000A2A2B" w:rsidP="007C3060">
      <w:r w:rsidRPr="007C3060">
        <w:t>Det vises til omtale under kap. 3605 Arbeids- og velferdsetaten, post 01 Administrasjonsvederlag. Det foreslås å redusere bevilgningen under kap. 3605, post 01 med 2,6 mill. kroner mot en til-svarende parallelljustering under kap. 605, post 01.</w:t>
      </w:r>
    </w:p>
    <w:p w14:paraId="1A9C0EC9" w14:textId="77777777" w:rsidR="000A2A2B" w:rsidRPr="007C3060" w:rsidRDefault="000A2A2B" w:rsidP="007C3060">
      <w:pPr>
        <w:pStyle w:val="avsnitt-undertittel"/>
      </w:pPr>
      <w:r w:rsidRPr="007C3060">
        <w:t>Forprosjekt utbetalingsløsning</w:t>
      </w:r>
    </w:p>
    <w:p w14:paraId="6FEFFCF3" w14:textId="77777777" w:rsidR="000A2A2B" w:rsidRPr="007C3060" w:rsidRDefault="000A2A2B" w:rsidP="007C3060">
      <w:r w:rsidRPr="007C3060">
        <w:t>Det er i 2025 bevilget midler til forprosjekter for modernisering av pensjons- og utbetalingsløsningene. For pensjonsløsningene er forprosjektet gjennomført, mens forprosjektet for utbetalingsløsningene etter planen skal gjennomføres høsten 2025, med ferdigstillelse tidlig i 2026. Departementet vil på bakgrunn av nærmere fremdrift i forprosjektet for utbetalingsløsningene komme tilbake til eventuelle behov for justering av bevilgningen.</w:t>
      </w:r>
    </w:p>
    <w:p w14:paraId="64C7DE80" w14:textId="77777777" w:rsidR="000A2A2B" w:rsidRPr="007C3060" w:rsidRDefault="000A2A2B" w:rsidP="007C3060">
      <w:pPr>
        <w:pStyle w:val="avsnitt-undertittel"/>
      </w:pPr>
      <w:r w:rsidRPr="007C3060">
        <w:t>Forslag</w:t>
      </w:r>
    </w:p>
    <w:p w14:paraId="62AFC7D0" w14:textId="77777777" w:rsidR="000A2A2B" w:rsidRPr="007C3060" w:rsidRDefault="000A2A2B" w:rsidP="007C3060">
      <w:r w:rsidRPr="007C3060">
        <w:t>Samlet foreslås det å øke bevilgningen med 0,9 mill. kroner.</w:t>
      </w:r>
    </w:p>
    <w:p w14:paraId="0C91654F" w14:textId="77777777" w:rsidR="000A2A2B" w:rsidRPr="007C3060" w:rsidRDefault="000A2A2B" w:rsidP="007C3060">
      <w:pPr>
        <w:pStyle w:val="b-budkaptit"/>
      </w:pPr>
      <w:r w:rsidRPr="007C3060">
        <w:t>Kap. 3605 Arbeids- og velferdsetaten</w:t>
      </w:r>
    </w:p>
    <w:p w14:paraId="40E84D02" w14:textId="77777777" w:rsidR="000A2A2B" w:rsidRPr="007C3060" w:rsidRDefault="000A2A2B" w:rsidP="007C3060">
      <w:pPr>
        <w:pStyle w:val="b-post"/>
      </w:pPr>
      <w:r w:rsidRPr="007C3060">
        <w:t>Post 01 Administrasjonsvederlag</w:t>
      </w:r>
    </w:p>
    <w:p w14:paraId="2ADF203E" w14:textId="77777777" w:rsidR="000A2A2B" w:rsidRPr="007C3060" w:rsidRDefault="000A2A2B" w:rsidP="007C3060">
      <w:r w:rsidRPr="007C3060">
        <w:t>Bevilgningen på posten er 11,5 mill. kroner.</w:t>
      </w:r>
    </w:p>
    <w:p w14:paraId="4CE4AE2F" w14:textId="77777777" w:rsidR="000A2A2B" w:rsidRPr="007C3060" w:rsidRDefault="000A2A2B" w:rsidP="007C3060">
      <w:r w:rsidRPr="007C3060">
        <w:t>Det er en mindreinntekt på posten blant annet som følge av feil i beregningsgrunnlaget for inntektene.</w:t>
      </w:r>
    </w:p>
    <w:p w14:paraId="7BFB1BBC" w14:textId="77777777" w:rsidR="000A2A2B" w:rsidRPr="007C3060" w:rsidRDefault="000A2A2B" w:rsidP="007C3060">
      <w:r w:rsidRPr="007C3060">
        <w:t>Bevilgningen foreslås redusert med 2,6 mill. kroner mot en tilsvarende parallelljustering under kap. 605, post 01.</w:t>
      </w:r>
    </w:p>
    <w:p w14:paraId="6B63F341" w14:textId="77777777" w:rsidR="000A2A2B" w:rsidRPr="007C3060" w:rsidRDefault="000A2A2B" w:rsidP="007C3060">
      <w:pPr>
        <w:pStyle w:val="b-budkaptit"/>
      </w:pPr>
      <w:r w:rsidRPr="007C3060">
        <w:t>Kap. 611 Pensjoner av statskassen</w:t>
      </w:r>
    </w:p>
    <w:p w14:paraId="7477FD78" w14:textId="77777777" w:rsidR="000A2A2B" w:rsidRPr="007C3060" w:rsidRDefault="000A2A2B" w:rsidP="007C3060">
      <w:pPr>
        <w:pStyle w:val="b-post"/>
      </w:pPr>
      <w:r w:rsidRPr="007C3060">
        <w:t>Post 01 Driftsutgifter, overslagsbevilgning</w:t>
      </w:r>
    </w:p>
    <w:p w14:paraId="3A43E459" w14:textId="77777777" w:rsidR="000A2A2B" w:rsidRPr="007C3060" w:rsidRDefault="000A2A2B" w:rsidP="007C3060">
      <w:r w:rsidRPr="007C3060">
        <w:t>Bevilgningen på posten er 18,8 mill. kroner.</w:t>
      </w:r>
    </w:p>
    <w:p w14:paraId="599BF8A2" w14:textId="77777777" w:rsidR="000A2A2B" w:rsidRPr="007C3060" w:rsidRDefault="000A2A2B" w:rsidP="007C3060">
      <w:r w:rsidRPr="007C3060">
        <w:t>Posten skal dekke utbetalinger til visse grupper som ikke har opptjente pensjonsrettigheter i Statens pensjonskasse. På grunnlag av oppdatert anslag foreslås det å redusere bevilgningen.</w:t>
      </w:r>
    </w:p>
    <w:p w14:paraId="4F9E3192" w14:textId="77777777" w:rsidR="000A2A2B" w:rsidRPr="007C3060" w:rsidRDefault="000A2A2B" w:rsidP="007C3060">
      <w:r w:rsidRPr="007C3060">
        <w:t>Bevilgningen foreslås redusert med 0,4 mill. kroner.</w:t>
      </w:r>
    </w:p>
    <w:p w14:paraId="02E09C43" w14:textId="77777777" w:rsidR="000A2A2B" w:rsidRPr="007C3060" w:rsidRDefault="000A2A2B" w:rsidP="007C3060">
      <w:pPr>
        <w:pStyle w:val="b-budkaptit"/>
      </w:pPr>
      <w:r w:rsidRPr="007C3060">
        <w:t>Kap. 612 Tilskudd til Statens pensjonskasse</w:t>
      </w:r>
    </w:p>
    <w:p w14:paraId="7DD7713B" w14:textId="77777777" w:rsidR="000A2A2B" w:rsidRPr="007C3060" w:rsidRDefault="000A2A2B" w:rsidP="007C3060">
      <w:pPr>
        <w:pStyle w:val="b-post"/>
      </w:pPr>
      <w:r w:rsidRPr="007C3060">
        <w:t>Post 01 Driftsutgifter, overslagsbevilgning</w:t>
      </w:r>
    </w:p>
    <w:p w14:paraId="4D1FDBCC" w14:textId="77777777" w:rsidR="000A2A2B" w:rsidRPr="007C3060" w:rsidRDefault="000A2A2B" w:rsidP="007C3060">
      <w:r w:rsidRPr="007C3060">
        <w:t>Bevilgningen på posten er 12 825,7 mill. kroner.</w:t>
      </w:r>
    </w:p>
    <w:p w14:paraId="5A3FF926" w14:textId="77777777" w:rsidR="000A2A2B" w:rsidRPr="007C3060" w:rsidRDefault="000A2A2B" w:rsidP="007C3060">
      <w:r w:rsidRPr="007C3060">
        <w:lastRenderedPageBreak/>
        <w:t>Bevilgningen til Statens pensjonskasse er nettobudsjettert og anslås på bakgrunn av differansen mellom utgifter og inntekter. Tilskuddet til Statens pensjonskasse foreslås redusert med 346,7 mill. kroner til 12 479 mill. kroner. Utgiftene til pensjon mv. inkludert administrasjonskostnader anslås til i underkant av 39,1 mrd. kroner, mens inntekter fra premiebetalende virksomheter, medlemsinnskudd mv. anslås til i underkant av 26,6 mrd. kroner.</w:t>
      </w:r>
    </w:p>
    <w:p w14:paraId="6346110D" w14:textId="77777777" w:rsidR="000A2A2B" w:rsidRPr="007C3060" w:rsidRDefault="000A2A2B" w:rsidP="007C3060">
      <w:r w:rsidRPr="007C3060">
        <w:t>Inntektene nedjusteres med 238 mill. kroner. Anslagsendringen skyldes i hovedsak netto reduksjon i anslaget for premieinntekter, i hovedsak som følge av at anslaget for vekst i Grunnbeløpet fra 1. mai 2025 er høyere enn lagt til grunn i saldert budsjett.</w:t>
      </w:r>
    </w:p>
    <w:p w14:paraId="12090F4B" w14:textId="77777777" w:rsidR="000A2A2B" w:rsidRPr="007C3060" w:rsidRDefault="000A2A2B" w:rsidP="007C3060">
      <w:r w:rsidRPr="007C3060">
        <w:t>Utgiftene nedjusteres med til sammen 584,7 mill. kroner. Anslagsendringen skyldes i hovedsak at anslaget for utbetalte alderspensjoner, uførepensjoner og AFP-pensjoner er redusert som følge av at utbetalte pensjoner ved inngangen til 2025 var på et lavere nivå enn lagt til grunn i saldert budsjett for 2025.</w:t>
      </w:r>
    </w:p>
    <w:p w14:paraId="009C757C" w14:textId="77777777" w:rsidR="000A2A2B" w:rsidRPr="007C3060" w:rsidRDefault="000A2A2B" w:rsidP="007C3060">
      <w:r w:rsidRPr="007C3060">
        <w:t>Bevilgningen foreslås redusert med 346,7 mill. kroner.</w:t>
      </w:r>
    </w:p>
    <w:p w14:paraId="0D53C33B" w14:textId="77777777" w:rsidR="000A2A2B" w:rsidRPr="007C3060" w:rsidRDefault="000A2A2B" w:rsidP="007C3060">
      <w:pPr>
        <w:pStyle w:val="b-budkaptit"/>
      </w:pPr>
      <w:r w:rsidRPr="007C3060">
        <w:t>Kap. 2470 Statens pensjonskasse</w:t>
      </w:r>
    </w:p>
    <w:p w14:paraId="61757637" w14:textId="77777777" w:rsidR="000A2A2B" w:rsidRPr="007C3060" w:rsidRDefault="000A2A2B" w:rsidP="007C3060">
      <w:pPr>
        <w:pStyle w:val="b-post"/>
      </w:pPr>
      <w:r w:rsidRPr="007C3060">
        <w:t>Post 24 Driftsresultat</w:t>
      </w:r>
    </w:p>
    <w:p w14:paraId="724501C5" w14:textId="77777777" w:rsidR="000A2A2B" w:rsidRPr="007C3060" w:rsidRDefault="000A2A2B" w:rsidP="007C3060">
      <w:r w:rsidRPr="007C3060">
        <w:t>Bevilgningen på kap. 2470, post 24 foreslås videreført med -20 mill. kroner. Det foreslås følgende justeringer på underpostene:</w:t>
      </w:r>
    </w:p>
    <w:p w14:paraId="5C61C65F" w14:textId="77777777" w:rsidR="000A2A2B" w:rsidRPr="007C3060" w:rsidRDefault="000A2A2B" w:rsidP="007C3060">
      <w:pPr>
        <w:pStyle w:val="b-post"/>
      </w:pPr>
      <w:r w:rsidRPr="007C3060">
        <w:t>Post 24.1 Driftsinntekter, overslagsbevilgning</w:t>
      </w:r>
    </w:p>
    <w:p w14:paraId="2E040241" w14:textId="77777777" w:rsidR="000A2A2B" w:rsidRPr="007C3060" w:rsidRDefault="000A2A2B" w:rsidP="007C3060">
      <w:r w:rsidRPr="007C3060">
        <w:t>Driftsinntektene er budsjettert med 790 mill. kroner. Inntektene foreslås økt med 10 mill. kroner, til 800 mill. kroner. Økningen skyldes at pensjonsgivende årslønn for medlemmer av SPK, som legges til grunn ved fakturering av administrasjonspremien som SPKs medlemsvirksomheter skal betale, er noe høyere enn lagt til grunn i saldert budsjett for 2025.</w:t>
      </w:r>
    </w:p>
    <w:p w14:paraId="6AD745FC" w14:textId="77777777" w:rsidR="000A2A2B" w:rsidRPr="007C3060" w:rsidRDefault="000A2A2B" w:rsidP="007C3060">
      <w:pPr>
        <w:pStyle w:val="b-post"/>
      </w:pPr>
      <w:r w:rsidRPr="007C3060">
        <w:t>Post 24.2 Driftsutgifter, overslagsbevilgning</w:t>
      </w:r>
    </w:p>
    <w:p w14:paraId="5FA4D499" w14:textId="77777777" w:rsidR="000A2A2B" w:rsidRPr="007C3060" w:rsidRDefault="000A2A2B" w:rsidP="007C3060">
      <w:r w:rsidRPr="007C3060">
        <w:t>Driftsutgiftene er budsjettert med 637 mill. kroner. Utgiftene foreslås redusert med 12 mill. kroner til 625 mill. kroner. Reduksjonen motsvares av en økning av utgifter som skal aktiveres og dermed utgiftsføres på post 45, jf. omtale under post 24.5 og post 45.</w:t>
      </w:r>
    </w:p>
    <w:p w14:paraId="517CDBC1" w14:textId="77777777" w:rsidR="000A2A2B" w:rsidRPr="007C3060" w:rsidRDefault="000A2A2B" w:rsidP="007C3060">
      <w:pPr>
        <w:pStyle w:val="b-post"/>
      </w:pPr>
      <w:r w:rsidRPr="007C3060">
        <w:t>Post 24.4 Renter av statens kapital</w:t>
      </w:r>
    </w:p>
    <w:p w14:paraId="3E0763B7" w14:textId="77777777" w:rsidR="000A2A2B" w:rsidRPr="007C3060" w:rsidRDefault="000A2A2B" w:rsidP="007C3060">
      <w:r w:rsidRPr="007C3060">
        <w:t>Det er budsjettert med 3 mill. kroner for 2025. Anslaget økes med 1 mill. kroner til 4 mill. kroner.</w:t>
      </w:r>
    </w:p>
    <w:p w14:paraId="3C892CD6" w14:textId="77777777" w:rsidR="000A2A2B" w:rsidRPr="007C3060" w:rsidRDefault="000A2A2B" w:rsidP="007C3060">
      <w:pPr>
        <w:pStyle w:val="b-post"/>
      </w:pPr>
      <w:r w:rsidRPr="007C3060">
        <w:t>Post 24.5 Til investeringsformål</w:t>
      </w:r>
    </w:p>
    <w:p w14:paraId="7589E0E9" w14:textId="77777777" w:rsidR="000A2A2B" w:rsidRPr="007C3060" w:rsidRDefault="000A2A2B" w:rsidP="007C3060">
      <w:r w:rsidRPr="007C3060">
        <w:t>Bevilgningen på underposten er 55 mill. kroner. Underposten omfatter avsetning til egenfinansierte investeringer, jf. kap. 5470, post 30. Avsetningen til investeringer foreslås økt med 21 mill. kroner til 76 mill. kroner, jf. omtale under kap. 2470, post 45 og kap. 5470, post 30.</w:t>
      </w:r>
    </w:p>
    <w:p w14:paraId="45863C50" w14:textId="77777777" w:rsidR="000A2A2B" w:rsidRPr="007C3060" w:rsidRDefault="000A2A2B" w:rsidP="007C3060">
      <w:pPr>
        <w:pStyle w:val="b-post"/>
      </w:pPr>
      <w:r w:rsidRPr="007C3060">
        <w:lastRenderedPageBreak/>
        <w:t>Post 45 Større utstyrsanskaffelser og vedlikehold, kan overføres</w:t>
      </w:r>
    </w:p>
    <w:p w14:paraId="49C491AB" w14:textId="77777777" w:rsidR="000A2A2B" w:rsidRPr="007C3060" w:rsidRDefault="000A2A2B" w:rsidP="007C3060">
      <w:r w:rsidRPr="007C3060">
        <w:t>Bevilgningen på posten er 179 mill. kroner.</w:t>
      </w:r>
    </w:p>
    <w:p w14:paraId="15152756" w14:textId="77777777" w:rsidR="000A2A2B" w:rsidRPr="007C3060" w:rsidRDefault="000A2A2B" w:rsidP="007C3060">
      <w:r w:rsidRPr="007C3060">
        <w:t>Bevilgningen på posten foreslås økt med 21 mill. kroner som følge av at avsetningen til egenfinansierte investeringsutgifter under kap. 2740, underpost 24.5 er økt med tilsvarende beløp. Noe av økningen i bevilgningen skal dekke høyere kostnader for prosjektet nytt IKT-system for boliglånsordningen i SPK.</w:t>
      </w:r>
    </w:p>
    <w:p w14:paraId="6792DC64" w14:textId="77777777" w:rsidR="000A2A2B" w:rsidRPr="007C3060" w:rsidRDefault="000A2A2B" w:rsidP="007C3060">
      <w:pPr>
        <w:pStyle w:val="b-budkaptit"/>
      </w:pPr>
      <w:r w:rsidRPr="007C3060">
        <w:t>Kap. 5470 Statens pensjonskasse</w:t>
      </w:r>
    </w:p>
    <w:p w14:paraId="081DD37B" w14:textId="77777777" w:rsidR="000A2A2B" w:rsidRPr="007C3060" w:rsidRDefault="000A2A2B" w:rsidP="007C3060">
      <w:pPr>
        <w:pStyle w:val="b-post"/>
      </w:pPr>
      <w:r w:rsidRPr="007C3060">
        <w:t>Post 30 Avsetning til investeringsformål</w:t>
      </w:r>
    </w:p>
    <w:p w14:paraId="7B46BF6A" w14:textId="77777777" w:rsidR="000A2A2B" w:rsidRPr="007C3060" w:rsidRDefault="000A2A2B" w:rsidP="007C3060">
      <w:r w:rsidRPr="007C3060">
        <w:t>Bevilgningen på posten er 55 mill. kroner.</w:t>
      </w:r>
    </w:p>
    <w:p w14:paraId="642A4C60" w14:textId="77777777" w:rsidR="000A2A2B" w:rsidRPr="007C3060" w:rsidRDefault="000A2A2B" w:rsidP="007C3060">
      <w:r w:rsidRPr="007C3060">
        <w:t>Bevilgningen foreslås økt med 21 mill. kroner jf. omtale under kap. 2470, underpost 24.5 og post 45.</w:t>
      </w:r>
    </w:p>
    <w:p w14:paraId="45C0FD47" w14:textId="77777777" w:rsidR="000A2A2B" w:rsidRPr="007C3060" w:rsidRDefault="000A2A2B" w:rsidP="007C3060">
      <w:pPr>
        <w:pStyle w:val="b-budkaptit"/>
      </w:pPr>
      <w:r w:rsidRPr="007C3060">
        <w:t>Kap. 634 Arbeidsmarkedstiltak</w:t>
      </w:r>
    </w:p>
    <w:p w14:paraId="17C1770B" w14:textId="77777777" w:rsidR="000A2A2B" w:rsidRPr="007C3060" w:rsidRDefault="000A2A2B" w:rsidP="007C3060">
      <w:pPr>
        <w:pStyle w:val="b-post"/>
      </w:pPr>
      <w:r w:rsidRPr="007C3060">
        <w:t>Post 70 (Ny) Forsøk med ungdomsprogramytelse, kan overføres</w:t>
      </w:r>
    </w:p>
    <w:p w14:paraId="7400AA33" w14:textId="77777777" w:rsidR="000A2A2B" w:rsidRPr="007C3060" w:rsidRDefault="000A2A2B" w:rsidP="007C3060">
      <w:r w:rsidRPr="007C3060">
        <w:t xml:space="preserve">I Meld. St. 33 (2023–2024) </w:t>
      </w:r>
      <w:r w:rsidRPr="007C3060">
        <w:rPr>
          <w:rStyle w:val="kursiv"/>
        </w:rPr>
        <w:t xml:space="preserve">En forsterket arbeidslinje – flere i jobb og færre på trygd </w:t>
      </w:r>
      <w:r w:rsidRPr="007C3060">
        <w:t>skrev regjeringen at den ville iverksette et forsøk med et nytt arbeidsrettet ungdomsprogram med rett til en statlig finansiert ytelse, hvor nedsatt helsetilstand ikke er et inngangsvilkår. Dette ble først fulgt opp i saldert budsjett for 2025, der det ble bevilget 30 mill. kroner over kap. 605, post 01 til utvikling av ny saksbehandlingsløsning i Arbeids- og velferdsetaten. Forslag om et forsøk med ungdoms-program ble sendt på offentlig høring i mars, med høringsfrist 16. mai.</w:t>
      </w:r>
    </w:p>
    <w:p w14:paraId="588E5220" w14:textId="77777777" w:rsidR="000A2A2B" w:rsidRPr="007C3060" w:rsidRDefault="000A2A2B" w:rsidP="007C3060">
      <w:r w:rsidRPr="007C3060">
        <w:t>Forsøket skal undersøke om et fulltidsprogram med strenge aktivitetskrav og en alternativ inntektssikring, uten medisinske inngangsvilkår, vil bidra til at flere unge oppnår en stabil tilknytning til arbeidslivet. Det er uheldig at arbeids-avklaringspenger, som er en helserelatert ytelse, kan fremstå som den eneste muligheten unge uten rett til dagpenger har for en forutsigbar og god inntektssikring. For stor vekt på helse som inngangsvilkår for inntektssikring kan medføre at oppfølgingsarbeidet av de unge i stor grad preges av de unges begrensninger fremfor deres ressurser.</w:t>
      </w:r>
    </w:p>
    <w:p w14:paraId="66F1692B" w14:textId="77777777" w:rsidR="000A2A2B" w:rsidRPr="007C3060" w:rsidRDefault="000A2A2B" w:rsidP="007C3060">
      <w:r w:rsidRPr="007C3060">
        <w:t>Et ungdomsprogram vil gi Nav-kontoret et nytt verktøy rettet mot unge med utfordringer. Målgruppen for forsøket er personer med nedsatt arbeidsevne som anses å kunne komme over i arbeid eller utdanning i løpet av ett år, og andre registrerte ledige med betydelige behov for bistand for å komme i arbeid. Inntak til programmet skal skje etter en individuell vurdering. Maksimal varighet for deltakelse i programmet skal som hovedregel være ett år uten mulighet for gjentatt deltakelse. Programmet skal være på tilnærmet fulltid og stille høye krav til arbeidsrettet aktivitet. Det innebærer krav om å delta i arbeidsmarkedstiltak eller andre arbeidsrettede aktiviteter tilpasset den enkeltes behov. Siden et vesentlig formål med forsøket vil være å etablere et alternativ til arbeidsavklaringspenger, vil ytelsesnivået tilsvare minstesatsene for arbeidsavklaringspenger. For å motta ytelsen må de avtalte aktivitetene i programmet gjennomføres.</w:t>
      </w:r>
    </w:p>
    <w:p w14:paraId="565C84C4" w14:textId="77777777" w:rsidR="000A2A2B" w:rsidRPr="007C3060" w:rsidRDefault="000A2A2B" w:rsidP="007C3060">
      <w:r w:rsidRPr="007C3060">
        <w:lastRenderedPageBreak/>
        <w:t>For å kunne starte opp forsøket fra høsten 2025 foreslår regjeringen at 20 mill. kroner omdisponeres fra kap. 634, post 76 til kap. 634, post 70. Midlene skal gå til å finansiere ungdomsprogramytelsen. Ytelsen vil være rammestyrt. Det er beregningsteknisk lagt til grunn om lag 300 mottakere av ytelsen i gjennomsnitt per måned i perioden september– desember 2025.</w:t>
      </w:r>
    </w:p>
    <w:p w14:paraId="365E2D7E" w14:textId="77777777" w:rsidR="000A2A2B" w:rsidRPr="007C3060" w:rsidRDefault="000A2A2B" w:rsidP="007C3060">
      <w:r w:rsidRPr="007C3060">
        <w:t>Forsøket skal evalueres. Basert på evalueringen skal det senest innen fire år besluttes om programmet skal videreføres. Utgiftene vil i noen grad kunne bli motvirket av at mange deltakere alternativt ville ha mottatt andre ytelser. Det er et mål at programmet skal få flere unge i jobb og færre på uføretrygd.</w:t>
      </w:r>
    </w:p>
    <w:p w14:paraId="56040FE4" w14:textId="77777777" w:rsidR="000A2A2B" w:rsidRPr="007C3060" w:rsidRDefault="000A2A2B" w:rsidP="007C3060">
      <w:pPr>
        <w:pStyle w:val="b-post"/>
      </w:pPr>
      <w:r w:rsidRPr="007C3060">
        <w:t>Post 76 Tiltak for arbeidssøkere, kan overføres</w:t>
      </w:r>
    </w:p>
    <w:p w14:paraId="74E284DA" w14:textId="77777777" w:rsidR="000A2A2B" w:rsidRPr="007C3060" w:rsidRDefault="000A2A2B" w:rsidP="007C3060">
      <w:r w:rsidRPr="007C3060">
        <w:t>Bevilgningen på posten er på 8 384,6 mill. kroner.</w:t>
      </w:r>
    </w:p>
    <w:p w14:paraId="310F9608" w14:textId="77777777" w:rsidR="000A2A2B" w:rsidRPr="007C3060" w:rsidRDefault="000A2A2B" w:rsidP="007C3060">
      <w:r w:rsidRPr="007C3060">
        <w:t>Arbeids- og velferdsetaten har innført en ny refusjonsløsning for lønnstilskudd, som gjør at tilskuddet betales ut til arbeidsgivere raskere enn før. Som følge av dette vil en større del av tiltaksaktiviteten komme til utbetaling i 2025 og en mindre del i 2026 enn opprinnelig lagt til grunn. Tilsvarende lå til grunn for deler av merforbruket på posten i 2024, noe som reduserer bevilgningsbehovet i 2025. Samlet foreslår departementet å øke bevilgningen til arbeidsmarkedstiltak med 142,1 mill. kroner. Samtidig foreslås det å redusere tilsagnsfullmakten for aktivitet i 2025 som kommer til utbetaling i 2026 med 333,1 mill. kroner, jf. forslag om romertallsvedtak. Endringene påvirker ikke tiltaksgjennomføringen i 2025.</w:t>
      </w:r>
    </w:p>
    <w:p w14:paraId="3DFB8E0B" w14:textId="77777777" w:rsidR="000A2A2B" w:rsidRPr="007C3060" w:rsidRDefault="000A2A2B" w:rsidP="007C3060">
      <w:r w:rsidRPr="007C3060">
        <w:t>For å kunne finansiere den nye ungdomsprogramytelsen foreslås det å omdisponere 20 mill. kroner fra kap. 634, post 76 til kap. 634, post 70. Se omtale under kap. 634, post 70. Samtidig er det anslått at innføringen av en ny ungdomsprogram-ytelse vil redusere utgiftene til tiltakspenger innenfor kap. 634, post 76 med rundt 2 mill. kroner i 2025. Det medfører reelt sett at midlene til arbeidsmarkedstiltak reduseres med 18 mill. kroner.</w:t>
      </w:r>
    </w:p>
    <w:p w14:paraId="76850D5D" w14:textId="77777777" w:rsidR="000A2A2B" w:rsidRPr="007C3060" w:rsidRDefault="000A2A2B" w:rsidP="007C3060">
      <w:r w:rsidRPr="007C3060">
        <w:t>Videre foreslår Arbeids- og inkluderingsdepartementet at inntektsførte trekk av tiltakspenger under kap. 3634, post 85 blir inntektsført under kap. 634, post 76. Inntektene reduserer utgiftene under post 76 med 5 mill. kroner i 2025. Se omtale under kap. 3634, post 85.</w:t>
      </w:r>
    </w:p>
    <w:p w14:paraId="695EB307" w14:textId="77777777" w:rsidR="000A2A2B" w:rsidRPr="007C3060" w:rsidRDefault="000A2A2B" w:rsidP="007C3060">
      <w:r w:rsidRPr="007C3060">
        <w:t>Samlet foreslås det å øke bevilgningen med 117,1 mill. kroner.</w:t>
      </w:r>
    </w:p>
    <w:p w14:paraId="7106F253" w14:textId="77777777" w:rsidR="000A2A2B" w:rsidRPr="007C3060" w:rsidRDefault="000A2A2B" w:rsidP="007C3060">
      <w:r w:rsidRPr="007C3060">
        <w:t>Det foreslås videre at tilsagnsfullmakten for å opprettholde aktivitetsnivået inn i 2026 økes med 411,3 mill. kroner, jf. forslag til romertallsvedtak.</w:t>
      </w:r>
    </w:p>
    <w:p w14:paraId="328B51BD" w14:textId="77777777" w:rsidR="000A2A2B" w:rsidRPr="007C3060" w:rsidRDefault="000A2A2B" w:rsidP="007C3060">
      <w:pPr>
        <w:pStyle w:val="b-post"/>
      </w:pPr>
      <w:r w:rsidRPr="007C3060">
        <w:t>Post 77 Varig tilrettelagt arbeid, kan overføres</w:t>
      </w:r>
    </w:p>
    <w:p w14:paraId="25CB959B" w14:textId="77777777" w:rsidR="000A2A2B" w:rsidRPr="007C3060" w:rsidRDefault="000A2A2B" w:rsidP="007C3060">
      <w:r w:rsidRPr="007C3060">
        <w:t>Bevilgningen på posten er på 2 222,1 mill. kroner.</w:t>
      </w:r>
    </w:p>
    <w:p w14:paraId="0E371BE6" w14:textId="77777777" w:rsidR="000A2A2B" w:rsidRPr="007C3060" w:rsidRDefault="000A2A2B" w:rsidP="007C3060">
      <w:r w:rsidRPr="007C3060">
        <w:t>Det foreslås at tilsagnsfullmakten for å opprettholde aktivitetsnivået i 2026 økes med 29,8 mill. kroner, jf. forslag til romertallsvedtak.</w:t>
      </w:r>
    </w:p>
    <w:p w14:paraId="7336100E" w14:textId="0100B2E9" w:rsidR="000A2A2B" w:rsidRPr="007C3060" w:rsidRDefault="000A2A2B" w:rsidP="007C3060">
      <w:pPr>
        <w:pStyle w:val="b-post"/>
      </w:pPr>
      <w:r w:rsidRPr="007C3060">
        <w:t>Post 79 Funksjonsassistanse i arbeidslivet, kan overføres</w:t>
      </w:r>
    </w:p>
    <w:p w14:paraId="7C12F08E" w14:textId="77777777" w:rsidR="000A2A2B" w:rsidRPr="007C3060" w:rsidRDefault="000A2A2B" w:rsidP="007C3060">
      <w:r w:rsidRPr="007C3060">
        <w:t>Bevilgningen på posten er på 142 mill. kroner.</w:t>
      </w:r>
    </w:p>
    <w:p w14:paraId="7DA36102" w14:textId="77777777" w:rsidR="000A2A2B" w:rsidRPr="007C3060" w:rsidRDefault="000A2A2B" w:rsidP="007C3060">
      <w:r w:rsidRPr="007C3060">
        <w:lastRenderedPageBreak/>
        <w:t>Det foreslås at tilsagnsfullmakten for å opprettholde aktivitetsnivået i 2026 økes med 3,6 mill. kroner jf. forslag til romertallsvedtak.</w:t>
      </w:r>
    </w:p>
    <w:p w14:paraId="7FCD7971" w14:textId="77777777" w:rsidR="000A2A2B" w:rsidRPr="007C3060" w:rsidRDefault="000A2A2B" w:rsidP="007C3060">
      <w:pPr>
        <w:pStyle w:val="b-budkaptit"/>
      </w:pPr>
      <w:r w:rsidRPr="007C3060">
        <w:t>Kap. 3634 Arbeidsmarkedstiltak</w:t>
      </w:r>
    </w:p>
    <w:p w14:paraId="08B8DDAA" w14:textId="77777777" w:rsidR="000A2A2B" w:rsidRPr="007C3060" w:rsidRDefault="000A2A2B" w:rsidP="007C3060">
      <w:pPr>
        <w:pStyle w:val="b-post"/>
      </w:pPr>
      <w:r w:rsidRPr="007C3060">
        <w:t>Post 85 Innfordring av feilutbetalinger, arbeidsmarkedstiltak</w:t>
      </w:r>
    </w:p>
    <w:p w14:paraId="371C6EBE" w14:textId="77777777" w:rsidR="000A2A2B" w:rsidRPr="007C3060" w:rsidRDefault="000A2A2B" w:rsidP="007C3060">
      <w:r w:rsidRPr="007C3060">
        <w:t>Bevilgningen er på 5 mill. kroner.</w:t>
      </w:r>
    </w:p>
    <w:p w14:paraId="58D13A66" w14:textId="77777777" w:rsidR="000A2A2B" w:rsidRPr="007C3060" w:rsidRDefault="000A2A2B" w:rsidP="007C3060">
      <w:r w:rsidRPr="007C3060">
        <w:t>Regjeringen foreslår å redusere bevilgningen med 5 mill. kroner. Bakgrunnen er at inntektsførte trekk av tiltakspenger nå går til reduksjon av utgifter under kap. 634, post 76.</w:t>
      </w:r>
    </w:p>
    <w:p w14:paraId="6DBA50EA" w14:textId="77777777" w:rsidR="000A2A2B" w:rsidRPr="007C3060" w:rsidRDefault="000A2A2B" w:rsidP="007C3060">
      <w:pPr>
        <w:pStyle w:val="b-budkaptit"/>
      </w:pPr>
      <w:r w:rsidRPr="007C3060">
        <w:t>Kap. 635 Ventelønn</w:t>
      </w:r>
    </w:p>
    <w:p w14:paraId="1FBF167F" w14:textId="77777777" w:rsidR="000A2A2B" w:rsidRPr="007C3060" w:rsidRDefault="000A2A2B" w:rsidP="007C3060">
      <w:pPr>
        <w:pStyle w:val="b-post"/>
      </w:pPr>
      <w:r w:rsidRPr="007C3060">
        <w:t>Post 01 Driftsutgifter, overslagsbevilgning</w:t>
      </w:r>
    </w:p>
    <w:p w14:paraId="00CED8C9" w14:textId="77777777" w:rsidR="000A2A2B" w:rsidRPr="007C3060" w:rsidRDefault="000A2A2B" w:rsidP="007C3060">
      <w:r w:rsidRPr="007C3060">
        <w:t>Bevilgningen på posten er på 0,1 mill. kroner.</w:t>
      </w:r>
    </w:p>
    <w:p w14:paraId="1A5F57E9" w14:textId="77777777" w:rsidR="000A2A2B" w:rsidRPr="007C3060" w:rsidRDefault="000A2A2B" w:rsidP="007C3060">
      <w:r w:rsidRPr="007C3060">
        <w:t>På bakgrunn av forventet utvikling i 2025 foreslås bevilgningen økt med 30 000 kroner.</w:t>
      </w:r>
    </w:p>
    <w:p w14:paraId="56BC44A9" w14:textId="77777777" w:rsidR="000A2A2B" w:rsidRPr="007C3060" w:rsidRDefault="000A2A2B" w:rsidP="007C3060">
      <w:pPr>
        <w:pStyle w:val="b-budkaptit"/>
      </w:pPr>
      <w:r w:rsidRPr="007C3060">
        <w:t>Kap. 3635 Ventelønn mv.</w:t>
      </w:r>
    </w:p>
    <w:p w14:paraId="0FA2E386" w14:textId="77777777" w:rsidR="000A2A2B" w:rsidRPr="007C3060" w:rsidRDefault="000A2A2B" w:rsidP="007C3060">
      <w:pPr>
        <w:pStyle w:val="b-post"/>
      </w:pPr>
      <w:r w:rsidRPr="007C3060">
        <w:t>Post 01 Refusjon statlig virksomhet mv.</w:t>
      </w:r>
    </w:p>
    <w:p w14:paraId="76FF387C" w14:textId="77777777" w:rsidR="000A2A2B" w:rsidRPr="007C3060" w:rsidRDefault="000A2A2B" w:rsidP="007C3060">
      <w:r w:rsidRPr="007C3060">
        <w:t>Bevilgningen på posten er på 0,1 mill. kroner.</w:t>
      </w:r>
    </w:p>
    <w:p w14:paraId="3826DEB7" w14:textId="77777777" w:rsidR="000A2A2B" w:rsidRPr="007C3060" w:rsidRDefault="000A2A2B" w:rsidP="007C3060">
      <w:r w:rsidRPr="007C3060">
        <w:t>På bakgrunn av forsinkelser i innbetalingene av ventelønn fra 2024 foreslås bevilgningen økt med 0,1 mill. kroner.</w:t>
      </w:r>
    </w:p>
    <w:p w14:paraId="463ADB16" w14:textId="77777777" w:rsidR="000A2A2B" w:rsidRPr="007C3060" w:rsidRDefault="000A2A2B" w:rsidP="007C3060">
      <w:pPr>
        <w:pStyle w:val="b-budkaptit"/>
      </w:pPr>
      <w:r w:rsidRPr="007C3060">
        <w:t>Kap. 640 Arbeidstilsynet</w:t>
      </w:r>
    </w:p>
    <w:p w14:paraId="5AF3B534" w14:textId="77777777" w:rsidR="000A2A2B" w:rsidRPr="007C3060" w:rsidRDefault="000A2A2B" w:rsidP="007C3060">
      <w:pPr>
        <w:pStyle w:val="b-post"/>
      </w:pPr>
      <w:r w:rsidRPr="007C3060">
        <w:t>Post 01 Driftsutgifter</w:t>
      </w:r>
    </w:p>
    <w:p w14:paraId="527B8067" w14:textId="77777777" w:rsidR="000A2A2B" w:rsidRPr="007C3060" w:rsidRDefault="000A2A2B" w:rsidP="007C3060">
      <w:r w:rsidRPr="007C3060">
        <w:t>Bevilgningen på posten er 901,7 mill. kroner.</w:t>
      </w:r>
    </w:p>
    <w:p w14:paraId="66F9DA90" w14:textId="77777777" w:rsidR="000A2A2B" w:rsidRPr="007C3060" w:rsidRDefault="000A2A2B" w:rsidP="007C3060">
      <w:r w:rsidRPr="007C3060">
        <w:t xml:space="preserve">Det er behov for å utforme og iverksette tiltak som kan bidra til å sikre mer seriøse og anstendige arbeidsforhold for sesongarbeidskraft i jordbruks- og gartnerinæringen. Et </w:t>
      </w:r>
      <w:proofErr w:type="spellStart"/>
      <w:r w:rsidRPr="007C3060">
        <w:t>treparts</w:t>
      </w:r>
      <w:proofErr w:type="spellEnd"/>
      <w:r w:rsidRPr="007C3060">
        <w:t xml:space="preserve"> bransjeprogram for jordbruks- og gartnerinæringen vil være et viktig tiltak for få mulighet til sammen å utvikle verktøy og hjelpemidler som både klargjør og sikrer at arbeidsgiver og arbeidstaker overholder lov- og avtaleverk. Bransjeprogrammet vil gi deltakerne en arena for å løfte frem bransjens særegenheter og behov, og hvor fokuset hos deltakerne vil være å nå frem med omforente initiativ og tiltak. Det er Arbeidstilsynet, som allerede i dag administrerer fire andre </w:t>
      </w:r>
      <w:proofErr w:type="spellStart"/>
      <w:r w:rsidRPr="007C3060">
        <w:t>treparts</w:t>
      </w:r>
      <w:proofErr w:type="spellEnd"/>
      <w:r w:rsidRPr="007C3060">
        <w:t xml:space="preserve"> bransje-program, som vil administrere dette bransje-programmet.</w:t>
      </w:r>
    </w:p>
    <w:p w14:paraId="1A42BCC7" w14:textId="77777777" w:rsidR="000A2A2B" w:rsidRPr="007C3060" w:rsidRDefault="000A2A2B" w:rsidP="007C3060">
      <w:r w:rsidRPr="007C3060">
        <w:t>Landbruks- og matdepartementet og Arbeids- og inkluderingsdepartementet samarbeider om tiltaket og det foreslås å bruke totalt 1,5 mill. kroner på dette i 2025, hvorav 0,75 mill. kroner av dette beløpet dekkes innenfor etatens ramme.</w:t>
      </w:r>
    </w:p>
    <w:p w14:paraId="0D50D871" w14:textId="77777777" w:rsidR="000A2A2B" w:rsidRPr="007C3060" w:rsidRDefault="000A2A2B" w:rsidP="007C3060">
      <w:r w:rsidRPr="007C3060">
        <w:t>Det foreslås å øke bevilgningen under kap. 640, post 01 med 0,75 mill. kroner, mot en tilsvarende reduksjon under Landbruk- og matdepartementets kap. 1149 Verdiskapings- og utviklings-tiltak i landbruket, post 71 Tilskudd til verdi-</w:t>
      </w:r>
      <w:proofErr w:type="spellStart"/>
      <w:r w:rsidRPr="007C3060">
        <w:t>skapingstiltak</w:t>
      </w:r>
      <w:proofErr w:type="spellEnd"/>
      <w:r w:rsidRPr="007C3060">
        <w:t xml:space="preserve"> i skogbruket, kan overføres.</w:t>
      </w:r>
    </w:p>
    <w:p w14:paraId="718C18BA" w14:textId="77777777" w:rsidR="000A2A2B" w:rsidRPr="007C3060" w:rsidRDefault="000A2A2B" w:rsidP="007C3060">
      <w:pPr>
        <w:pStyle w:val="b-budkaptit"/>
      </w:pPr>
      <w:r w:rsidRPr="007C3060">
        <w:lastRenderedPageBreak/>
        <w:t xml:space="preserve">Kap. 646 </w:t>
      </w:r>
      <w:proofErr w:type="spellStart"/>
      <w:r w:rsidRPr="007C3060">
        <w:t>Pionérdykkere</w:t>
      </w:r>
      <w:proofErr w:type="spellEnd"/>
      <w:r w:rsidRPr="007C3060">
        <w:t xml:space="preserve"> i Nordsjøen</w:t>
      </w:r>
    </w:p>
    <w:p w14:paraId="269D81D2" w14:textId="77777777" w:rsidR="000A2A2B" w:rsidRPr="007C3060" w:rsidRDefault="000A2A2B" w:rsidP="007C3060">
      <w:pPr>
        <w:pStyle w:val="b-post"/>
      </w:pPr>
      <w:r w:rsidRPr="007C3060">
        <w:t>Post 72 Tilskudd, kan overføres</w:t>
      </w:r>
    </w:p>
    <w:p w14:paraId="038A1EA6" w14:textId="77777777" w:rsidR="000A2A2B" w:rsidRPr="007C3060" w:rsidRDefault="000A2A2B" w:rsidP="007C3060">
      <w:r w:rsidRPr="007C3060">
        <w:t>Bevilgningen på posten er 1,3 mill. kroner.</w:t>
      </w:r>
    </w:p>
    <w:p w14:paraId="64C6731C" w14:textId="77777777" w:rsidR="000A2A2B" w:rsidRPr="007C3060" w:rsidRDefault="000A2A2B" w:rsidP="007C3060">
      <w:r w:rsidRPr="007C3060">
        <w:t>Den planlagte avviklingen av Dykkerkontakten er fremskyndet, noe som fører til en reduksjon i driftsutgifter i 2025.</w:t>
      </w:r>
    </w:p>
    <w:p w14:paraId="2C3AEAD7" w14:textId="77777777" w:rsidR="000A2A2B" w:rsidRPr="007C3060" w:rsidRDefault="000A2A2B" w:rsidP="007C3060">
      <w:r w:rsidRPr="007C3060">
        <w:t>Bevilgningen foreslås redusert med 0,7 mill. kroner.</w:t>
      </w:r>
    </w:p>
    <w:p w14:paraId="6B5002A2" w14:textId="77777777" w:rsidR="000A2A2B" w:rsidRPr="007C3060" w:rsidRDefault="000A2A2B" w:rsidP="007C3060">
      <w:pPr>
        <w:pStyle w:val="b-budkaptit"/>
      </w:pPr>
      <w:r w:rsidRPr="007C3060">
        <w:t xml:space="preserve">Kap. 647 (Ny) Kompensasjonsordning for </w:t>
      </w:r>
      <w:proofErr w:type="spellStart"/>
      <w:r w:rsidRPr="007C3060">
        <w:t>oljepionerene</w:t>
      </w:r>
      <w:proofErr w:type="spellEnd"/>
    </w:p>
    <w:p w14:paraId="7781FA75" w14:textId="77777777" w:rsidR="000A2A2B" w:rsidRPr="007C3060" w:rsidRDefault="000A2A2B" w:rsidP="007C3060">
      <w:pPr>
        <w:pStyle w:val="b-post"/>
      </w:pPr>
      <w:r w:rsidRPr="007C3060">
        <w:t>Post 01 Driftsutgifter</w:t>
      </w:r>
    </w:p>
    <w:p w14:paraId="50725336" w14:textId="77777777" w:rsidR="000A2A2B" w:rsidRPr="007C3060" w:rsidRDefault="000A2A2B" w:rsidP="007C3060">
      <w:r w:rsidRPr="007C3060">
        <w:t xml:space="preserve">Det vises til Stortingets vedtak 220 av den 17. desember 2024. Vedtaket ble gjort ved behandling av Dokument 8:16 S (2024–2025), </w:t>
      </w:r>
      <w:proofErr w:type="spellStart"/>
      <w:r w:rsidRPr="007C3060">
        <w:t>Innst</w:t>
      </w:r>
      <w:proofErr w:type="spellEnd"/>
      <w:r w:rsidRPr="007C3060">
        <w:t xml:space="preserve">. 101 S (2024–2025), og det ble bestemt at det skal etableres en kompensasjonsordning for </w:t>
      </w:r>
      <w:proofErr w:type="spellStart"/>
      <w:r w:rsidRPr="007C3060">
        <w:t>oljepionerene</w:t>
      </w:r>
      <w:proofErr w:type="spellEnd"/>
      <w:r w:rsidRPr="007C3060">
        <w:t xml:space="preserve"> i tråd med anbefalingene i NOU 2022: 19 </w:t>
      </w:r>
      <w:proofErr w:type="spellStart"/>
      <w:r w:rsidRPr="007C3060">
        <w:t>Oljepionerene</w:t>
      </w:r>
      <w:proofErr w:type="spellEnd"/>
      <w:r w:rsidRPr="007C3060">
        <w:t xml:space="preserve"> – en kompensasjonsordning.</w:t>
      </w:r>
    </w:p>
    <w:p w14:paraId="4CEF306F" w14:textId="77777777" w:rsidR="000A2A2B" w:rsidRPr="007C3060" w:rsidRDefault="000A2A2B" w:rsidP="007C3060">
      <w:r w:rsidRPr="007C3060">
        <w:t xml:space="preserve">Basert på Stortingets vedtak tar Arbeids- og inkluderingsdepartementet sikte på å etablere og beskrive innrammingen av en særskilt kompensasjonsordning for </w:t>
      </w:r>
      <w:proofErr w:type="spellStart"/>
      <w:r w:rsidRPr="007C3060">
        <w:t>oljepionerene</w:t>
      </w:r>
      <w:proofErr w:type="spellEnd"/>
      <w:r w:rsidRPr="007C3060">
        <w:t xml:space="preserve"> i statsbudsjettet for 2026.</w:t>
      </w:r>
    </w:p>
    <w:p w14:paraId="0F21E8CB" w14:textId="77777777" w:rsidR="000A2A2B" w:rsidRPr="007C3060" w:rsidRDefault="000A2A2B" w:rsidP="007C3060">
      <w:r w:rsidRPr="007C3060">
        <w:t>Til revidert nasjonalbudsjett 2025 fremmes forslag om nødvendig bevilgning til administrative forberedelser som må være på plass for at ordningen skal kunne starte opp i 2026. Blant annet må det etableres et sekretariat med nødvendig IKT-støtte, rutiner og prosesser for rask, sikker og effektiv håndtering av søknader og utbetalinger. Personvern vil være et viktig moment i denne sammenhengen. I tillegg må det på plass rutiner for å bistå søkere som eventuelt tar kontakt med spørsmål om ordningen.</w:t>
      </w:r>
    </w:p>
    <w:p w14:paraId="22EC7EC0" w14:textId="77777777" w:rsidR="000A2A2B" w:rsidRPr="007C3060" w:rsidRDefault="000A2A2B" w:rsidP="007C3060">
      <w:r w:rsidRPr="007C3060">
        <w:t>Det foreslås en bevilgning på 14 mill. kroner.</w:t>
      </w:r>
    </w:p>
    <w:p w14:paraId="65C75EC5" w14:textId="77777777" w:rsidR="000A2A2B" w:rsidRPr="007C3060" w:rsidRDefault="000A2A2B" w:rsidP="007C3060">
      <w:pPr>
        <w:pStyle w:val="b-budkaptit"/>
      </w:pPr>
      <w:r w:rsidRPr="007C3060">
        <w:t>Kap. 660 Krigspensjon</w:t>
      </w:r>
    </w:p>
    <w:p w14:paraId="2C8B8F4C" w14:textId="77777777" w:rsidR="000A2A2B" w:rsidRPr="007C3060" w:rsidRDefault="000A2A2B" w:rsidP="007C3060">
      <w:pPr>
        <w:pStyle w:val="b-post"/>
      </w:pPr>
      <w:r w:rsidRPr="007C3060">
        <w:t>Post 70 Tilskudd, militære, overslagsbevilgning</w:t>
      </w:r>
    </w:p>
    <w:p w14:paraId="01052763" w14:textId="77777777" w:rsidR="000A2A2B" w:rsidRPr="007C3060" w:rsidRDefault="000A2A2B" w:rsidP="007C3060">
      <w:r w:rsidRPr="007C3060">
        <w:t>Bevilgningen på posten er 19 mill. kroner</w:t>
      </w:r>
    </w:p>
    <w:p w14:paraId="3DC4AD19" w14:textId="77777777" w:rsidR="000A2A2B" w:rsidRPr="007C3060" w:rsidRDefault="000A2A2B" w:rsidP="007C3060">
      <w:r w:rsidRPr="007C3060">
        <w:t>Anslaget på posten nedjusteres hovedsakelig som følge av at gjennomsnittlig ytelse er justert ned.</w:t>
      </w:r>
    </w:p>
    <w:p w14:paraId="3D317166" w14:textId="77777777" w:rsidR="000A2A2B" w:rsidRPr="007C3060" w:rsidRDefault="000A2A2B" w:rsidP="007C3060">
      <w:r w:rsidRPr="007C3060">
        <w:t>Det foreslås å redusere bevilgningen med 1 mill. kroner.</w:t>
      </w:r>
    </w:p>
    <w:p w14:paraId="2CD828C7" w14:textId="77777777" w:rsidR="000A2A2B" w:rsidRPr="007C3060" w:rsidRDefault="000A2A2B" w:rsidP="007C3060">
      <w:pPr>
        <w:pStyle w:val="b-post"/>
      </w:pPr>
      <w:r w:rsidRPr="007C3060">
        <w:t>Post 71 Tilskudd, sivile, overslagsbevilgning</w:t>
      </w:r>
    </w:p>
    <w:p w14:paraId="7BA12225" w14:textId="77777777" w:rsidR="000A2A2B" w:rsidRPr="007C3060" w:rsidRDefault="000A2A2B" w:rsidP="007C3060">
      <w:r w:rsidRPr="007C3060">
        <w:t>Bevilgningen på posten er 65 mill. kroner</w:t>
      </w:r>
    </w:p>
    <w:p w14:paraId="6FA7ED0F" w14:textId="77777777" w:rsidR="000A2A2B" w:rsidRPr="007C3060" w:rsidRDefault="000A2A2B" w:rsidP="007C3060">
      <w:r w:rsidRPr="007C3060">
        <w:t>Anslaget på posten oppjusteres hovedsakelig som følge av at gjennomsnittlig ytelse er justert opp.</w:t>
      </w:r>
    </w:p>
    <w:p w14:paraId="183E4FF6" w14:textId="77777777" w:rsidR="000A2A2B" w:rsidRPr="007C3060" w:rsidRDefault="000A2A2B" w:rsidP="007C3060">
      <w:r w:rsidRPr="007C3060">
        <w:lastRenderedPageBreak/>
        <w:t>Det foreslås å øke bevilgningen med 1 mill. kroner.</w:t>
      </w:r>
    </w:p>
    <w:p w14:paraId="298E5F6B" w14:textId="77777777" w:rsidR="000A2A2B" w:rsidRPr="007C3060" w:rsidRDefault="000A2A2B" w:rsidP="007C3060">
      <w:pPr>
        <w:pStyle w:val="b-budkaptit"/>
      </w:pPr>
      <w:r w:rsidRPr="007C3060">
        <w:t>Kap. 665 Pensjonstrygden for fiskere</w:t>
      </w:r>
    </w:p>
    <w:p w14:paraId="55EF578C" w14:textId="77777777" w:rsidR="000A2A2B" w:rsidRPr="007C3060" w:rsidRDefault="000A2A2B" w:rsidP="007C3060">
      <w:pPr>
        <w:pStyle w:val="b-post"/>
      </w:pPr>
      <w:r w:rsidRPr="007C3060">
        <w:t>Post 70 Tilskudd</w:t>
      </w:r>
    </w:p>
    <w:p w14:paraId="59FE813B" w14:textId="77777777" w:rsidR="000A2A2B" w:rsidRPr="007C3060" w:rsidRDefault="000A2A2B" w:rsidP="007C3060">
      <w:r w:rsidRPr="007C3060">
        <w:t>Bevilgningen på posten er 4,4 mill. kroner.</w:t>
      </w:r>
    </w:p>
    <w:p w14:paraId="13B09971" w14:textId="77777777" w:rsidR="000A2A2B" w:rsidRPr="007C3060" w:rsidRDefault="000A2A2B" w:rsidP="007C3060">
      <w:r w:rsidRPr="007C3060">
        <w:t>Bevilgningen omfatter statens tilskudd til dekning av underskudd i trygden i henhold til stats-garantien.</w:t>
      </w:r>
    </w:p>
    <w:p w14:paraId="78FB31D4" w14:textId="77777777" w:rsidR="000A2A2B" w:rsidRPr="007C3060" w:rsidRDefault="000A2A2B" w:rsidP="007C3060">
      <w:r w:rsidRPr="007C3060">
        <w:t>Bevilgningen for 2025 var basert på et underskudd i trygden på 12,7 mill. kroner, anslått likviditetsfond på 8,3 mill. kroner ved inngangen til 2025 og dermed 4,4, mill. kroner i statstilskudd. Nytt anslag for trygden er likviditetsfond på 13,8 mill. kroner ved inngangen til 2025 og et overskudd på 2,6 mill. kroner som tilføres likviditetsfondet. Det er dermed ikke behov for statstilskudd i 2025. Endringen i trygdens resultat skyldes hovedsakelig høyere inntekter fra omsetningsavgift og lavere utgifter til pensjoner sammenlignet med saldert budsjett.</w:t>
      </w:r>
    </w:p>
    <w:p w14:paraId="57B3918B" w14:textId="77777777" w:rsidR="000A2A2B" w:rsidRPr="007C3060" w:rsidRDefault="000A2A2B" w:rsidP="007C3060">
      <w:r w:rsidRPr="007C3060">
        <w:t>Det foreslås å redusere bevilgningen med 4,4 mill. kroner. Jf. forslag til romertallsvedtak kan midlertidig likviditetsbehov eller eventuelt underskudd i trygden utgiftsføres uten bevilgning på posten.</w:t>
      </w:r>
    </w:p>
    <w:p w14:paraId="1EE36155" w14:textId="77777777" w:rsidR="000A2A2B" w:rsidRPr="007C3060" w:rsidRDefault="000A2A2B" w:rsidP="007C3060">
      <w:pPr>
        <w:pStyle w:val="b-budkaptit"/>
      </w:pPr>
      <w:r w:rsidRPr="007C3060">
        <w:t>Kap. 666 Avtalefestet pensjon (AFP)</w:t>
      </w:r>
    </w:p>
    <w:p w14:paraId="1419B992" w14:textId="77777777" w:rsidR="000A2A2B" w:rsidRPr="007C3060" w:rsidRDefault="000A2A2B" w:rsidP="007C3060">
      <w:pPr>
        <w:pStyle w:val="b-post"/>
      </w:pPr>
      <w:r w:rsidRPr="007C3060">
        <w:t>Post 70 Tilskudd, overslagsbevilgning</w:t>
      </w:r>
    </w:p>
    <w:p w14:paraId="39F0D8A7" w14:textId="77777777" w:rsidR="000A2A2B" w:rsidRPr="007C3060" w:rsidRDefault="000A2A2B" w:rsidP="007C3060">
      <w:r w:rsidRPr="007C3060">
        <w:t>Bevilgningen på posten er 4 340 mill. kroner.</w:t>
      </w:r>
    </w:p>
    <w:p w14:paraId="67B44480" w14:textId="77777777" w:rsidR="000A2A2B" w:rsidRPr="007C3060" w:rsidRDefault="000A2A2B" w:rsidP="007C3060">
      <w:r w:rsidRPr="007C3060">
        <w:t>Anslaget på posten oppjusteres som følge av at gjennomsnittlig antall mottakere og gjennomsnittlig ytelse er justert opp.</w:t>
      </w:r>
    </w:p>
    <w:p w14:paraId="09B4C76F" w14:textId="77777777" w:rsidR="000A2A2B" w:rsidRPr="007C3060" w:rsidRDefault="000A2A2B" w:rsidP="007C3060">
      <w:r w:rsidRPr="007C3060">
        <w:t>Det foreslås å øke bevilgningen med 30 mill. kroner.</w:t>
      </w:r>
    </w:p>
    <w:p w14:paraId="77539422" w14:textId="77777777" w:rsidR="000A2A2B" w:rsidRPr="007C3060" w:rsidRDefault="000A2A2B" w:rsidP="007C3060">
      <w:pPr>
        <w:pStyle w:val="b-budkaptit"/>
      </w:pPr>
      <w:r w:rsidRPr="007C3060">
        <w:t>Kap. 667 Supplerende stønad</w:t>
      </w:r>
    </w:p>
    <w:p w14:paraId="5C66E000" w14:textId="77777777" w:rsidR="000A2A2B" w:rsidRPr="007C3060" w:rsidRDefault="000A2A2B" w:rsidP="007C3060">
      <w:pPr>
        <w:pStyle w:val="b-post"/>
      </w:pPr>
      <w:r w:rsidRPr="007C3060">
        <w:t>Post 70 Tilskudd til personer over 67 år med kort botid, overslagsbevilgning</w:t>
      </w:r>
    </w:p>
    <w:p w14:paraId="71AC3F62" w14:textId="77777777" w:rsidR="000A2A2B" w:rsidRPr="007C3060" w:rsidRDefault="000A2A2B" w:rsidP="007C3060">
      <w:r w:rsidRPr="007C3060">
        <w:t>Bevilgningen på posten er 420 mill. kroner.</w:t>
      </w:r>
    </w:p>
    <w:p w14:paraId="78087534" w14:textId="77777777" w:rsidR="000A2A2B" w:rsidRPr="007C3060" w:rsidRDefault="000A2A2B" w:rsidP="007C3060">
      <w:r w:rsidRPr="007C3060">
        <w:t>Det er gjort endringer i anslagene for gjennomsnittlig ytelse og gjennomsnittlig antall mottakere og samlet sett nedjusteres anslaget.</w:t>
      </w:r>
    </w:p>
    <w:p w14:paraId="77854D97" w14:textId="77777777" w:rsidR="000A2A2B" w:rsidRPr="007C3060" w:rsidRDefault="000A2A2B" w:rsidP="007C3060">
      <w:r w:rsidRPr="007C3060">
        <w:t>Det foreslås å redusere bevilgningen med 10 mill. kroner.</w:t>
      </w:r>
    </w:p>
    <w:p w14:paraId="4FFE83E1" w14:textId="77777777" w:rsidR="000A2A2B" w:rsidRPr="007C3060" w:rsidRDefault="000A2A2B" w:rsidP="007C3060">
      <w:pPr>
        <w:pStyle w:val="b-post"/>
      </w:pPr>
      <w:r w:rsidRPr="007C3060">
        <w:t>Post 71 Tilskudd til uføre flyktninger med kort botid, overslagsbevilgning</w:t>
      </w:r>
    </w:p>
    <w:p w14:paraId="72162979" w14:textId="77777777" w:rsidR="000A2A2B" w:rsidRPr="007C3060" w:rsidRDefault="000A2A2B" w:rsidP="007C3060">
      <w:r w:rsidRPr="007C3060">
        <w:t>Bevilgningen på posten er 260 mill. kroner.</w:t>
      </w:r>
    </w:p>
    <w:p w14:paraId="574205E2" w14:textId="77777777" w:rsidR="000A2A2B" w:rsidRPr="007C3060" w:rsidRDefault="000A2A2B" w:rsidP="007C3060">
      <w:r w:rsidRPr="007C3060">
        <w:t>Anslaget på posten oppjusteres som følge av økt anslag både for gjennomsnittlig antall mottakere og gjennomsnittlig ytelse.</w:t>
      </w:r>
    </w:p>
    <w:p w14:paraId="1AE8A3EB" w14:textId="77777777" w:rsidR="000A2A2B" w:rsidRPr="007C3060" w:rsidRDefault="000A2A2B" w:rsidP="007C3060">
      <w:r w:rsidRPr="007C3060">
        <w:t>Det foreslås å øke bevilgningen med 30 mill. kroner.</w:t>
      </w:r>
    </w:p>
    <w:p w14:paraId="69E528AA" w14:textId="77777777" w:rsidR="000A2A2B" w:rsidRPr="007C3060" w:rsidRDefault="000A2A2B" w:rsidP="007C3060">
      <w:pPr>
        <w:pStyle w:val="b-budkaptit"/>
      </w:pPr>
      <w:r w:rsidRPr="007C3060">
        <w:lastRenderedPageBreak/>
        <w:t>Kap. 671 Bosetting av flyktninger og tiltak for innvandrere</w:t>
      </w:r>
    </w:p>
    <w:p w14:paraId="1755E7BD" w14:textId="77777777" w:rsidR="000A2A2B" w:rsidRPr="007C3060" w:rsidRDefault="000A2A2B" w:rsidP="007C3060">
      <w:pPr>
        <w:pStyle w:val="b-post"/>
      </w:pPr>
      <w:r w:rsidRPr="007C3060">
        <w:t>Post 60 Integreringstilskudd, kan overføres</w:t>
      </w:r>
    </w:p>
    <w:p w14:paraId="55A7F94D" w14:textId="77777777" w:rsidR="000A2A2B" w:rsidRPr="007C3060" w:rsidRDefault="000A2A2B" w:rsidP="007C3060">
      <w:r w:rsidRPr="007C3060">
        <w:t>Bevilgningen på posten er 22 909,6 mill. kroner.</w:t>
      </w:r>
    </w:p>
    <w:p w14:paraId="2813EF4B" w14:textId="77777777" w:rsidR="000A2A2B" w:rsidRPr="007C3060" w:rsidRDefault="000A2A2B" w:rsidP="007C3060">
      <w:r w:rsidRPr="007C3060">
        <w:t xml:space="preserve">Kommuner som bosetter flyktninger, mottar integreringstilskudd. Prognosen for antall fordrevne fra Ukraina som det er behov for å bosette i 2025 er redusert, noe som fører til en reduksjon i antall personer som utløser </w:t>
      </w:r>
      <w:proofErr w:type="spellStart"/>
      <w:r w:rsidRPr="007C3060">
        <w:t>førsteårs</w:t>
      </w:r>
      <w:proofErr w:type="spellEnd"/>
      <w:r w:rsidRPr="007C3060">
        <w:t xml:space="preserve"> integreringstilskudd i 2025. Videre er det en reduksjon i andelen av de bosatte som forventes å utløse ekstratilskudd ved bosetting av personer med nedsatt funksjonsevne og/eller atferdsvansker.</w:t>
      </w:r>
    </w:p>
    <w:p w14:paraId="1FCFCE70" w14:textId="77777777" w:rsidR="000A2A2B" w:rsidRPr="007C3060" w:rsidRDefault="000A2A2B" w:rsidP="007C3060">
      <w:r w:rsidRPr="007C3060">
        <w:t>Det foreslås å redusere bevilgningen med 1 804,3 mill. kroner.</w:t>
      </w:r>
    </w:p>
    <w:p w14:paraId="022F6F64" w14:textId="77777777" w:rsidR="000A2A2B" w:rsidRPr="007C3060" w:rsidRDefault="000A2A2B" w:rsidP="007C3060">
      <w:pPr>
        <w:pStyle w:val="b-post"/>
      </w:pPr>
      <w:r w:rsidRPr="007C3060">
        <w:t>Post 61 Særskilt tilskudd ved bosetting av enslige, mindreårige flyktninger, overslagsbevilgning</w:t>
      </w:r>
    </w:p>
    <w:p w14:paraId="70D0F47D" w14:textId="77777777" w:rsidR="000A2A2B" w:rsidRPr="007C3060" w:rsidRDefault="000A2A2B" w:rsidP="007C3060">
      <w:r w:rsidRPr="007C3060">
        <w:t>Bevilgningen på posten er 2 170,7 mill. kroner.</w:t>
      </w:r>
    </w:p>
    <w:p w14:paraId="1B406337" w14:textId="77777777" w:rsidR="000A2A2B" w:rsidRPr="007C3060" w:rsidRDefault="000A2A2B" w:rsidP="007C3060">
      <w:r w:rsidRPr="007C3060">
        <w:t xml:space="preserve">Ved bosetting av enslige mindreårige mottar kommunene et særskilt tilskudd, i tillegg til integreringstilskuddet. Prognosen for antall enslige mindreårige som utløser det særskilte tilskuddet fra og med andre </w:t>
      </w:r>
      <w:proofErr w:type="spellStart"/>
      <w:r w:rsidRPr="007C3060">
        <w:t>bosettingsår</w:t>
      </w:r>
      <w:proofErr w:type="spellEnd"/>
      <w:r w:rsidRPr="007C3060">
        <w:t xml:space="preserve"> er redusert sammenlignet med saldert budsjett. Samtidig er det en økning i prognosen for antall enslige mindre-</w:t>
      </w:r>
      <w:proofErr w:type="spellStart"/>
      <w:r w:rsidRPr="007C3060">
        <w:t>årige</w:t>
      </w:r>
      <w:proofErr w:type="spellEnd"/>
      <w:r w:rsidRPr="007C3060">
        <w:t xml:space="preserve"> som bosettes i 2025.</w:t>
      </w:r>
    </w:p>
    <w:p w14:paraId="102AEC81" w14:textId="77777777" w:rsidR="000A2A2B" w:rsidRPr="007C3060" w:rsidRDefault="000A2A2B" w:rsidP="007C3060">
      <w:r w:rsidRPr="007C3060">
        <w:t>Det foreslås å redusere bevilgningen med 181,3 mill. kroner.</w:t>
      </w:r>
    </w:p>
    <w:p w14:paraId="59BFDB31" w14:textId="77777777" w:rsidR="000A2A2B" w:rsidRPr="007C3060" w:rsidRDefault="000A2A2B" w:rsidP="007C3060">
      <w:pPr>
        <w:pStyle w:val="b-post"/>
      </w:pPr>
      <w:r w:rsidRPr="007C3060">
        <w:t>Post 62 Kommunale integreringstiltak</w:t>
      </w:r>
    </w:p>
    <w:p w14:paraId="3048C7D6" w14:textId="77777777" w:rsidR="000A2A2B" w:rsidRPr="007C3060" w:rsidRDefault="000A2A2B" w:rsidP="007C3060">
      <w:r w:rsidRPr="007C3060">
        <w:t>Bevilgningen på posten er på 337,6 mill. kroner.</w:t>
      </w:r>
    </w:p>
    <w:p w14:paraId="732718D5" w14:textId="77777777" w:rsidR="000A2A2B" w:rsidRPr="007C3060" w:rsidRDefault="000A2A2B" w:rsidP="007C3060">
      <w:r w:rsidRPr="007C3060">
        <w:t>Det foreslås å redusere bevilgningen med 4,2 mill. kroner fra tilskuddsordningen for kvalifisering av beboere i integreringsmottak som følge av at antall integreringsmottak er redusert fra to til ett. Ved en feil ble ikke tilskudd til kvalifisering av beboere i integreringsmottak utbetalt i 2024. Dette gir et økt bevilgningsbehov på 5,9 mill. kroner i 2025. Til sammen gir det et økt bevilgningsbehov på 1,7 mill. kroner.</w:t>
      </w:r>
    </w:p>
    <w:p w14:paraId="3DF09725" w14:textId="77777777" w:rsidR="000A2A2B" w:rsidRPr="007C3060" w:rsidRDefault="000A2A2B" w:rsidP="007C3060">
      <w:r w:rsidRPr="007C3060">
        <w:t>Posten omfatter fra 2024 også tilskudd til en pilotordning for personer som returnerer fra ufrivillig utenlandsopphold og har store hjelpebehov, men som ikke fyller kriteriene for å få en plass i det ordinære bo- og støttetilbudet. Det har vist seg å være utfordrende for kommunene å etablere de planlagte plassene i pilotordningen. For å tilrettelegge for bedre utnyttelse, er ordningen gjort noe mer fleksibel, blant annet med hensyn til bruk av boliger.</w:t>
      </w:r>
    </w:p>
    <w:p w14:paraId="51E33258" w14:textId="77777777" w:rsidR="000A2A2B" w:rsidRPr="007C3060" w:rsidRDefault="000A2A2B" w:rsidP="007C3060">
      <w:r w:rsidRPr="007C3060">
        <w:t>Det foreslås å øke bevilgningen med 1,7 mill. kroner.</w:t>
      </w:r>
    </w:p>
    <w:p w14:paraId="140F33E3" w14:textId="77777777" w:rsidR="000A2A2B" w:rsidRPr="007C3060" w:rsidRDefault="000A2A2B" w:rsidP="007C3060">
      <w:pPr>
        <w:pStyle w:val="b-budkaptit"/>
      </w:pPr>
      <w:r w:rsidRPr="007C3060">
        <w:t>Kap. 672 Opplæring i norsk og samfunnskunnskap for voksne innvandrere</w:t>
      </w:r>
    </w:p>
    <w:p w14:paraId="26463DBE" w14:textId="77777777" w:rsidR="000A2A2B" w:rsidRPr="007C3060" w:rsidRDefault="000A2A2B" w:rsidP="007C3060">
      <w:pPr>
        <w:pStyle w:val="b-post"/>
      </w:pPr>
      <w:r w:rsidRPr="007C3060">
        <w:t>Post 60 Tilskudd til opplæring i norsk og samfunnskunnskap for voksne innvandrere</w:t>
      </w:r>
    </w:p>
    <w:p w14:paraId="6FBB774A" w14:textId="77777777" w:rsidR="000A2A2B" w:rsidRPr="007C3060" w:rsidRDefault="000A2A2B" w:rsidP="007C3060">
      <w:r w:rsidRPr="007C3060">
        <w:t>Bevilgningen på posten er 2 025,4 mill. kroner.</w:t>
      </w:r>
    </w:p>
    <w:p w14:paraId="05DC46DA" w14:textId="77777777" w:rsidR="000A2A2B" w:rsidRPr="007C3060" w:rsidRDefault="000A2A2B" w:rsidP="007C3060">
      <w:r w:rsidRPr="007C3060">
        <w:lastRenderedPageBreak/>
        <w:t>Hovedårsaken til endringen er en reduksjon i utbetaling av persontilskudd for personer uten kollektiv beskyttelse. Videre er det en reduksjon i prognosen for antall personer som får innvilget kollektiv beskyttelse som følge av krigen i Ukraina og kommer inn i målgruppen for ettårig norskopplæring, samt en reduksjon i etterslep av tilskudd for fordrevne som kom inn i målgruppen i 2024. Samtidig er prognosen for antall fordrevne fra Ukraina som vil delta i utvidet norskopplæring økt. Samlet sett er bevilgningsbehovet på posten redusert.</w:t>
      </w:r>
    </w:p>
    <w:p w14:paraId="6E96BB23" w14:textId="77777777" w:rsidR="000A2A2B" w:rsidRPr="007C3060" w:rsidRDefault="000A2A2B" w:rsidP="007C3060">
      <w:r w:rsidRPr="007C3060">
        <w:t>Det foreslås å redusere bevilgningen med 55,3 mill. kroner.</w:t>
      </w:r>
    </w:p>
    <w:p w14:paraId="2796126C" w14:textId="77777777" w:rsidR="000A2A2B" w:rsidRPr="007C3060" w:rsidRDefault="000A2A2B" w:rsidP="007C3060">
      <w:pPr>
        <w:pStyle w:val="b-post"/>
      </w:pPr>
      <w:r w:rsidRPr="007C3060">
        <w:t>Post 61 Kompetansekartlegging i mottak før bosetting</w:t>
      </w:r>
    </w:p>
    <w:p w14:paraId="434D7181" w14:textId="77777777" w:rsidR="000A2A2B" w:rsidRPr="007C3060" w:rsidRDefault="000A2A2B" w:rsidP="007C3060">
      <w:r w:rsidRPr="007C3060">
        <w:t>Bevilgningen på posten er 1,6 mill. kroner.</w:t>
      </w:r>
    </w:p>
    <w:p w14:paraId="0D084B84" w14:textId="77777777" w:rsidR="000A2A2B" w:rsidRPr="007C3060" w:rsidRDefault="000A2A2B" w:rsidP="007C3060">
      <w:r w:rsidRPr="007C3060">
        <w:t>Det foreslås å redusere bevilgningen med 0,6 mill. kroner. Årsaken er en reduksjon i prognosen for antall personer i målgruppen for tilskuddet.</w:t>
      </w:r>
    </w:p>
    <w:p w14:paraId="1245BEC7" w14:textId="77777777" w:rsidR="000A2A2B" w:rsidRPr="007C3060" w:rsidRDefault="000A2A2B" w:rsidP="007C3060">
      <w:pPr>
        <w:pStyle w:val="b-budkaptit"/>
      </w:pPr>
      <w:r w:rsidRPr="007C3060">
        <w:t>Kap. 3672 Opplæring i norsk og samfunnskunnskap for voksne innvandrere</w:t>
      </w:r>
    </w:p>
    <w:p w14:paraId="18B49822" w14:textId="77777777" w:rsidR="000A2A2B" w:rsidRPr="007C3060" w:rsidRDefault="000A2A2B" w:rsidP="007C3060">
      <w:pPr>
        <w:pStyle w:val="b-post"/>
      </w:pPr>
      <w:r w:rsidRPr="007C3060">
        <w:t>Post 01 Norskopplæring i mottak, ODA-godkjente utgifter</w:t>
      </w:r>
    </w:p>
    <w:p w14:paraId="633D20E6" w14:textId="77777777" w:rsidR="000A2A2B" w:rsidRPr="007C3060" w:rsidRDefault="000A2A2B" w:rsidP="007C3060">
      <w:r w:rsidRPr="007C3060">
        <w:t>Bevilgningen på posten er 68,7 mill. kroner.</w:t>
      </w:r>
    </w:p>
    <w:p w14:paraId="3B23FB82" w14:textId="77777777" w:rsidR="000A2A2B" w:rsidRPr="007C3060" w:rsidRDefault="000A2A2B" w:rsidP="007C3060">
      <w:r w:rsidRPr="007C3060">
        <w:t>Det foreslås å øke bevilgningen med 6,4 mill. kroner. Årsaken er en økning i prognosen for antall personer i målgruppen for opplæring i norsk og samfunnskunnskap for asylsøkere i mottak.</w:t>
      </w:r>
    </w:p>
    <w:p w14:paraId="6E748FE7" w14:textId="77777777" w:rsidR="000A2A2B" w:rsidRPr="007C3060" w:rsidRDefault="000A2A2B" w:rsidP="007C3060">
      <w:pPr>
        <w:pStyle w:val="b-budkaptit"/>
      </w:pPr>
      <w:r w:rsidRPr="007C3060">
        <w:t>Kap. 2541 Dagpenger</w:t>
      </w:r>
    </w:p>
    <w:p w14:paraId="08C17D6B" w14:textId="77777777" w:rsidR="000A2A2B" w:rsidRPr="007C3060" w:rsidRDefault="000A2A2B" w:rsidP="007C3060">
      <w:pPr>
        <w:pStyle w:val="b-post"/>
      </w:pPr>
      <w:r w:rsidRPr="007C3060">
        <w:t>Post 70 Dagpenger, overslagsbevilgning</w:t>
      </w:r>
    </w:p>
    <w:p w14:paraId="01F525F3" w14:textId="77777777" w:rsidR="000A2A2B" w:rsidRPr="007C3060" w:rsidRDefault="000A2A2B" w:rsidP="007C3060">
      <w:r w:rsidRPr="007C3060">
        <w:t>Bevilgningen på posten er 14 315 mill. kroner.</w:t>
      </w:r>
    </w:p>
    <w:p w14:paraId="34BD97F8" w14:textId="77777777" w:rsidR="000A2A2B" w:rsidRPr="007C3060" w:rsidRDefault="000A2A2B" w:rsidP="007C3060">
      <w:r w:rsidRPr="007C3060">
        <w:t>Andelen ledige med dagpenger har vært uvanlig lav de siste årene, sammenlignet med tidligere perioder med tilsvarende lav ledighet. Etter pandemien har ledigheten vært lav, og flere har nå opparbeidet seg nye rettigheter til dagpenger. I de første månedene av 2025 har andelen helt og delvis ledige med dagpenger økt kraftig. På bakgrunn av dette anslås det flere dagpengemottakere enn opprinnelig lagt til grunn i Saldert budsjett 2025. Videre er anslaget for gjennomsnittlig ytelse per mottakere oppjustert som følge av høyere vekst enn ventet.</w:t>
      </w:r>
    </w:p>
    <w:p w14:paraId="687BE3E1" w14:textId="77777777" w:rsidR="000A2A2B" w:rsidRPr="007C3060" w:rsidRDefault="000A2A2B" w:rsidP="007C3060">
      <w:r w:rsidRPr="007C3060">
        <w:t>Det foreslås å øke bevilgningen med 1 005 mill. kroner.</w:t>
      </w:r>
    </w:p>
    <w:p w14:paraId="73E216F6" w14:textId="77777777" w:rsidR="000A2A2B" w:rsidRPr="007C3060" w:rsidRDefault="000A2A2B" w:rsidP="007C3060">
      <w:pPr>
        <w:pStyle w:val="b-budkaptit"/>
      </w:pPr>
      <w:r w:rsidRPr="007C3060">
        <w:t>Kap. 5705 Refusjon av dagpenger</w:t>
      </w:r>
    </w:p>
    <w:p w14:paraId="4397CE9B" w14:textId="77777777" w:rsidR="000A2A2B" w:rsidRPr="007C3060" w:rsidRDefault="000A2A2B" w:rsidP="007C3060">
      <w:pPr>
        <w:pStyle w:val="b-post"/>
      </w:pPr>
      <w:r w:rsidRPr="007C3060">
        <w:t>Post 70 Refusjon av dagpenger, statsgaranti ved konkurs</w:t>
      </w:r>
    </w:p>
    <w:p w14:paraId="31DDF83C" w14:textId="77777777" w:rsidR="000A2A2B" w:rsidRPr="007C3060" w:rsidRDefault="000A2A2B" w:rsidP="007C3060">
      <w:r w:rsidRPr="007C3060">
        <w:t>Bevilgningen på posten er på 27 mill. kroner.</w:t>
      </w:r>
    </w:p>
    <w:p w14:paraId="2B88ED2A" w14:textId="77777777" w:rsidR="000A2A2B" w:rsidRPr="007C3060" w:rsidRDefault="000A2A2B" w:rsidP="007C3060">
      <w:r w:rsidRPr="007C3060">
        <w:t>På bakgrunn av forventet utvikling i 2025 foreslås bevilgningen økt med 2 mill. kroner.</w:t>
      </w:r>
    </w:p>
    <w:p w14:paraId="3EFF3628" w14:textId="77777777" w:rsidR="000A2A2B" w:rsidRPr="007C3060" w:rsidRDefault="000A2A2B" w:rsidP="007C3060">
      <w:pPr>
        <w:pStyle w:val="b-post"/>
      </w:pPr>
      <w:r w:rsidRPr="007C3060">
        <w:lastRenderedPageBreak/>
        <w:t>Post 72 Innkreving av forskutterte dagpenger</w:t>
      </w:r>
    </w:p>
    <w:p w14:paraId="5FCD6476" w14:textId="77777777" w:rsidR="000A2A2B" w:rsidRPr="007C3060" w:rsidRDefault="000A2A2B" w:rsidP="007C3060">
      <w:r w:rsidRPr="007C3060">
        <w:t>Bevilgningen på posten er på 45 mill. kroner.</w:t>
      </w:r>
    </w:p>
    <w:p w14:paraId="6593EB17" w14:textId="77777777" w:rsidR="000A2A2B" w:rsidRPr="007C3060" w:rsidRDefault="000A2A2B" w:rsidP="007C3060">
      <w:r w:rsidRPr="007C3060">
        <w:t>På bakgrunn av forventet utvikling i 2025 foreslås bevilgningen redusert med 5 mill. kroner</w:t>
      </w:r>
    </w:p>
    <w:p w14:paraId="76AEC498" w14:textId="77777777" w:rsidR="000A2A2B" w:rsidRPr="007C3060" w:rsidRDefault="000A2A2B" w:rsidP="007C3060">
      <w:pPr>
        <w:pStyle w:val="b-budkaptit"/>
      </w:pPr>
      <w:r w:rsidRPr="007C3060">
        <w:t>Kap. 2542 Statsgaranti for lønnskrav ved konkurs mv.</w:t>
      </w:r>
    </w:p>
    <w:p w14:paraId="29B8E2FF" w14:textId="77777777" w:rsidR="000A2A2B" w:rsidRPr="007C3060" w:rsidRDefault="000A2A2B" w:rsidP="007C3060">
      <w:pPr>
        <w:pStyle w:val="b-post"/>
      </w:pPr>
      <w:r w:rsidRPr="007C3060">
        <w:t>Post 70 Statsgaranti for lønnskrav ved konkurs mv., overslagsbevilgning</w:t>
      </w:r>
    </w:p>
    <w:p w14:paraId="34E91A24" w14:textId="77777777" w:rsidR="000A2A2B" w:rsidRPr="007C3060" w:rsidRDefault="000A2A2B" w:rsidP="007C3060">
      <w:r w:rsidRPr="007C3060">
        <w:t>Bevilgningen på posten er på 980 mill. kroner.</w:t>
      </w:r>
    </w:p>
    <w:p w14:paraId="6D9CB82F" w14:textId="77777777" w:rsidR="000A2A2B" w:rsidRPr="007C3060" w:rsidRDefault="000A2A2B" w:rsidP="007C3060">
      <w:r w:rsidRPr="007C3060">
        <w:t>Lønnsgarantiordningen er en statlig ordning som, på visse vilkår, dekker arbeidstakernes utestående krav på lønn mv. når arbeidsgiver går konkurs. Det anslås at utgiftene til ordningen vil bli noe høyere enn det som ble lagt til grunn i Saldert budsjett 2025. Det skyldes i hovedsak høyere antall ansatte berørt av konkurs og et høyt antall restanser.</w:t>
      </w:r>
    </w:p>
    <w:p w14:paraId="3052CC80" w14:textId="77777777" w:rsidR="000A2A2B" w:rsidRPr="007C3060" w:rsidRDefault="000A2A2B" w:rsidP="007C3060">
      <w:r w:rsidRPr="007C3060">
        <w:t>Det foreslås å øke bevilgningen med 50 mill. kroner.</w:t>
      </w:r>
    </w:p>
    <w:p w14:paraId="737C13DA" w14:textId="77777777" w:rsidR="000A2A2B" w:rsidRPr="007C3060" w:rsidRDefault="000A2A2B" w:rsidP="007C3060">
      <w:pPr>
        <w:pStyle w:val="b-budkaptit"/>
      </w:pPr>
      <w:r w:rsidRPr="007C3060">
        <w:t>Kap. 5704 Statsgaranti for lønnskrav ved konkurs</w:t>
      </w:r>
    </w:p>
    <w:p w14:paraId="7A128BBA" w14:textId="77777777" w:rsidR="000A2A2B" w:rsidRPr="007C3060" w:rsidRDefault="000A2A2B" w:rsidP="007C3060">
      <w:pPr>
        <w:pStyle w:val="b-post"/>
      </w:pPr>
      <w:r w:rsidRPr="007C3060">
        <w:t>Post 70 Dividende</w:t>
      </w:r>
    </w:p>
    <w:p w14:paraId="34875063" w14:textId="77777777" w:rsidR="000A2A2B" w:rsidRPr="007C3060" w:rsidRDefault="000A2A2B" w:rsidP="007C3060">
      <w:r w:rsidRPr="007C3060">
        <w:t>Bevilgningen på posten er på 230 mill. kroner.</w:t>
      </w:r>
    </w:p>
    <w:p w14:paraId="4623BC82" w14:textId="77777777" w:rsidR="000A2A2B" w:rsidRPr="007C3060" w:rsidRDefault="000A2A2B" w:rsidP="007C3060">
      <w:r w:rsidRPr="007C3060">
        <w:t>På bakgrunn av forventet utvikling i 2025 foreslås bevilgningen økt med 70 mill. kroner.</w:t>
      </w:r>
    </w:p>
    <w:p w14:paraId="64039932" w14:textId="77777777" w:rsidR="000A2A2B" w:rsidRPr="007C3060" w:rsidRDefault="000A2A2B" w:rsidP="007C3060">
      <w:pPr>
        <w:pStyle w:val="b-budkaptit"/>
      </w:pPr>
      <w:r w:rsidRPr="007C3060">
        <w:t>Kap. 2620 Stønad til enslig mor eller far</w:t>
      </w:r>
    </w:p>
    <w:p w14:paraId="7919086C" w14:textId="77777777" w:rsidR="000A2A2B" w:rsidRPr="007C3060" w:rsidRDefault="000A2A2B" w:rsidP="007C3060">
      <w:pPr>
        <w:pStyle w:val="b-post"/>
      </w:pPr>
      <w:r w:rsidRPr="007C3060">
        <w:t>Post 70 Overgangsstønad, overslagsbevilgning</w:t>
      </w:r>
    </w:p>
    <w:p w14:paraId="506521B4" w14:textId="77777777" w:rsidR="000A2A2B" w:rsidRPr="007C3060" w:rsidRDefault="000A2A2B" w:rsidP="007C3060">
      <w:r w:rsidRPr="007C3060">
        <w:t>Bevilgningen på posten er på 1 660 mill. kroner.</w:t>
      </w:r>
    </w:p>
    <w:p w14:paraId="52CAC3A4" w14:textId="77777777" w:rsidR="000A2A2B" w:rsidRPr="007C3060" w:rsidRDefault="000A2A2B" w:rsidP="007C3060">
      <w:r w:rsidRPr="007C3060">
        <w:t>På bakgrunn færre mottakere av overgangsstønad og lavere gjennomsnittlig ytelse per mottaker foreslås bevilgningen redusert med 75 mill. kroner.</w:t>
      </w:r>
    </w:p>
    <w:p w14:paraId="47C04ED5" w14:textId="77777777" w:rsidR="000A2A2B" w:rsidRPr="007C3060" w:rsidRDefault="000A2A2B" w:rsidP="007C3060">
      <w:pPr>
        <w:pStyle w:val="b-post"/>
      </w:pPr>
      <w:r w:rsidRPr="007C3060">
        <w:t>Post 72 Stønad til barnetilsyn til enslig mor eller far i arbeid, overslagsbevilgning</w:t>
      </w:r>
    </w:p>
    <w:p w14:paraId="379D1C91" w14:textId="77777777" w:rsidR="000A2A2B" w:rsidRPr="007C3060" w:rsidRDefault="000A2A2B" w:rsidP="007C3060">
      <w:r w:rsidRPr="007C3060">
        <w:t>Bevilgningen på posten er på 77 mill. kroner.</w:t>
      </w:r>
    </w:p>
    <w:p w14:paraId="215DC2B1" w14:textId="77777777" w:rsidR="000A2A2B" w:rsidRPr="007C3060" w:rsidRDefault="000A2A2B" w:rsidP="007C3060">
      <w:r w:rsidRPr="007C3060">
        <w:t>På bakgrunn av forventet utvikling i 2025 foreslås bevilgningen redusert med 15 mill. kroner.</w:t>
      </w:r>
    </w:p>
    <w:p w14:paraId="2502B5E0" w14:textId="77777777" w:rsidR="000A2A2B" w:rsidRPr="007C3060" w:rsidRDefault="000A2A2B" w:rsidP="007C3060">
      <w:pPr>
        <w:pStyle w:val="b-post"/>
      </w:pPr>
      <w:r w:rsidRPr="007C3060">
        <w:t>Post 73 Tilleggsstønader og stønad til skolepenger, overslagsbevilgning</w:t>
      </w:r>
    </w:p>
    <w:p w14:paraId="74082757" w14:textId="77777777" w:rsidR="000A2A2B" w:rsidRPr="007C3060" w:rsidRDefault="000A2A2B" w:rsidP="007C3060">
      <w:r w:rsidRPr="007C3060">
        <w:t>Bevilgningen på posten er på 13 mill. kroner.</w:t>
      </w:r>
    </w:p>
    <w:p w14:paraId="77DA340E" w14:textId="77777777" w:rsidR="000A2A2B" w:rsidRPr="007C3060" w:rsidRDefault="000A2A2B" w:rsidP="007C3060">
      <w:r w:rsidRPr="007C3060">
        <w:t>På bakgrunn av forventet utvikling i 2025 foreslås bevilgningen redusert med 4 mill. kroner.</w:t>
      </w:r>
    </w:p>
    <w:p w14:paraId="090BFC3E" w14:textId="77777777" w:rsidR="000A2A2B" w:rsidRPr="007C3060" w:rsidRDefault="000A2A2B" w:rsidP="007C3060">
      <w:pPr>
        <w:pStyle w:val="b-budkaptit"/>
      </w:pPr>
      <w:r w:rsidRPr="007C3060">
        <w:lastRenderedPageBreak/>
        <w:t>Kap. 2650 Sykepenger</w:t>
      </w:r>
    </w:p>
    <w:p w14:paraId="2BD89371" w14:textId="77777777" w:rsidR="000A2A2B" w:rsidRPr="007C3060" w:rsidRDefault="000A2A2B" w:rsidP="007C3060">
      <w:pPr>
        <w:pStyle w:val="b-post"/>
      </w:pPr>
      <w:r w:rsidRPr="007C3060">
        <w:t>Post 70 Sykepenger for arbeidstakere mv., overslagsbevilgning</w:t>
      </w:r>
    </w:p>
    <w:p w14:paraId="2E9D2361" w14:textId="77777777" w:rsidR="000A2A2B" w:rsidRPr="007C3060" w:rsidRDefault="000A2A2B" w:rsidP="007C3060">
      <w:r w:rsidRPr="007C3060">
        <w:t>Bevilgningen på posten er 62 220 mill. kroner.</w:t>
      </w:r>
    </w:p>
    <w:p w14:paraId="5D630519" w14:textId="77777777" w:rsidR="000A2A2B" w:rsidRPr="007C3060" w:rsidRDefault="000A2A2B" w:rsidP="007C3060">
      <w:r w:rsidRPr="007C3060">
        <w:t>Høyere utgifter enn ventet i 2024 medfører en anslagsendring i 2025 på 525 mill. kroner sammenlignet med Saldert budsjett 2025. Dette skyldes i hovedsak at lønnsveksten og det trygde-finansierte sykefraværet ble høyere enn ventet. Anslagene for vekst i sykepenge-grunnlaget (lønnsveksten) i 2025 er nedjustert sammenlignet med forutsetningene som lå til grunn for Saldert budsjett 2025. Dette trekker utgiftsanslaget noe ned.</w:t>
      </w:r>
    </w:p>
    <w:p w14:paraId="3AC76726" w14:textId="77777777" w:rsidR="000A2A2B" w:rsidRPr="007C3060" w:rsidRDefault="000A2A2B" w:rsidP="007C3060">
      <w:r w:rsidRPr="007C3060">
        <w:t>Samlet foreslås det å øke bevilgningen med 490 mill. kroner.</w:t>
      </w:r>
    </w:p>
    <w:p w14:paraId="0ECCF932" w14:textId="77777777" w:rsidR="000A2A2B" w:rsidRPr="007C3060" w:rsidRDefault="000A2A2B" w:rsidP="007C3060">
      <w:pPr>
        <w:pStyle w:val="b-post"/>
      </w:pPr>
      <w:r w:rsidRPr="007C3060">
        <w:t>Post 71 Sykepenger for selvstendige, -overslagsbevilgning</w:t>
      </w:r>
    </w:p>
    <w:p w14:paraId="6880A537" w14:textId="77777777" w:rsidR="000A2A2B" w:rsidRPr="007C3060" w:rsidRDefault="000A2A2B" w:rsidP="007C3060">
      <w:r w:rsidRPr="007C3060">
        <w:t>Bevilgningen på posten er 1 940 mill. kroner.</w:t>
      </w:r>
    </w:p>
    <w:p w14:paraId="2A4F15B5" w14:textId="77777777" w:rsidR="000A2A2B" w:rsidRPr="007C3060" w:rsidRDefault="000A2A2B" w:rsidP="007C3060">
      <w:r w:rsidRPr="007C3060">
        <w:t>Høyere utgifter enn ventet i 2024 medfører en anslagsendring i 2025 på 40 mill. kroner sammenlignet med Saldert budsjett 2025. Dette skyldes at det trygdefinansierte sykefraværet ble høyere enn ventet.</w:t>
      </w:r>
    </w:p>
    <w:p w14:paraId="37009BB8" w14:textId="77777777" w:rsidR="000A2A2B" w:rsidRPr="007C3060" w:rsidRDefault="000A2A2B" w:rsidP="007C3060">
      <w:r w:rsidRPr="007C3060">
        <w:t>Det foreslås å øke bevilgningen med 40 mill. kroner.</w:t>
      </w:r>
    </w:p>
    <w:p w14:paraId="2D62A8F4" w14:textId="77777777" w:rsidR="000A2A2B" w:rsidRPr="007C3060" w:rsidRDefault="000A2A2B" w:rsidP="007C3060">
      <w:pPr>
        <w:pStyle w:val="b-post"/>
      </w:pPr>
      <w:r w:rsidRPr="007C3060">
        <w:t>Post 72 Pleie-, opplærings- og omsorgspenger mv., overslagsbevilgning</w:t>
      </w:r>
    </w:p>
    <w:p w14:paraId="3CF85A94" w14:textId="77777777" w:rsidR="000A2A2B" w:rsidRPr="007C3060" w:rsidRDefault="000A2A2B" w:rsidP="007C3060">
      <w:r w:rsidRPr="007C3060">
        <w:t>Bevilgningen på posten er 3 520 mill. kroner.</w:t>
      </w:r>
    </w:p>
    <w:p w14:paraId="1EB7B39D" w14:textId="77777777" w:rsidR="000A2A2B" w:rsidRPr="007C3060" w:rsidRDefault="000A2A2B" w:rsidP="007C3060">
      <w:r w:rsidRPr="007C3060">
        <w:t>Høyere utgifter enn ventet i 2024 øker anslaget for 2025. Merutgiftene i 2024 skyldes høyere volumvekst og lønnsvekst enn det som lå til grunn for Saldert budsjett 2025. Høyere anslått volumvekst i 2025 trekker utgiftsanslaget opp med om lag 470 mill. kroner. Lavere anslått lønnsvekst i 2025 trekker anslaget noe ned.</w:t>
      </w:r>
    </w:p>
    <w:p w14:paraId="08724B55" w14:textId="77777777" w:rsidR="000A2A2B" w:rsidRPr="007C3060" w:rsidRDefault="000A2A2B" w:rsidP="007C3060">
      <w:r w:rsidRPr="007C3060">
        <w:t>Det foreslås å øke bevilgningen med 590 mill. kroner.</w:t>
      </w:r>
    </w:p>
    <w:p w14:paraId="23C09F52" w14:textId="1A640E1A" w:rsidR="000A2A2B" w:rsidRPr="007C3060" w:rsidRDefault="000A2A2B" w:rsidP="007C3060">
      <w:pPr>
        <w:pStyle w:val="b-post"/>
      </w:pPr>
      <w:r w:rsidRPr="007C3060">
        <w:t>Post 75 Feriepenger av sykepenger, overslagsbevilgning</w:t>
      </w:r>
    </w:p>
    <w:p w14:paraId="2FACE368" w14:textId="77777777" w:rsidR="000A2A2B" w:rsidRPr="007C3060" w:rsidRDefault="000A2A2B" w:rsidP="007C3060">
      <w:r w:rsidRPr="007C3060">
        <w:t>Bevilgningen på posten er 3 520 mill. kroner.</w:t>
      </w:r>
    </w:p>
    <w:p w14:paraId="169CE5B9" w14:textId="77777777" w:rsidR="000A2A2B" w:rsidRPr="007C3060" w:rsidRDefault="000A2A2B" w:rsidP="007C3060">
      <w:r w:rsidRPr="007C3060">
        <w:t>Det ytes feriepenger til arbeidstakere både av sykepenger (post 70) og pleie-, opplærings- og omsorgspenger (post 72). Samlet ble utgiftene til disse ytelsene i 2024 høyere enn anslått, noe som øker anslaget for feriepenger i 2025.</w:t>
      </w:r>
    </w:p>
    <w:p w14:paraId="1C25B4FD" w14:textId="77777777" w:rsidR="000A2A2B" w:rsidRPr="007C3060" w:rsidRDefault="000A2A2B" w:rsidP="007C3060">
      <w:r w:rsidRPr="007C3060">
        <w:t>Det foreslås å øke bevilgningen med 40 mill. kroner.</w:t>
      </w:r>
    </w:p>
    <w:p w14:paraId="6D9D0C06" w14:textId="77777777" w:rsidR="000A2A2B" w:rsidRPr="007C3060" w:rsidRDefault="000A2A2B" w:rsidP="007C3060">
      <w:pPr>
        <w:pStyle w:val="b-post"/>
      </w:pPr>
      <w:r w:rsidRPr="007C3060">
        <w:t>Post 76 Tilskudd til ekspertbistand, kan overføres</w:t>
      </w:r>
    </w:p>
    <w:p w14:paraId="3CE33246" w14:textId="77777777" w:rsidR="000A2A2B" w:rsidRPr="007C3060" w:rsidRDefault="000A2A2B" w:rsidP="007C3060">
      <w:r w:rsidRPr="007C3060">
        <w:t>Bevilgningen på posten er 97,5 mill. kroner.</w:t>
      </w:r>
    </w:p>
    <w:p w14:paraId="730C7713" w14:textId="77777777" w:rsidR="000A2A2B" w:rsidRPr="007C3060" w:rsidRDefault="000A2A2B" w:rsidP="007C3060">
      <w:r w:rsidRPr="007C3060">
        <w:lastRenderedPageBreak/>
        <w:t>Forsøk med kompetansetiltak for sykmeldte er avviklet fra 1. januar 2025. Bevilgningen til tilskudd til forsøket (46,3 mill. kroner) foreslås omdisponert til andre tiltak og formål i Avtale om redusert sykefravær og frafall fra arbeidslivet (IA-avtalen) 2025–2028, jf. nærmere omtale under kap. 601, post 22, kap. 601, post 75 (ny) og kap. 605, post 01.</w:t>
      </w:r>
    </w:p>
    <w:p w14:paraId="40411754" w14:textId="77777777" w:rsidR="000A2A2B" w:rsidRPr="007C3060" w:rsidRDefault="000A2A2B" w:rsidP="007C3060">
      <w:r w:rsidRPr="007C3060">
        <w:t>Navnet på posten justeres fra «Tilskudd til ekspertbistand og kompetansetiltak for sykmeldte» til «Tilskudd til ekspertbistand».</w:t>
      </w:r>
    </w:p>
    <w:p w14:paraId="1C28BC12" w14:textId="77777777" w:rsidR="000A2A2B" w:rsidRPr="007C3060" w:rsidRDefault="000A2A2B" w:rsidP="007C3060">
      <w:r w:rsidRPr="007C3060">
        <w:t>Det foreslås å redusere bevilgningen med 46,3 mill. kroner.</w:t>
      </w:r>
    </w:p>
    <w:p w14:paraId="61C3CE1C" w14:textId="77777777" w:rsidR="000A2A2B" w:rsidRPr="007C3060" w:rsidRDefault="000A2A2B" w:rsidP="007C3060">
      <w:pPr>
        <w:pStyle w:val="b-budkaptit"/>
      </w:pPr>
      <w:r w:rsidRPr="007C3060">
        <w:t>Kap. 2651 Arbeidsavklaringspenger</w:t>
      </w:r>
    </w:p>
    <w:p w14:paraId="2FC704A1" w14:textId="77777777" w:rsidR="000A2A2B" w:rsidRPr="007C3060" w:rsidRDefault="000A2A2B" w:rsidP="007C3060">
      <w:pPr>
        <w:pStyle w:val="b-post"/>
      </w:pPr>
      <w:r w:rsidRPr="007C3060">
        <w:t>Post 70 Arbeidsavklaringspenger, overslagsbevilgning</w:t>
      </w:r>
    </w:p>
    <w:p w14:paraId="01096304" w14:textId="77777777" w:rsidR="000A2A2B" w:rsidRPr="007C3060" w:rsidRDefault="000A2A2B" w:rsidP="007C3060">
      <w:r w:rsidRPr="007C3060">
        <w:t>Bevilgningen på posten er 50 160 mill. kroner.</w:t>
      </w:r>
    </w:p>
    <w:p w14:paraId="602851B7" w14:textId="77777777" w:rsidR="000A2A2B" w:rsidRPr="007C3060" w:rsidRDefault="000A2A2B" w:rsidP="007C3060">
      <w:r w:rsidRPr="007C3060">
        <w:t>Sammenlignet med Saldert budsjett 2025 anslås det nå en økning på i gjennomsnitt 2 800 mottakere. Dette skyldes økt tilgang til ordningen. Økt antall mottakere gir en merutgift i forhold til Saldert budsjett 2025 på om lag 870 mill. kroner. Økt anslag for gjennomsnittlig utbetaling per mottaker gir videre en merutgift på om lag 260 mill. kroner, hvorav et høyere anslag for folketrygdens grunnbeløp i 2025 utgjør 150 mill. kroner.</w:t>
      </w:r>
    </w:p>
    <w:p w14:paraId="05D3BB58" w14:textId="77777777" w:rsidR="000A2A2B" w:rsidRPr="007C3060" w:rsidRDefault="000A2A2B" w:rsidP="007C3060">
      <w:r w:rsidRPr="007C3060">
        <w:t>Det foreslås å øke bevilgningen med 1 130 mill. kroner.</w:t>
      </w:r>
    </w:p>
    <w:p w14:paraId="26C6C017" w14:textId="77777777" w:rsidR="000A2A2B" w:rsidRPr="007C3060" w:rsidRDefault="000A2A2B" w:rsidP="007C3060">
      <w:pPr>
        <w:pStyle w:val="b-post"/>
      </w:pPr>
      <w:r w:rsidRPr="007C3060">
        <w:t>Post 71 Tilleggsstønad, overslagsbevilgning</w:t>
      </w:r>
    </w:p>
    <w:p w14:paraId="31C3F0C6" w14:textId="77777777" w:rsidR="000A2A2B" w:rsidRPr="007C3060" w:rsidRDefault="000A2A2B" w:rsidP="007C3060">
      <w:r w:rsidRPr="007C3060">
        <w:t>Bevilgningen på posten er 139 mill. kroner.</w:t>
      </w:r>
    </w:p>
    <w:p w14:paraId="44F89B2B" w14:textId="77777777" w:rsidR="000A2A2B" w:rsidRPr="007C3060" w:rsidRDefault="000A2A2B" w:rsidP="007C3060">
      <w:r w:rsidRPr="007C3060">
        <w:t>Høyere utgifter enn ventet i 2024 og økt anslag for volumveksten i 2025, øker anslaget for utgiftene på posten i 2025.</w:t>
      </w:r>
    </w:p>
    <w:p w14:paraId="1065A627" w14:textId="77777777" w:rsidR="000A2A2B" w:rsidRPr="007C3060" w:rsidRDefault="000A2A2B" w:rsidP="007C3060">
      <w:r w:rsidRPr="007C3060">
        <w:t>Det foreslås å øke bevilgningen med 14 mill. kroner.</w:t>
      </w:r>
    </w:p>
    <w:p w14:paraId="26A3DE5E" w14:textId="77777777" w:rsidR="000A2A2B" w:rsidRPr="007C3060" w:rsidRDefault="000A2A2B" w:rsidP="007C3060">
      <w:pPr>
        <w:pStyle w:val="b-post"/>
      </w:pPr>
      <w:r w:rsidRPr="007C3060">
        <w:t>Post 72 Legeerklæringer</w:t>
      </w:r>
    </w:p>
    <w:p w14:paraId="77967876" w14:textId="77777777" w:rsidR="000A2A2B" w:rsidRPr="007C3060" w:rsidRDefault="000A2A2B" w:rsidP="007C3060">
      <w:r w:rsidRPr="007C3060">
        <w:t>Bevilgningen på posten er 490 mill. kroner.</w:t>
      </w:r>
    </w:p>
    <w:p w14:paraId="62984F89" w14:textId="77777777" w:rsidR="000A2A2B" w:rsidRPr="007C3060" w:rsidRDefault="000A2A2B" w:rsidP="007C3060">
      <w:r w:rsidRPr="007C3060">
        <w:t>Lavere utgifter enn ventet i 2024 og redusert anslag for volumveksten i 2025, reduserer anslaget for utgiftene på posten i 2025.</w:t>
      </w:r>
    </w:p>
    <w:p w14:paraId="0830209A" w14:textId="77777777" w:rsidR="000A2A2B" w:rsidRPr="007C3060" w:rsidRDefault="000A2A2B" w:rsidP="007C3060">
      <w:r w:rsidRPr="007C3060">
        <w:t>Det foreslås å redusere bevilgningen med 10 mill. kroner.</w:t>
      </w:r>
    </w:p>
    <w:p w14:paraId="395F61A7" w14:textId="77777777" w:rsidR="000A2A2B" w:rsidRPr="007C3060" w:rsidRDefault="000A2A2B" w:rsidP="007C3060">
      <w:pPr>
        <w:pStyle w:val="b-budkaptit"/>
      </w:pPr>
      <w:r w:rsidRPr="007C3060">
        <w:t>Kap. 2655 Uførhet</w:t>
      </w:r>
    </w:p>
    <w:p w14:paraId="1B3215DE" w14:textId="77777777" w:rsidR="000A2A2B" w:rsidRPr="007C3060" w:rsidRDefault="000A2A2B" w:rsidP="007C3060">
      <w:pPr>
        <w:pStyle w:val="b-post"/>
      </w:pPr>
      <w:r w:rsidRPr="007C3060">
        <w:t>Post 70 Uføretrygd, overslagsbevilgning</w:t>
      </w:r>
    </w:p>
    <w:p w14:paraId="6B7DA316" w14:textId="77777777" w:rsidR="000A2A2B" w:rsidRPr="007C3060" w:rsidRDefault="000A2A2B" w:rsidP="007C3060">
      <w:r w:rsidRPr="007C3060">
        <w:t>Bevilgningen på posten er 132 618 mill. kroner.</w:t>
      </w:r>
    </w:p>
    <w:p w14:paraId="4DE68119" w14:textId="77777777" w:rsidR="000A2A2B" w:rsidRPr="007C3060" w:rsidRDefault="000A2A2B" w:rsidP="007C3060">
      <w:r w:rsidRPr="007C3060">
        <w:t xml:space="preserve">Veksten i antall mottakere har vært høyere enn antatt, og dette økter utgiftsanslaget med 782 mill. kroner sammenlignet med Saldert budsjett 2025. Flere mottakere enn ventet skyldes </w:t>
      </w:r>
      <w:r w:rsidRPr="007C3060">
        <w:lastRenderedPageBreak/>
        <w:t>hovedsakelig økt overgang fra arbeidsavklaringspenger til uføretrygd. Det er også ventet noe lavere avgang fra uføretrygd enn tidligere antatt.</w:t>
      </w:r>
    </w:p>
    <w:p w14:paraId="1EF36A89" w14:textId="77777777" w:rsidR="000A2A2B" w:rsidRPr="007C3060" w:rsidRDefault="000A2A2B" w:rsidP="007C3060">
      <w:r w:rsidRPr="007C3060">
        <w:t>Endret anslag for grunnbeløpet øker anslaget med 405 mill. kroner. Høyere underliggende vekst i gjennomsnittlig ytelse enn forventet i 2024 trekker anslaget opp, mens lavere i vekst enn ventet i 2025 trekker anslaget i motsatt retning.</w:t>
      </w:r>
    </w:p>
    <w:p w14:paraId="7B4AC40F" w14:textId="77777777" w:rsidR="000A2A2B" w:rsidRPr="007C3060" w:rsidRDefault="000A2A2B" w:rsidP="007C3060">
      <w:r w:rsidRPr="007C3060">
        <w:t>Samlet foreslås det å øke bevilgningen med 1 253 mill. kroner.</w:t>
      </w:r>
    </w:p>
    <w:p w14:paraId="7E507FC9" w14:textId="260A12FB" w:rsidR="000A2A2B" w:rsidRPr="007C3060" w:rsidRDefault="000A2A2B" w:rsidP="007C3060">
      <w:pPr>
        <w:pStyle w:val="b-post"/>
      </w:pPr>
      <w:r w:rsidRPr="007C3060">
        <w:t>Post 75 Menerstatning ved yrkesskade, overslags-bevilgning</w:t>
      </w:r>
    </w:p>
    <w:p w14:paraId="71434A76" w14:textId="77777777" w:rsidR="000A2A2B" w:rsidRPr="007C3060" w:rsidRDefault="000A2A2B" w:rsidP="007C3060">
      <w:r w:rsidRPr="007C3060">
        <w:t>Bevilgningen på posten er 68 mill. kroner.</w:t>
      </w:r>
    </w:p>
    <w:p w14:paraId="3D8C883A" w14:textId="77777777" w:rsidR="000A2A2B" w:rsidRPr="007C3060" w:rsidRDefault="000A2A2B" w:rsidP="007C3060">
      <w:r w:rsidRPr="007C3060">
        <w:t>Regnskapsutviklingen i 2024 og utviklingen så langt i 2025 tilsier høyere utgifter enn lagt til grunn i Saldert budsjett 2025.</w:t>
      </w:r>
    </w:p>
    <w:p w14:paraId="5353008C" w14:textId="77777777" w:rsidR="000A2A2B" w:rsidRPr="007C3060" w:rsidRDefault="000A2A2B" w:rsidP="007C3060">
      <w:r w:rsidRPr="007C3060">
        <w:t>Det foreslås å øke bevilgningen med 19 mill. kroner.</w:t>
      </w:r>
    </w:p>
    <w:p w14:paraId="3248CEC8" w14:textId="77777777" w:rsidR="000A2A2B" w:rsidRPr="007C3060" w:rsidRDefault="000A2A2B" w:rsidP="007C3060">
      <w:pPr>
        <w:pStyle w:val="b-post"/>
      </w:pPr>
      <w:r w:rsidRPr="007C3060">
        <w:t>Post 76 Yrkesskadetrygd gml. lovgivning, -overslagsbevilgning</w:t>
      </w:r>
    </w:p>
    <w:p w14:paraId="2E3192EB" w14:textId="77777777" w:rsidR="000A2A2B" w:rsidRPr="007C3060" w:rsidRDefault="000A2A2B" w:rsidP="007C3060">
      <w:r w:rsidRPr="007C3060">
        <w:t>Bevilgningen på posten er 30 mill. kroner.</w:t>
      </w:r>
    </w:p>
    <w:p w14:paraId="3EDE070E" w14:textId="77777777" w:rsidR="000A2A2B" w:rsidRPr="007C3060" w:rsidRDefault="000A2A2B" w:rsidP="007C3060">
      <w:r w:rsidRPr="007C3060">
        <w:t>Regnskapsutviklingen i 2024 og utviklingen så langt i 2025 tilsier lavere utgifter enn lagt til grunn i Saldert budsjett 2025.</w:t>
      </w:r>
    </w:p>
    <w:p w14:paraId="66C17B13" w14:textId="77777777" w:rsidR="000A2A2B" w:rsidRPr="007C3060" w:rsidRDefault="000A2A2B" w:rsidP="007C3060">
      <w:r w:rsidRPr="007C3060">
        <w:t>Det foreslås å redusere bevilgningen med 2 mill. kroner.</w:t>
      </w:r>
    </w:p>
    <w:p w14:paraId="279B83B0" w14:textId="77777777" w:rsidR="000A2A2B" w:rsidRPr="007C3060" w:rsidRDefault="000A2A2B" w:rsidP="007C3060">
      <w:pPr>
        <w:pStyle w:val="b-budkaptit"/>
      </w:pPr>
      <w:r w:rsidRPr="007C3060">
        <w:t>Kap. 2661 Grunn- og hjelpestønad, -hjelpemidler mv.</w:t>
      </w:r>
    </w:p>
    <w:p w14:paraId="1417AD1D" w14:textId="77777777" w:rsidR="000A2A2B" w:rsidRPr="007C3060" w:rsidRDefault="000A2A2B" w:rsidP="007C3060">
      <w:pPr>
        <w:pStyle w:val="b-post"/>
      </w:pPr>
      <w:r w:rsidRPr="007C3060">
        <w:t>Post 70 Grunnstønad, overslagsbevilgning</w:t>
      </w:r>
    </w:p>
    <w:p w14:paraId="6B58F186" w14:textId="77777777" w:rsidR="000A2A2B" w:rsidRPr="007C3060" w:rsidRDefault="000A2A2B" w:rsidP="007C3060">
      <w:r w:rsidRPr="007C3060">
        <w:t>Bevilgningen på posten er 1 852,7 mill. kroner.</w:t>
      </w:r>
    </w:p>
    <w:p w14:paraId="4E36802A" w14:textId="77777777" w:rsidR="000A2A2B" w:rsidRPr="007C3060" w:rsidRDefault="000A2A2B" w:rsidP="007C3060">
      <w:r w:rsidRPr="007C3060">
        <w:t>Det er ventet noe høyere utgifter enn det som lå til grunn for Saldert budsjett 2025. Det skyldes hovedsakelig høyere vekst enn ventet i antall mottakere og gjennomsnittlig ytelse i 2025.</w:t>
      </w:r>
    </w:p>
    <w:p w14:paraId="1BDFA70C" w14:textId="77777777" w:rsidR="000A2A2B" w:rsidRPr="007C3060" w:rsidRDefault="000A2A2B" w:rsidP="007C3060">
      <w:r w:rsidRPr="007C3060">
        <w:t>Det foreslås å øke bevilgningen med 7,3 mill. kroner.</w:t>
      </w:r>
    </w:p>
    <w:p w14:paraId="6E183E64" w14:textId="77777777" w:rsidR="000A2A2B" w:rsidRPr="007C3060" w:rsidRDefault="000A2A2B" w:rsidP="007C3060">
      <w:pPr>
        <w:pStyle w:val="b-post"/>
      </w:pPr>
      <w:r w:rsidRPr="007C3060">
        <w:t>Post 71 Hjelpestønad, overslagsbevilgning</w:t>
      </w:r>
    </w:p>
    <w:p w14:paraId="331E63A9" w14:textId="77777777" w:rsidR="000A2A2B" w:rsidRPr="007C3060" w:rsidRDefault="000A2A2B" w:rsidP="007C3060">
      <w:r w:rsidRPr="007C3060">
        <w:t>Bevilgningen på posten er 2 522 mill. kroner.</w:t>
      </w:r>
    </w:p>
    <w:p w14:paraId="2FE22270" w14:textId="77777777" w:rsidR="000A2A2B" w:rsidRPr="007C3060" w:rsidRDefault="000A2A2B" w:rsidP="007C3060">
      <w:r w:rsidRPr="007C3060">
        <w:t>Det er ventet høyere utgifter enn det som lå til grunn for Saldert budsjett 2025, hovedsakelig som følge av en større økning i antall mottakere i 2024 enn forventet.</w:t>
      </w:r>
    </w:p>
    <w:p w14:paraId="114FE693" w14:textId="77777777" w:rsidR="000A2A2B" w:rsidRPr="007C3060" w:rsidRDefault="000A2A2B" w:rsidP="007C3060">
      <w:r w:rsidRPr="007C3060">
        <w:t>Det foreslås å øke bevilgningen med 38 mill. kroner.</w:t>
      </w:r>
    </w:p>
    <w:p w14:paraId="414D5E9C" w14:textId="77777777" w:rsidR="000A2A2B" w:rsidRPr="007C3060" w:rsidRDefault="000A2A2B" w:rsidP="007C3060">
      <w:pPr>
        <w:pStyle w:val="b-post"/>
      </w:pPr>
      <w:r w:rsidRPr="007C3060">
        <w:t>Post 72 Stønad til servicehund</w:t>
      </w:r>
    </w:p>
    <w:p w14:paraId="50334BE8" w14:textId="77777777" w:rsidR="000A2A2B" w:rsidRPr="007C3060" w:rsidRDefault="000A2A2B" w:rsidP="007C3060">
      <w:r w:rsidRPr="007C3060">
        <w:t>Bevilgningen på posten er 10,3 mill. kroner.</w:t>
      </w:r>
    </w:p>
    <w:p w14:paraId="5AF3D6D3" w14:textId="77777777" w:rsidR="000A2A2B" w:rsidRPr="007C3060" w:rsidRDefault="000A2A2B" w:rsidP="007C3060">
      <w:r w:rsidRPr="007C3060">
        <w:lastRenderedPageBreak/>
        <w:t xml:space="preserve">Det var et </w:t>
      </w:r>
      <w:proofErr w:type="spellStart"/>
      <w:r w:rsidRPr="007C3060">
        <w:t>mindreforbruk</w:t>
      </w:r>
      <w:proofErr w:type="spellEnd"/>
      <w:r w:rsidRPr="007C3060">
        <w:t xml:space="preserve"> på posten i 2024. Dette skyldes blant annet at flere hunder først ble klare mot slutten av 2024, og at utgiftene dermed ikke ble kostnadsført før i 2025. For å dekke de økonomiske forpliktelsene inngått i 2024, er det behov for å øke bevilgningen med 3,3 mill. kroner i 2025.</w:t>
      </w:r>
    </w:p>
    <w:p w14:paraId="57854ACC" w14:textId="77777777" w:rsidR="000A2A2B" w:rsidRPr="007C3060" w:rsidRDefault="000A2A2B" w:rsidP="007C3060">
      <w:r w:rsidRPr="007C3060">
        <w:t>Det foreslås å øke bevilgningen med 3,3 mill. kroner.</w:t>
      </w:r>
    </w:p>
    <w:p w14:paraId="2F934E66" w14:textId="77777777" w:rsidR="000A2A2B" w:rsidRPr="007C3060" w:rsidRDefault="000A2A2B" w:rsidP="007C3060">
      <w:pPr>
        <w:pStyle w:val="b-post"/>
      </w:pPr>
      <w:r w:rsidRPr="007C3060">
        <w:t>Post 73 Hjelpemidler mv. under arbeid og utdanning</w:t>
      </w:r>
    </w:p>
    <w:p w14:paraId="4133742C" w14:textId="77777777" w:rsidR="000A2A2B" w:rsidRPr="007C3060" w:rsidRDefault="000A2A2B" w:rsidP="007C3060">
      <w:r w:rsidRPr="007C3060">
        <w:t>Bevilgningen på posten er 139,2 mill. kroner.</w:t>
      </w:r>
    </w:p>
    <w:p w14:paraId="6DFCA302" w14:textId="77777777" w:rsidR="000A2A2B" w:rsidRPr="007C3060" w:rsidRDefault="000A2A2B" w:rsidP="007C3060">
      <w:r w:rsidRPr="007C3060">
        <w:t>Det er ventet noe høyere utgifter enn det som lå til grunn for Saldert budsjett 2025.</w:t>
      </w:r>
    </w:p>
    <w:p w14:paraId="10067A91" w14:textId="77777777" w:rsidR="000A2A2B" w:rsidRPr="007C3060" w:rsidRDefault="000A2A2B" w:rsidP="007C3060">
      <w:r w:rsidRPr="007C3060">
        <w:t>Det foreslås å øke bevilgningen med 0,8 mill. kroner.</w:t>
      </w:r>
    </w:p>
    <w:p w14:paraId="6398C372" w14:textId="77777777" w:rsidR="000A2A2B" w:rsidRPr="007C3060" w:rsidRDefault="000A2A2B" w:rsidP="007C3060">
      <w:pPr>
        <w:pStyle w:val="b-post"/>
      </w:pPr>
      <w:r w:rsidRPr="007C3060">
        <w:t>Post 74 Tilskudd til biler</w:t>
      </w:r>
    </w:p>
    <w:p w14:paraId="768EE425" w14:textId="77777777" w:rsidR="000A2A2B" w:rsidRPr="007C3060" w:rsidRDefault="000A2A2B" w:rsidP="007C3060">
      <w:r w:rsidRPr="007C3060">
        <w:t>Bevilgningen på posten er 809,7 mill. kroner.</w:t>
      </w:r>
    </w:p>
    <w:p w14:paraId="62D369AF" w14:textId="77777777" w:rsidR="000A2A2B" w:rsidRPr="007C3060" w:rsidRDefault="000A2A2B" w:rsidP="007C3060">
      <w:r w:rsidRPr="007C3060">
        <w:t>Det var en uvanlig høy vekst i leveranse av biler i andre halvår av 2024, noe som gjør at anslaget for 2025 har økt sammenlignet med Saldert budsjett 2025. Samtidig er det ventet lavere volumvekst i 2025 enn tidligere anslått, hvilket trekker anslaget noe ned.</w:t>
      </w:r>
    </w:p>
    <w:p w14:paraId="638A3D5B" w14:textId="77777777" w:rsidR="000A2A2B" w:rsidRPr="007C3060" w:rsidRDefault="000A2A2B" w:rsidP="007C3060">
      <w:r w:rsidRPr="007C3060">
        <w:t>Samlet foreslås det å øke bevilgningen med 175,3 mill. kroner.</w:t>
      </w:r>
    </w:p>
    <w:p w14:paraId="4960C3A5" w14:textId="77777777" w:rsidR="000A2A2B" w:rsidRPr="007C3060" w:rsidRDefault="000A2A2B" w:rsidP="007C3060">
      <w:pPr>
        <w:pStyle w:val="b-post"/>
      </w:pPr>
      <w:r w:rsidRPr="007C3060">
        <w:t>Post 75 Bedring av funksjonsevnen, hjelpemidler</w:t>
      </w:r>
    </w:p>
    <w:p w14:paraId="203E66E3" w14:textId="77777777" w:rsidR="000A2A2B" w:rsidRPr="007C3060" w:rsidRDefault="000A2A2B" w:rsidP="007C3060">
      <w:r w:rsidRPr="007C3060">
        <w:t>Bevilgningen på posten er 5 148,1 mill. kroner.</w:t>
      </w:r>
    </w:p>
    <w:p w14:paraId="14FDD30E" w14:textId="77777777" w:rsidR="000A2A2B" w:rsidRPr="007C3060" w:rsidRDefault="000A2A2B" w:rsidP="007C3060">
      <w:r w:rsidRPr="007C3060">
        <w:t>Det er ventet høyere utgifter enn det som lå til grunn for Saldert budsjett 2025, hovedsakelig som følge av høyere volumvekst enn ventet i 2024 og høyere forventet volumvekst i 2025 enn tidligere anslått.</w:t>
      </w:r>
    </w:p>
    <w:p w14:paraId="68968997" w14:textId="77777777" w:rsidR="000A2A2B" w:rsidRPr="007C3060" w:rsidRDefault="000A2A2B" w:rsidP="007C3060">
      <w:r w:rsidRPr="007C3060">
        <w:t>Det foreslås å øke bevilgningen med 251,9 mill. kroner.</w:t>
      </w:r>
    </w:p>
    <w:p w14:paraId="722946F6" w14:textId="77777777" w:rsidR="000A2A2B" w:rsidRPr="007C3060" w:rsidRDefault="000A2A2B" w:rsidP="007C3060">
      <w:pPr>
        <w:pStyle w:val="b-post"/>
      </w:pPr>
      <w:r w:rsidRPr="007C3060">
        <w:t>Post 76 Bedring av funksjonsevnen, hjelpemidler som tjenester</w:t>
      </w:r>
    </w:p>
    <w:p w14:paraId="349434CB" w14:textId="77777777" w:rsidR="000A2A2B" w:rsidRPr="007C3060" w:rsidRDefault="000A2A2B" w:rsidP="007C3060">
      <w:r w:rsidRPr="007C3060">
        <w:t>Bevilgningen på posten er 490,8 mill. kroner.</w:t>
      </w:r>
    </w:p>
    <w:p w14:paraId="34BA191A" w14:textId="77777777" w:rsidR="000A2A2B" w:rsidRPr="007C3060" w:rsidRDefault="000A2A2B" w:rsidP="007C3060">
      <w:r w:rsidRPr="007C3060">
        <w:t>Det er ventet noe lavere utgifter enn det som lå til grunn for Saldert budsjett 2025.</w:t>
      </w:r>
    </w:p>
    <w:p w14:paraId="6261CD9D" w14:textId="77777777" w:rsidR="000A2A2B" w:rsidRPr="007C3060" w:rsidRDefault="000A2A2B" w:rsidP="007C3060">
      <w:r w:rsidRPr="007C3060">
        <w:t>Det foreslås å redusere bevilgningen med 0,8 mill. kroner.</w:t>
      </w:r>
    </w:p>
    <w:p w14:paraId="5D19F1B3" w14:textId="77777777" w:rsidR="000A2A2B" w:rsidRPr="007C3060" w:rsidRDefault="000A2A2B" w:rsidP="007C3060">
      <w:pPr>
        <w:pStyle w:val="b-post"/>
      </w:pPr>
      <w:r w:rsidRPr="007C3060">
        <w:t>Post 77 Ortopediske hjelpemidler</w:t>
      </w:r>
    </w:p>
    <w:p w14:paraId="475A4EEC" w14:textId="77777777" w:rsidR="000A2A2B" w:rsidRPr="007C3060" w:rsidRDefault="000A2A2B" w:rsidP="007C3060">
      <w:r w:rsidRPr="007C3060">
        <w:t>Bevilgningen på posten er 2 874,8 mill. kroner.</w:t>
      </w:r>
    </w:p>
    <w:p w14:paraId="6E9286FA" w14:textId="77777777" w:rsidR="000A2A2B" w:rsidRPr="007C3060" w:rsidRDefault="000A2A2B" w:rsidP="007C3060">
      <w:r w:rsidRPr="007C3060">
        <w:t>Det er ventet noe lavere utgifter enn det som lå til grunn for Saldert budsjett 2025, hovedsakelig som følge av lavere forventet volumvekst i 2025 enn tidligere anslått.</w:t>
      </w:r>
    </w:p>
    <w:p w14:paraId="06511D75" w14:textId="77777777" w:rsidR="000A2A2B" w:rsidRPr="007C3060" w:rsidRDefault="000A2A2B" w:rsidP="007C3060">
      <w:r w:rsidRPr="007C3060">
        <w:t>Det foreslås å redusere bevilgningen med 14,8 mill. kroner.</w:t>
      </w:r>
    </w:p>
    <w:p w14:paraId="70E3D610" w14:textId="77777777" w:rsidR="000A2A2B" w:rsidRPr="007C3060" w:rsidRDefault="000A2A2B" w:rsidP="007C3060">
      <w:pPr>
        <w:pStyle w:val="b-post"/>
      </w:pPr>
      <w:r w:rsidRPr="007C3060">
        <w:lastRenderedPageBreak/>
        <w:t>Post 78 Høreapparater</w:t>
      </w:r>
    </w:p>
    <w:p w14:paraId="6F98055E" w14:textId="77777777" w:rsidR="000A2A2B" w:rsidRPr="007C3060" w:rsidRDefault="000A2A2B" w:rsidP="007C3060">
      <w:r w:rsidRPr="007C3060">
        <w:t>Bevilgningen på posten er 1 082,9 mill. kroner.</w:t>
      </w:r>
    </w:p>
    <w:p w14:paraId="3612D42C" w14:textId="77777777" w:rsidR="000A2A2B" w:rsidRPr="007C3060" w:rsidRDefault="000A2A2B" w:rsidP="007C3060">
      <w:r w:rsidRPr="007C3060">
        <w:t>Det er ventet høyere utgifter enn det som lå til grunn for Saldert budsjett 2025, hovedsakelig som følge av høyere volumvekst i 2024 enn ventet.</w:t>
      </w:r>
    </w:p>
    <w:p w14:paraId="0B625A8E" w14:textId="77777777" w:rsidR="000A2A2B" w:rsidRPr="007C3060" w:rsidRDefault="000A2A2B" w:rsidP="007C3060">
      <w:r w:rsidRPr="007C3060">
        <w:t>Det foreslås å øke bevilgningen med 57,1 mill. kroner.</w:t>
      </w:r>
    </w:p>
    <w:p w14:paraId="5738A066" w14:textId="77777777" w:rsidR="000A2A2B" w:rsidRPr="007C3060" w:rsidRDefault="000A2A2B" w:rsidP="007C3060">
      <w:pPr>
        <w:pStyle w:val="b-budkaptit"/>
      </w:pPr>
      <w:r w:rsidRPr="007C3060">
        <w:t>Kap. 2670 Alderdom</w:t>
      </w:r>
    </w:p>
    <w:p w14:paraId="326E4657" w14:textId="77777777" w:rsidR="000A2A2B" w:rsidRPr="007C3060" w:rsidRDefault="000A2A2B" w:rsidP="007C3060">
      <w:r w:rsidRPr="007C3060">
        <w:t>Bevilgningen til alderspensjon er samlet på 335 878 mill. kroner. Anslagene er samlet sett justert ned med 1 618 mill. kroner. Redusert anslag for antall alderspensjonister gir en reduksjon på om lag 748 mill. kroner. Endret anslag for effekt av pensjonsreguleringen som følge av endrede anslag for pris- og lønnsvekst i 2024 og 2025 gir en reduksjon i anslaget på 808 mill. kroner, mens redusert anslag for underliggende vekst i gjennomsnittlig alderspensjon gir en reduksjon på 62 mill. kroner.</w:t>
      </w:r>
    </w:p>
    <w:p w14:paraId="4B8D56EA" w14:textId="77777777" w:rsidR="000A2A2B" w:rsidRPr="007C3060" w:rsidRDefault="000A2A2B" w:rsidP="007C3060">
      <w:pPr>
        <w:pStyle w:val="b-post"/>
      </w:pPr>
      <w:r w:rsidRPr="007C3060">
        <w:t>Post 70 Grunnpensjon, overslagsbevilgning</w:t>
      </w:r>
    </w:p>
    <w:p w14:paraId="084C2AA6" w14:textId="77777777" w:rsidR="000A2A2B" w:rsidRPr="007C3060" w:rsidRDefault="000A2A2B" w:rsidP="007C3060">
      <w:r w:rsidRPr="007C3060">
        <w:t>Bevilgningen på posten er 95 980 mill. kroner.</w:t>
      </w:r>
    </w:p>
    <w:p w14:paraId="6D0CDB66" w14:textId="77777777" w:rsidR="000A2A2B" w:rsidRPr="007C3060" w:rsidRDefault="000A2A2B" w:rsidP="007C3060">
      <w:r w:rsidRPr="007C3060">
        <w:t>Anslaget på posten nedjusteres som følge av redusert anslag for både gjennomsnittlig ytelse og gjennomsnittlig antall mottakere.</w:t>
      </w:r>
    </w:p>
    <w:p w14:paraId="2149C1A1" w14:textId="77777777" w:rsidR="000A2A2B" w:rsidRPr="007C3060" w:rsidRDefault="000A2A2B" w:rsidP="007C3060">
      <w:r w:rsidRPr="007C3060">
        <w:t>Det foreslås å redusere bevilgningen med 300 mill. kroner.</w:t>
      </w:r>
    </w:p>
    <w:p w14:paraId="259614C8" w14:textId="77777777" w:rsidR="000A2A2B" w:rsidRPr="007C3060" w:rsidRDefault="000A2A2B" w:rsidP="007C3060">
      <w:pPr>
        <w:pStyle w:val="b-post"/>
      </w:pPr>
      <w:r w:rsidRPr="007C3060">
        <w:t>Post 71 Tilleggspensjon, overslagsbevilgning</w:t>
      </w:r>
    </w:p>
    <w:p w14:paraId="09A80797" w14:textId="77777777" w:rsidR="000A2A2B" w:rsidRPr="007C3060" w:rsidRDefault="000A2A2B" w:rsidP="007C3060">
      <w:r w:rsidRPr="007C3060">
        <w:t>Bevilgningen på posten er 194 460 mill. kroner.</w:t>
      </w:r>
    </w:p>
    <w:p w14:paraId="0E37D18C" w14:textId="77777777" w:rsidR="000A2A2B" w:rsidRPr="007C3060" w:rsidRDefault="000A2A2B" w:rsidP="007C3060">
      <w:r w:rsidRPr="007C3060">
        <w:t>Anslaget på posten nedjusteres som følge av redusert anslag for gjennomsnittlig antall mottakere.</w:t>
      </w:r>
    </w:p>
    <w:p w14:paraId="0E6EA95A" w14:textId="77777777" w:rsidR="000A2A2B" w:rsidRPr="007C3060" w:rsidRDefault="000A2A2B" w:rsidP="007C3060">
      <w:r w:rsidRPr="007C3060">
        <w:t>Det foreslås å redusere bevilgningen med 700 mill. kroner.</w:t>
      </w:r>
    </w:p>
    <w:p w14:paraId="46638BBB" w14:textId="77777777" w:rsidR="000A2A2B" w:rsidRPr="007C3060" w:rsidRDefault="000A2A2B" w:rsidP="007C3060">
      <w:pPr>
        <w:pStyle w:val="b-post"/>
      </w:pPr>
      <w:r w:rsidRPr="007C3060">
        <w:t>Post 72 Inntektspensjon, overslagsbevilgning</w:t>
      </w:r>
    </w:p>
    <w:p w14:paraId="73F45AF3" w14:textId="77777777" w:rsidR="000A2A2B" w:rsidRPr="007C3060" w:rsidRDefault="000A2A2B" w:rsidP="007C3060">
      <w:r w:rsidRPr="007C3060">
        <w:t>Bevilgningen på posten er 34 790 mill. kroner. Anslaget på posten nedjusteres hovedsakelig som følge av redusert anslag for gjennomsnittlig ytelse.</w:t>
      </w:r>
    </w:p>
    <w:p w14:paraId="00520A34" w14:textId="77777777" w:rsidR="000A2A2B" w:rsidRPr="007C3060" w:rsidRDefault="000A2A2B" w:rsidP="007C3060">
      <w:r w:rsidRPr="007C3060">
        <w:t>Det foreslås å redusere bevilgningen med 430 mill. kroner.</w:t>
      </w:r>
    </w:p>
    <w:p w14:paraId="665E0BFC" w14:textId="6B86FEA9" w:rsidR="000A2A2B" w:rsidRPr="007C3060" w:rsidRDefault="000A2A2B" w:rsidP="007C3060">
      <w:pPr>
        <w:pStyle w:val="b-post"/>
      </w:pPr>
      <w:r w:rsidRPr="007C3060">
        <w:t>Post 73 Særtillegg, pensjonstillegg mv., overslags-bevilgning</w:t>
      </w:r>
    </w:p>
    <w:p w14:paraId="40FEAB00" w14:textId="77777777" w:rsidR="000A2A2B" w:rsidRPr="007C3060" w:rsidRDefault="000A2A2B" w:rsidP="007C3060">
      <w:r w:rsidRPr="007C3060">
        <w:t>Bevilgningen på posten er 10 648 mill. kroner.</w:t>
      </w:r>
    </w:p>
    <w:p w14:paraId="04F2E8CF" w14:textId="77777777" w:rsidR="000A2A2B" w:rsidRPr="007C3060" w:rsidRDefault="000A2A2B" w:rsidP="007C3060">
      <w:r w:rsidRPr="007C3060">
        <w:t>Posten dekker flere ulike tillegg. Særtillegg og pensjonstillegg utgjør om lag 56 pst. av posten. For disse tilleggene justeres gjennomsnittlig antall mottakere ned og gjennomsnittlig ytelse opp, og samlet sett justeres anslaget ned med 115 mill. kroner. Det er også gjort justeringer av øvrige tillegg.</w:t>
      </w:r>
    </w:p>
    <w:p w14:paraId="75D9FD73" w14:textId="77777777" w:rsidR="000A2A2B" w:rsidRPr="007C3060" w:rsidRDefault="000A2A2B" w:rsidP="007C3060">
      <w:r w:rsidRPr="007C3060">
        <w:lastRenderedPageBreak/>
        <w:t>Det foreslås å redusere bevilgningen med 188 mill. kroner.</w:t>
      </w:r>
    </w:p>
    <w:p w14:paraId="46DD2415" w14:textId="77777777" w:rsidR="000A2A2B" w:rsidRPr="007C3060" w:rsidRDefault="000A2A2B" w:rsidP="007C3060">
      <w:pPr>
        <w:pStyle w:val="b-budkaptit"/>
      </w:pPr>
      <w:r w:rsidRPr="007C3060">
        <w:t>Kap. 2680 Etterlatte</w:t>
      </w:r>
    </w:p>
    <w:p w14:paraId="2CBE047C" w14:textId="77777777" w:rsidR="000A2A2B" w:rsidRPr="007C3060" w:rsidRDefault="000A2A2B" w:rsidP="007C3060">
      <w:pPr>
        <w:pStyle w:val="b-post"/>
      </w:pPr>
      <w:r w:rsidRPr="007C3060">
        <w:t>Post 70 Omstillingsstønad mv., overslagsbevilgning</w:t>
      </w:r>
    </w:p>
    <w:p w14:paraId="10BECE22" w14:textId="77777777" w:rsidR="000A2A2B" w:rsidRPr="007C3060" w:rsidRDefault="000A2A2B" w:rsidP="007C3060">
      <w:r w:rsidRPr="007C3060">
        <w:t>Bevilgningen på posten er 1 700 mill. kroner.</w:t>
      </w:r>
    </w:p>
    <w:p w14:paraId="02F6B3F7" w14:textId="77777777" w:rsidR="000A2A2B" w:rsidRPr="007C3060" w:rsidRDefault="000A2A2B" w:rsidP="007C3060">
      <w:r w:rsidRPr="007C3060">
        <w:t>Det er gjort endringer i anslagene for gjennomsnittlig ytelse og gjennomsnittlig antall mottakere og samlet sett oppjusteres anslaget.</w:t>
      </w:r>
    </w:p>
    <w:p w14:paraId="4D62B464" w14:textId="77777777" w:rsidR="000A2A2B" w:rsidRPr="007C3060" w:rsidRDefault="000A2A2B" w:rsidP="007C3060">
      <w:r w:rsidRPr="007C3060">
        <w:t>Det foreslås å øke bevilgningen med 10 mill. kroner.</w:t>
      </w:r>
    </w:p>
    <w:p w14:paraId="5EAF39DE" w14:textId="77777777" w:rsidR="000A2A2B" w:rsidRPr="007C3060" w:rsidRDefault="000A2A2B" w:rsidP="007C3060">
      <w:pPr>
        <w:pStyle w:val="b-post"/>
      </w:pPr>
      <w:r w:rsidRPr="007C3060">
        <w:t>Post 71 Barnepensjon, overslagsbevilgning</w:t>
      </w:r>
    </w:p>
    <w:p w14:paraId="034BECD1" w14:textId="77777777" w:rsidR="000A2A2B" w:rsidRPr="007C3060" w:rsidRDefault="000A2A2B" w:rsidP="007C3060">
      <w:r w:rsidRPr="007C3060">
        <w:t>Bevilgningen på posten er 1 690 mill. kroner.</w:t>
      </w:r>
    </w:p>
    <w:p w14:paraId="12C8C85F" w14:textId="77777777" w:rsidR="000A2A2B" w:rsidRPr="007C3060" w:rsidRDefault="000A2A2B" w:rsidP="007C3060">
      <w:r w:rsidRPr="007C3060">
        <w:t>Anslaget på posten oppjusteres som følge av økt anslag for både gjennomsnittlig ytelse og gjennomsnittlig antall mottakere.</w:t>
      </w:r>
    </w:p>
    <w:p w14:paraId="3BBBB211" w14:textId="77777777" w:rsidR="000A2A2B" w:rsidRPr="007C3060" w:rsidRDefault="000A2A2B" w:rsidP="007C3060">
      <w:r w:rsidRPr="007C3060">
        <w:t>Det foreslås å øke bevilgningen med 80 mill. kroner.</w:t>
      </w:r>
    </w:p>
    <w:p w14:paraId="2AAB0095" w14:textId="77777777" w:rsidR="000A2A2B" w:rsidRPr="007C3060" w:rsidRDefault="000A2A2B" w:rsidP="007C3060">
      <w:pPr>
        <w:pStyle w:val="b-post"/>
      </w:pPr>
      <w:r w:rsidRPr="007C3060">
        <w:t>Post 74 Tilleggsstønader og stønad til skolepenger, overslagsbevilgning</w:t>
      </w:r>
    </w:p>
    <w:p w14:paraId="7D4215C3" w14:textId="77777777" w:rsidR="000A2A2B" w:rsidRPr="007C3060" w:rsidRDefault="000A2A2B" w:rsidP="007C3060">
      <w:r w:rsidRPr="007C3060">
        <w:t>Bevilgningen på posten er 0,2 mill. kroner.</w:t>
      </w:r>
    </w:p>
    <w:p w14:paraId="6B49DE89" w14:textId="77777777" w:rsidR="000A2A2B" w:rsidRPr="007C3060" w:rsidRDefault="000A2A2B" w:rsidP="007C3060">
      <w:r w:rsidRPr="007C3060">
        <w:t>Regnskapsutviklingen i 2024 og utviklingen så langt i 2025 tilsier lavere utgifter enn lagt til grunn i Saldert budsjett 2025. Anslaget på posten justeres ned.</w:t>
      </w:r>
    </w:p>
    <w:p w14:paraId="0BEB21FD" w14:textId="77777777" w:rsidR="000A2A2B" w:rsidRPr="007C3060" w:rsidRDefault="000A2A2B" w:rsidP="007C3060">
      <w:r w:rsidRPr="007C3060">
        <w:t>Det foreslås å redusere bevilgningen med 0,1 mill. kroner.</w:t>
      </w:r>
    </w:p>
    <w:p w14:paraId="56838FE5" w14:textId="77777777" w:rsidR="000A2A2B" w:rsidRPr="007C3060" w:rsidRDefault="000A2A2B" w:rsidP="007C3060">
      <w:pPr>
        <w:pStyle w:val="b-post"/>
      </w:pPr>
      <w:r w:rsidRPr="007C3060">
        <w:t>Post 75 Stønad til barnetilsyn til gjenlevende i arbeid, overslagsbevilgning</w:t>
      </w:r>
    </w:p>
    <w:p w14:paraId="10342BBF" w14:textId="77777777" w:rsidR="000A2A2B" w:rsidRPr="007C3060" w:rsidRDefault="000A2A2B" w:rsidP="007C3060">
      <w:r w:rsidRPr="007C3060">
        <w:t>Bevilgningen på posten er 2,5 mill. kroner.</w:t>
      </w:r>
    </w:p>
    <w:p w14:paraId="3C7EF2E9" w14:textId="77777777" w:rsidR="000A2A2B" w:rsidRPr="007C3060" w:rsidRDefault="000A2A2B" w:rsidP="007C3060">
      <w:r w:rsidRPr="007C3060">
        <w:t>Regnskapsutviklingen i 2024 og utviklingen så langt i 2025 tilsier lavere utgifter enn lagt til grunn i Saldert budsjett 2025. Anslaget på posten justeres ned.</w:t>
      </w:r>
    </w:p>
    <w:p w14:paraId="6D39BB25" w14:textId="77777777" w:rsidR="000A2A2B" w:rsidRPr="007C3060" w:rsidRDefault="000A2A2B" w:rsidP="007C3060">
      <w:r w:rsidRPr="007C3060">
        <w:t>Det foreslås å redusere bevilgningen med 1 mill. kroner.</w:t>
      </w:r>
    </w:p>
    <w:p w14:paraId="5ACD66DD" w14:textId="77777777" w:rsidR="000A2A2B" w:rsidRPr="007C3060" w:rsidRDefault="000A2A2B" w:rsidP="007C3060">
      <w:pPr>
        <w:pStyle w:val="b-budkaptit"/>
      </w:pPr>
      <w:r w:rsidRPr="007C3060">
        <w:t>Kap. 2686 Stønad ved gravferd</w:t>
      </w:r>
    </w:p>
    <w:p w14:paraId="14EFFFD5" w14:textId="77777777" w:rsidR="000A2A2B" w:rsidRPr="007C3060" w:rsidRDefault="000A2A2B" w:rsidP="007C3060">
      <w:pPr>
        <w:pStyle w:val="b-post"/>
      </w:pPr>
      <w:r w:rsidRPr="007C3060">
        <w:t>Post 70 Stønad ved gravferd, overslagsbevilgning</w:t>
      </w:r>
    </w:p>
    <w:p w14:paraId="56365629" w14:textId="77777777" w:rsidR="000A2A2B" w:rsidRPr="007C3060" w:rsidRDefault="000A2A2B" w:rsidP="007C3060">
      <w:r w:rsidRPr="007C3060">
        <w:t>Bevilgningen på posten er 325 mill. kroner.</w:t>
      </w:r>
    </w:p>
    <w:p w14:paraId="7D943D2E" w14:textId="77777777" w:rsidR="000A2A2B" w:rsidRPr="007C3060" w:rsidRDefault="000A2A2B" w:rsidP="007C3060">
      <w:r w:rsidRPr="007C3060">
        <w:t>Anslagene for gjennomsnittlig ytelse og gjennomsnittlig antall mottakere oppjusteres, både for stønad til gravferd og båretransport.</w:t>
      </w:r>
    </w:p>
    <w:p w14:paraId="3AFC0932" w14:textId="77777777" w:rsidR="000A2A2B" w:rsidRPr="007C3060" w:rsidRDefault="000A2A2B" w:rsidP="007C3060">
      <w:r w:rsidRPr="007C3060">
        <w:t>Det foreslås å øke bevilgningen med 55 mill. kroner.</w:t>
      </w:r>
    </w:p>
    <w:p w14:paraId="71F983D3" w14:textId="77777777" w:rsidR="000A2A2B" w:rsidRPr="007C3060" w:rsidRDefault="000A2A2B" w:rsidP="007C3060">
      <w:pPr>
        <w:pStyle w:val="b-budkaptit"/>
      </w:pPr>
      <w:r w:rsidRPr="007C3060">
        <w:lastRenderedPageBreak/>
        <w:t>Kap. 5701 Diverse inntekter</w:t>
      </w:r>
    </w:p>
    <w:p w14:paraId="0C432C7E" w14:textId="77777777" w:rsidR="000A2A2B" w:rsidRPr="007C3060" w:rsidRDefault="000A2A2B" w:rsidP="007C3060">
      <w:pPr>
        <w:pStyle w:val="b-post"/>
      </w:pPr>
      <w:r w:rsidRPr="007C3060">
        <w:t>Post 71 Refusjon ved yrkesskade</w:t>
      </w:r>
    </w:p>
    <w:p w14:paraId="080E948D" w14:textId="77777777" w:rsidR="000A2A2B" w:rsidRPr="007C3060" w:rsidRDefault="000A2A2B" w:rsidP="007C3060">
      <w:r w:rsidRPr="007C3060">
        <w:t>Bevilgningen på posten er 768,5 mill. kroner.</w:t>
      </w:r>
    </w:p>
    <w:p w14:paraId="3265903C" w14:textId="77777777" w:rsidR="000A2A2B" w:rsidRPr="007C3060" w:rsidRDefault="000A2A2B" w:rsidP="007C3060">
      <w:r w:rsidRPr="007C3060">
        <w:t>En vesentlig del av folketrygdens utgifter ved yrkesskade blir finansiert av arbeidsgivere ved en refusjonsordning knyttet til den obligatoriske yrkesskadeforsikringen etter lov av 16. juni 1989 nr. 65. Refusjonen skjer gjennom en fastsatt prosentsats av de faktiske erstatningsutbetalinger fra forsikringsgiverne.</w:t>
      </w:r>
    </w:p>
    <w:p w14:paraId="7D5B0B4F" w14:textId="77777777" w:rsidR="000A2A2B" w:rsidRPr="007C3060" w:rsidRDefault="000A2A2B" w:rsidP="007C3060">
      <w:r w:rsidRPr="007C3060">
        <w:t>På bakgrunn av forventede innbetalinger av refusjoner anslås det at inntektene på posten i 2025 vil utgjøre 840,5 mill. kroner.</w:t>
      </w:r>
    </w:p>
    <w:p w14:paraId="28CDDAC6" w14:textId="77777777" w:rsidR="000A2A2B" w:rsidRPr="007C3060" w:rsidRDefault="000A2A2B" w:rsidP="007C3060">
      <w:r w:rsidRPr="007C3060">
        <w:t>Det foreslås å øke bevilgningen med 72 mill. kroner.</w:t>
      </w:r>
    </w:p>
    <w:p w14:paraId="7C4EA82E" w14:textId="77777777" w:rsidR="000A2A2B" w:rsidRPr="007C3060" w:rsidRDefault="000A2A2B" w:rsidP="007C3060">
      <w:pPr>
        <w:pStyle w:val="b-post"/>
      </w:pPr>
      <w:r w:rsidRPr="007C3060">
        <w:t>Post 86 Innkreving feilutbetalinger</w:t>
      </w:r>
    </w:p>
    <w:p w14:paraId="7096ED23" w14:textId="77777777" w:rsidR="000A2A2B" w:rsidRPr="007C3060" w:rsidRDefault="000A2A2B" w:rsidP="007C3060">
      <w:r w:rsidRPr="007C3060">
        <w:t>Bevilgningen på posten er 1 492 mill. kroner.</w:t>
      </w:r>
    </w:p>
    <w:p w14:paraId="69143E70" w14:textId="77777777" w:rsidR="000A2A2B" w:rsidRPr="007C3060" w:rsidRDefault="000A2A2B" w:rsidP="007C3060">
      <w:r w:rsidRPr="007C3060">
        <w:t xml:space="preserve">Det er anslagsendringer på posten for ulike inntekter. Dette gjelder blant annet at inntekter fra </w:t>
      </w:r>
      <w:proofErr w:type="spellStart"/>
      <w:r w:rsidRPr="007C3060">
        <w:t>Helfos</w:t>
      </w:r>
      <w:proofErr w:type="spellEnd"/>
      <w:r w:rsidRPr="007C3060">
        <w:t xml:space="preserve"> innkrevingsarbeid opprinnelig ble vurdert for høyt.</w:t>
      </w:r>
    </w:p>
    <w:p w14:paraId="48AC5017" w14:textId="77777777" w:rsidR="000A2A2B" w:rsidRPr="007C3060" w:rsidRDefault="000A2A2B" w:rsidP="007C3060">
      <w:r w:rsidRPr="007C3060">
        <w:t>Til sammen foreslås det å redusere bevilgningen med 62 mill. kroner.</w:t>
      </w:r>
    </w:p>
    <w:p w14:paraId="1589506F" w14:textId="77777777" w:rsidR="000A2A2B" w:rsidRPr="007C3060" w:rsidRDefault="000A2A2B" w:rsidP="007C3060">
      <w:pPr>
        <w:pStyle w:val="b-post"/>
      </w:pPr>
      <w:r w:rsidRPr="007C3060">
        <w:t>Post 88 Hjelpemiddelsentraler mv.</w:t>
      </w:r>
    </w:p>
    <w:p w14:paraId="4FDF7024" w14:textId="77777777" w:rsidR="000A2A2B" w:rsidRPr="007C3060" w:rsidRDefault="000A2A2B" w:rsidP="007C3060">
      <w:r w:rsidRPr="007C3060">
        <w:t>Bevilgningen på posten er 110 mill. kroner.</w:t>
      </w:r>
    </w:p>
    <w:p w14:paraId="49DDE94C" w14:textId="77777777" w:rsidR="000A2A2B" w:rsidRPr="007C3060" w:rsidRDefault="000A2A2B" w:rsidP="007C3060">
      <w:r w:rsidRPr="007C3060">
        <w:t>Ulike inntekter som føres på posten trekker i ulik retning. Inntekter fra gjeldsoppgjør har gått betydelig ned, mens inntekter fra salg av biler og innbetaling av dagbøter har vært økende.</w:t>
      </w:r>
    </w:p>
    <w:p w14:paraId="614BE8BE" w14:textId="77777777" w:rsidR="000A2A2B" w:rsidRPr="007C3060" w:rsidRDefault="000A2A2B" w:rsidP="007C3060">
      <w:r w:rsidRPr="007C3060">
        <w:t>Til sammen foreslås det å redusere bevilgningen med 10 mill. kroner.</w:t>
      </w:r>
    </w:p>
    <w:p w14:paraId="382C9C96" w14:textId="77777777" w:rsidR="000A2A2B" w:rsidRPr="007C3060" w:rsidRDefault="000A2A2B" w:rsidP="007C3060">
      <w:pPr>
        <w:pStyle w:val="Overskrift2"/>
      </w:pPr>
      <w:r w:rsidRPr="007C3060">
        <w:t>Helse- og omsorgsdepartementet</w:t>
      </w:r>
    </w:p>
    <w:p w14:paraId="227FFEFC" w14:textId="77777777" w:rsidR="000A2A2B" w:rsidRPr="007C3060" w:rsidRDefault="000A2A2B" w:rsidP="007C3060">
      <w:pPr>
        <w:pStyle w:val="b-budkaptit"/>
      </w:pPr>
      <w:r w:rsidRPr="007C3060">
        <w:t>Kap. 701 Digitalisering i helse- og omsorgstjenesten</w:t>
      </w:r>
    </w:p>
    <w:p w14:paraId="2365D0E1" w14:textId="34E488ED" w:rsidR="000A2A2B" w:rsidRPr="007C3060" w:rsidRDefault="000A2A2B" w:rsidP="007C3060">
      <w:pPr>
        <w:pStyle w:val="b-post"/>
      </w:pPr>
      <w:r w:rsidRPr="007C3060">
        <w:t>Post 21 Spesielle driftsutgifter, kan overføres, kan nyttes under post 70</w:t>
      </w:r>
    </w:p>
    <w:p w14:paraId="140B1E95" w14:textId="77777777" w:rsidR="000A2A2B" w:rsidRPr="007C3060" w:rsidRDefault="000A2A2B" w:rsidP="007C3060">
      <w:r w:rsidRPr="007C3060">
        <w:t>Deler av Helseteknologiordningen er basert på søknader og utbetalinger til kommuner, og skal derfor budsjetteres på kap. 701, post 60. Det foreslås å flytte 18,6 mill. kroner fra kap. 701, post 21 til kap. 701, post 60.</w:t>
      </w:r>
    </w:p>
    <w:p w14:paraId="09A1019D" w14:textId="77777777" w:rsidR="000A2A2B" w:rsidRPr="007C3060" w:rsidRDefault="000A2A2B" w:rsidP="007C3060">
      <w:r w:rsidRPr="007C3060">
        <w:t xml:space="preserve">Bevilgningen på posten foreslås videre redusert med 5,5 mill. kroner som følge av </w:t>
      </w:r>
      <w:proofErr w:type="spellStart"/>
      <w:r w:rsidRPr="007C3060">
        <w:t>mindrebehov</w:t>
      </w:r>
      <w:proofErr w:type="spellEnd"/>
      <w:r w:rsidRPr="007C3060">
        <w:t xml:space="preserve"> til digital samhandling. 0,5 mill. kroner flyttes til Statens Helsetilsyn for oppfølging av restanser hos Statsforvalterne, se videre omtale under kap. 748, post 21. Videre går 5 mill. kroner til utprøving av kommunal nettlege, se videre omtale under kap. 760, post 21.</w:t>
      </w:r>
    </w:p>
    <w:p w14:paraId="00C7A274" w14:textId="77777777" w:rsidR="000A2A2B" w:rsidRPr="007C3060" w:rsidRDefault="000A2A2B" w:rsidP="007C3060">
      <w:r w:rsidRPr="007C3060">
        <w:t>Til sammen foreslås bevilgningen redusert med 24,1 mill. kroner.</w:t>
      </w:r>
    </w:p>
    <w:p w14:paraId="05AFFB62" w14:textId="77777777" w:rsidR="000A2A2B" w:rsidRPr="007C3060" w:rsidRDefault="000A2A2B" w:rsidP="007C3060">
      <w:r w:rsidRPr="007C3060">
        <w:lastRenderedPageBreak/>
        <w:t>Det foreslås å omdisponere 5 mill. kroner innenfor posten til utprøving av kommunal nettlege, jf. nærmere omtale av dette tiltaket under kap. 760, post 21.</w:t>
      </w:r>
    </w:p>
    <w:p w14:paraId="4B4B9DC4" w14:textId="77777777" w:rsidR="000A2A2B" w:rsidRPr="007C3060" w:rsidRDefault="000A2A2B" w:rsidP="007C3060">
      <w:pPr>
        <w:pStyle w:val="b-post"/>
      </w:pPr>
      <w:r w:rsidRPr="007C3060">
        <w:t>Post 60 Tilskudd til helseteknologi i kommunal helse- og omsorgstjeneste</w:t>
      </w:r>
    </w:p>
    <w:p w14:paraId="2EF05243" w14:textId="77777777" w:rsidR="000A2A2B" w:rsidRPr="007C3060" w:rsidRDefault="000A2A2B" w:rsidP="007C3060">
      <w:r w:rsidRPr="007C3060">
        <w:t>Det foreslås å flytte 18,6 mill. kroner fra kap. 701, post 21 til kap. 701, post 60, se omtale under kap. 701, post 21.</w:t>
      </w:r>
    </w:p>
    <w:p w14:paraId="549097B3" w14:textId="77777777" w:rsidR="000A2A2B" w:rsidRPr="007C3060" w:rsidRDefault="000A2A2B" w:rsidP="007C3060">
      <w:pPr>
        <w:pStyle w:val="b-budkaptit"/>
      </w:pPr>
      <w:r w:rsidRPr="007C3060">
        <w:t>Kap. 703 Internasjonalt samarbeid</w:t>
      </w:r>
    </w:p>
    <w:p w14:paraId="4A18932E" w14:textId="77777777" w:rsidR="000A2A2B" w:rsidRPr="007C3060" w:rsidRDefault="000A2A2B" w:rsidP="007C3060">
      <w:pPr>
        <w:pStyle w:val="b-post"/>
      </w:pPr>
      <w:r w:rsidRPr="007C3060">
        <w:t>Post 71 Internasjonale organisasjoner</w:t>
      </w:r>
    </w:p>
    <w:p w14:paraId="2BD32DCB" w14:textId="77777777" w:rsidR="000A2A2B" w:rsidRPr="007C3060" w:rsidRDefault="000A2A2B" w:rsidP="007C3060">
      <w:r w:rsidRPr="007C3060">
        <w:t>Bevilgningen foreslås redusert med 29,3 mill. kroner som følge av endring i prognoser for Norges deltakelse i programmer og prosjekter i regi av EU. Endringen følger av at langtidsbudsjettet for EUs helseprogram EU4Health har blitt redusert.</w:t>
      </w:r>
    </w:p>
    <w:p w14:paraId="5F9095AB" w14:textId="77777777" w:rsidR="000A2A2B" w:rsidRPr="007C3060" w:rsidRDefault="000A2A2B" w:rsidP="007C3060">
      <w:pPr>
        <w:pStyle w:val="b-budkaptit"/>
      </w:pPr>
      <w:r w:rsidRPr="007C3060">
        <w:t>Kap. 710 Vaksiner mv.</w:t>
      </w:r>
    </w:p>
    <w:p w14:paraId="48CAA18E" w14:textId="77777777" w:rsidR="000A2A2B" w:rsidRPr="007C3060" w:rsidRDefault="000A2A2B" w:rsidP="007C3060">
      <w:pPr>
        <w:pStyle w:val="b-post"/>
      </w:pPr>
      <w:r w:rsidRPr="007C3060">
        <w:t>Post 21 Spesielle driftsutgifter, kan overføres</w:t>
      </w:r>
    </w:p>
    <w:p w14:paraId="20A495A9" w14:textId="77777777" w:rsidR="000A2A2B" w:rsidRPr="007C3060" w:rsidRDefault="000A2A2B" w:rsidP="007C3060">
      <w:r w:rsidRPr="007C3060">
        <w:t>Bevilgningen foreslås økt med 5 mill. kroner som følge av endret prognose for nye vaksineavtaler, forventet etterspørsel og lagerhold.</w:t>
      </w:r>
    </w:p>
    <w:p w14:paraId="650E3C66" w14:textId="77777777" w:rsidR="000A2A2B" w:rsidRPr="007C3060" w:rsidRDefault="000A2A2B" w:rsidP="007C3060">
      <w:r w:rsidRPr="007C3060">
        <w:t>Bestillingsfullmakten for 2025 på post 21 foreslås økt fra 173,1 mill. kroner til 255 mill. kroner. Oppdatert prognose tilsier at Folkehelseinstituttet ved utgangen av 2025 vil ha forpliktelser ut over gitte bevilgninger på til sammen 255 mill. kroner. Prognoseendringen skyldes blant annet Norges deltakelse i europeisk fellesanskaffelse av beredskapsavtaler for vaksinedoser mot pandemisk influensa som overlapper nåværende nasjonal avtale. Prognoseendringen skyldes også økt etterspørsel etter vaksiner.</w:t>
      </w:r>
    </w:p>
    <w:p w14:paraId="6E30043F" w14:textId="3E65C124" w:rsidR="000A2A2B" w:rsidRPr="007C3060" w:rsidRDefault="000A2A2B" w:rsidP="007C3060">
      <w:pPr>
        <w:pStyle w:val="b-post"/>
      </w:pPr>
      <w:r w:rsidRPr="007C3060">
        <w:t>Post 22 Salgs- og beredskapsprodukter m.m., kan overføres</w:t>
      </w:r>
    </w:p>
    <w:p w14:paraId="431FD401" w14:textId="77777777" w:rsidR="000A2A2B" w:rsidRPr="007C3060" w:rsidRDefault="000A2A2B" w:rsidP="007C3060">
      <w:r w:rsidRPr="007C3060">
        <w:t>Bevilgningen foreslås økt med 16,4 mill. kroner som følge av endret prognose for nye vaksine-avtaler, forventet etterspørsel og lagerhold.</w:t>
      </w:r>
    </w:p>
    <w:p w14:paraId="37151297" w14:textId="77777777" w:rsidR="000A2A2B" w:rsidRPr="007C3060" w:rsidRDefault="000A2A2B" w:rsidP="007C3060">
      <w:r w:rsidRPr="007C3060">
        <w:t>Bestillingsfullmakten for 2025 på post 21 foreslås økt fra 47,4 mill. kroner til 100 mill. kroner. Oppdatert prognose tilsier at Folkehelseinstituttet ved utgangen av 2025 vil ha forpliktelser ut over gitte bevilgninger på til sammen 100 mill. kroner. Prognoseendringen skyldes økt salg og dermed også økt behov for bestilling av vaksiner.</w:t>
      </w:r>
    </w:p>
    <w:p w14:paraId="3E76F7BB" w14:textId="77777777" w:rsidR="000A2A2B" w:rsidRPr="007C3060" w:rsidRDefault="000A2A2B" w:rsidP="007C3060">
      <w:pPr>
        <w:pStyle w:val="b-post"/>
      </w:pPr>
      <w:r w:rsidRPr="007C3060">
        <w:t>Post 23 Vaksinasjonsprogram for voksne og risikogrupper, kan overføres</w:t>
      </w:r>
    </w:p>
    <w:p w14:paraId="750AA8B5" w14:textId="77777777" w:rsidR="000A2A2B" w:rsidRPr="007C3060" w:rsidRDefault="000A2A2B" w:rsidP="007C3060">
      <w:r w:rsidRPr="007C3060">
        <w:t xml:space="preserve">Bevilgningen foreslås økt med 13,8 mill. kroner knyttet til omlegging av systemet for egenbetaling i voksenvaksinasjonsprogrammet. Det foreslås at kommunene ikke faktureres for vaksinene de bestiller fra Folkehelseinstituttet. Endringen innebærer at egenbetalingen ved korona- og </w:t>
      </w:r>
      <w:proofErr w:type="spellStart"/>
      <w:r w:rsidRPr="007C3060">
        <w:t>pneumokokkvaksine</w:t>
      </w:r>
      <w:proofErr w:type="spellEnd"/>
      <w:r w:rsidRPr="007C3060">
        <w:t xml:space="preserve"> (inntil 25 pst.) beregnes samlet for vaksine og vaksinasjon. Hensikten er å ivareta hensynet til konfidensielle vaksinepriser, slik at vaksineprisen ikke fremkommer </w:t>
      </w:r>
      <w:r w:rsidRPr="007C3060">
        <w:lastRenderedPageBreak/>
        <w:t xml:space="preserve">indirekte ved kommunenes innkjøp av vaksine. Forslaget er provenynøytralt og innebærer ikke endringer i forutsetningen om inntil 25 pst. egenbetaling på vaksine og vaksinasjon mot </w:t>
      </w:r>
      <w:proofErr w:type="spellStart"/>
      <w:r w:rsidRPr="007C3060">
        <w:t>pneumokokk</w:t>
      </w:r>
      <w:proofErr w:type="spellEnd"/>
      <w:r w:rsidRPr="007C3060">
        <w:t xml:space="preserve"> og korona.</w:t>
      </w:r>
    </w:p>
    <w:p w14:paraId="34F7178C" w14:textId="77777777" w:rsidR="000A2A2B" w:rsidRPr="007C3060" w:rsidRDefault="000A2A2B" w:rsidP="007C3060">
      <w:r w:rsidRPr="007C3060">
        <w:t xml:space="preserve">Satsen på egenbetalingen blir ikke påvirket av omleggingen. Satsen på egenbetalingen vil bli endelig fastsatt i veileder til forskrift om nasjonalt vaksinasjonsprogram mv. Se også omtale under kap. 3710, post 03 og kap. 571, post 60 under Kommunal- og </w:t>
      </w:r>
      <w:proofErr w:type="spellStart"/>
      <w:r w:rsidRPr="007C3060">
        <w:t>distriktsdepartementet</w:t>
      </w:r>
      <w:proofErr w:type="spellEnd"/>
      <w:r w:rsidRPr="007C3060">
        <w:t>.</w:t>
      </w:r>
    </w:p>
    <w:p w14:paraId="064F3001" w14:textId="77777777" w:rsidR="000A2A2B" w:rsidRPr="007C3060" w:rsidRDefault="000A2A2B" w:rsidP="007C3060">
      <w:r w:rsidRPr="007C3060">
        <w:t xml:space="preserve">Videre foreslås bevilgningen redusert med 19,7 mill. kroner som følge av endret prognose, herunder konsekvenser av ny avtale for innkjøp av sesonginfluensa høsten 2024 med 4 års varighet og oppdatert estimat for anskaffelse av </w:t>
      </w:r>
      <w:proofErr w:type="spellStart"/>
      <w:r w:rsidRPr="007C3060">
        <w:t>pneumokokkvaksine</w:t>
      </w:r>
      <w:proofErr w:type="spellEnd"/>
      <w:r w:rsidRPr="007C3060">
        <w:t xml:space="preserve"> som vil gjelde fra 2025.</w:t>
      </w:r>
    </w:p>
    <w:p w14:paraId="26F1372F" w14:textId="77777777" w:rsidR="000A2A2B" w:rsidRPr="007C3060" w:rsidRDefault="000A2A2B" w:rsidP="007C3060">
      <w:r w:rsidRPr="007C3060">
        <w:t>Samlet foreslås bevilgningen redusert med 5,9 mill. kroner.</w:t>
      </w:r>
    </w:p>
    <w:p w14:paraId="0EDECEFC" w14:textId="77777777" w:rsidR="000A2A2B" w:rsidRPr="007C3060" w:rsidRDefault="000A2A2B" w:rsidP="007C3060">
      <w:pPr>
        <w:pStyle w:val="b-budkaptit"/>
      </w:pPr>
      <w:r w:rsidRPr="007C3060">
        <w:t>Kap. 3710 Vaksiner mv.</w:t>
      </w:r>
    </w:p>
    <w:p w14:paraId="14B742E9" w14:textId="77777777" w:rsidR="000A2A2B" w:rsidRPr="007C3060" w:rsidRDefault="000A2A2B" w:rsidP="007C3060">
      <w:pPr>
        <w:pStyle w:val="b-post"/>
      </w:pPr>
      <w:r w:rsidRPr="007C3060">
        <w:t>Post 03 Vaksinesalg</w:t>
      </w:r>
    </w:p>
    <w:p w14:paraId="558EA24F" w14:textId="77777777" w:rsidR="000A2A2B" w:rsidRPr="007C3060" w:rsidRDefault="000A2A2B" w:rsidP="007C3060">
      <w:r w:rsidRPr="007C3060">
        <w:t>Bevilgningen foreslås redusert med 7,1 mill. kroner som følge av endret prognose for nye vaksineavtaler, forventet etterspørsel og lagerhold.</w:t>
      </w:r>
    </w:p>
    <w:p w14:paraId="5BF59D58" w14:textId="77777777" w:rsidR="000A2A2B" w:rsidRPr="007C3060" w:rsidRDefault="000A2A2B" w:rsidP="007C3060">
      <w:r w:rsidRPr="007C3060">
        <w:t>Bevilgningen foreslås videre redusert med 41,2 mill. kroner som følge av omlegging av beregningen av egenbetaling i voksenvaksinasjonsprogrammet, jf. omtale under kap. 710, post 03.</w:t>
      </w:r>
    </w:p>
    <w:p w14:paraId="78A22157" w14:textId="77777777" w:rsidR="000A2A2B" w:rsidRPr="007C3060" w:rsidRDefault="000A2A2B" w:rsidP="007C3060">
      <w:r w:rsidRPr="007C3060">
        <w:t>Samlet foreslås bevilgningen redusert med 48,3 mill. kroner.</w:t>
      </w:r>
    </w:p>
    <w:p w14:paraId="7EE607C7" w14:textId="77777777" w:rsidR="000A2A2B" w:rsidRPr="007C3060" w:rsidRDefault="000A2A2B" w:rsidP="007C3060">
      <w:pPr>
        <w:pStyle w:val="b-budkaptit"/>
      </w:pPr>
      <w:r w:rsidRPr="007C3060">
        <w:t>Kap. 714 Folkehelse</w:t>
      </w:r>
    </w:p>
    <w:p w14:paraId="59C56330" w14:textId="77777777" w:rsidR="000A2A2B" w:rsidRPr="007C3060" w:rsidRDefault="000A2A2B" w:rsidP="007C3060">
      <w:pPr>
        <w:pStyle w:val="b-post"/>
      </w:pPr>
      <w:r w:rsidRPr="007C3060">
        <w:t>Post 21 Spesielle driftsutgifter, kan overføres</w:t>
      </w:r>
    </w:p>
    <w:p w14:paraId="047B190F" w14:textId="77777777" w:rsidR="000A2A2B" w:rsidRPr="007C3060" w:rsidRDefault="000A2A2B" w:rsidP="007C3060">
      <w:r w:rsidRPr="007C3060">
        <w:t>Bevilgningen foreslås redusert med 10 mill. kroner som følge av redusert bevilgning til prosjektet psykisk helse, folkehelse og livsmestring i skolen. Prosjektet kan gjennomføres på kortere tid og med en lavere budsjettramme enn opprinnelig antatt. Midlene foreslås omdisponert til utprøvingen av nettlege i kommunene. Se nærmere omtale under kap. 760, post 21.</w:t>
      </w:r>
    </w:p>
    <w:p w14:paraId="017D0827" w14:textId="77777777" w:rsidR="000A2A2B" w:rsidRPr="007C3060" w:rsidRDefault="000A2A2B" w:rsidP="007C3060">
      <w:r w:rsidRPr="007C3060">
        <w:t>Videre foreslås bevilgningen redusert med 3 mill. kroner mot tilsvarende økning i bevilgningen til Direktoratet for strålevern og atomberedskap, jf. omtale under kap. 747, post 01.</w:t>
      </w:r>
    </w:p>
    <w:p w14:paraId="34AE8062" w14:textId="77777777" w:rsidR="000A2A2B" w:rsidRPr="007C3060" w:rsidRDefault="000A2A2B" w:rsidP="007C3060">
      <w:r w:rsidRPr="007C3060">
        <w:t>Videre foreslås det å redusere bevilgningen til Folkehelseinstituttets kompetanse innenfor biosikring og bioberedskap med 3 mill. kroner, herunder bevilgningen til prosjektering av en nasjonal overvåkingsfunksjon for biologiske trusler, jf. omtale under kap. 745, post 01.</w:t>
      </w:r>
    </w:p>
    <w:p w14:paraId="257FFCA2" w14:textId="77777777" w:rsidR="000A2A2B" w:rsidRPr="007C3060" w:rsidRDefault="000A2A2B" w:rsidP="007C3060">
      <w:r w:rsidRPr="007C3060">
        <w:t>Samlet foreslås bevilgningen redusert med 16 mill. kroner.</w:t>
      </w:r>
    </w:p>
    <w:p w14:paraId="3A0B8757" w14:textId="77777777" w:rsidR="000A2A2B" w:rsidRPr="007C3060" w:rsidRDefault="000A2A2B" w:rsidP="007C3060">
      <w:pPr>
        <w:pStyle w:val="b-post"/>
      </w:pPr>
      <w:r w:rsidRPr="007C3060">
        <w:t>Post 22 Gebyrfinansierte ordninger</w:t>
      </w:r>
    </w:p>
    <w:p w14:paraId="6753E471" w14:textId="77777777" w:rsidR="000A2A2B" w:rsidRPr="007C3060" w:rsidRDefault="000A2A2B" w:rsidP="007C3060">
      <w:r w:rsidRPr="007C3060">
        <w:t>Det foreslås fullmakt til å overskride bevilgning under kap. 714, post 22 mot tilsvarende merinntekter under kap. 5572, post 74. Merinntektene følger av inntekter fra aktører som har registrert e-sigaretter for innførsel og salg i Norge. Eventuelle merinntekter vil medføre økte tilsynskostnader, og det er derfor nødvendig med merinntektsfullmakt under posten, jf. forslag til romertallsvedtak.</w:t>
      </w:r>
    </w:p>
    <w:p w14:paraId="186F9E51" w14:textId="77777777" w:rsidR="000A2A2B" w:rsidRPr="007C3060" w:rsidRDefault="000A2A2B" w:rsidP="007C3060">
      <w:pPr>
        <w:pStyle w:val="b-budkaptit"/>
      </w:pPr>
      <w:r w:rsidRPr="007C3060">
        <w:lastRenderedPageBreak/>
        <w:t>Kap. 732 Regionale helseforetak</w:t>
      </w:r>
    </w:p>
    <w:p w14:paraId="0D19460C" w14:textId="77777777" w:rsidR="000A2A2B" w:rsidRPr="007C3060" w:rsidRDefault="000A2A2B" w:rsidP="007C3060">
      <w:pPr>
        <w:pStyle w:val="b-post"/>
      </w:pPr>
      <w:r w:rsidRPr="007C3060">
        <w:t>Post 70 Særskilte tilskudd, kan overføres, kan nyttes under postene 72, 73, 74 og 75</w:t>
      </w:r>
    </w:p>
    <w:p w14:paraId="1DA0EBD1" w14:textId="77777777" w:rsidR="000A2A2B" w:rsidRPr="007C3060" w:rsidRDefault="000A2A2B" w:rsidP="007C3060">
      <w:r w:rsidRPr="007C3060">
        <w:t>Bevilgningen foreslås økt med 6 mill. kroner forbundet med virksomhetsoverføring av rettsmedisinsk tjeneste fra Universitetet i Bergen til Helse Bergen HF med virkning fra 1. januar 2025. Midlene rammeoverføres fra Kunnskapsdepartementet og kap. 260, post 50 reduseres med tilsvarende beløp. Midlene utbetales til Helse Vest RHF, rettsmedisin ved Helse Bergen HF.</w:t>
      </w:r>
    </w:p>
    <w:p w14:paraId="41835FE8" w14:textId="77777777" w:rsidR="000A2A2B" w:rsidRPr="007C3060" w:rsidRDefault="000A2A2B" w:rsidP="007C3060">
      <w:r w:rsidRPr="007C3060">
        <w:t xml:space="preserve">Bevilgningen foreslås økt med 8,2 mill. kroner mot en tilsvarende reduksjon på kap. 732, poster 72–75. Endringen er en teknisk justering som sikrer korrekt fordeling av prisomregningene på postene inneværende år, jf. brev til Stortinget av 10. november 2024 om retting i </w:t>
      </w:r>
      <w:proofErr w:type="spellStart"/>
      <w:r w:rsidRPr="007C3060">
        <w:t>Prop</w:t>
      </w:r>
      <w:proofErr w:type="spellEnd"/>
      <w:r w:rsidRPr="007C3060">
        <w:t>. 1 S (2024–2025) for Helse- og omsorgsdepartementet.</w:t>
      </w:r>
    </w:p>
    <w:p w14:paraId="68031CD9" w14:textId="77777777" w:rsidR="000A2A2B" w:rsidRPr="007C3060" w:rsidRDefault="000A2A2B" w:rsidP="007C3060">
      <w:r w:rsidRPr="007C3060">
        <w:t>Bevilgningen foreslås økt med 0,35 mill. kroner mot en tilsvarende reduksjon på kap. 781, post 21. Omdisponeringen skal hensynta endrete ansvarsforhold knyttet til abortnemnder fra 1. juni 2025.</w:t>
      </w:r>
    </w:p>
    <w:p w14:paraId="5A769B4E" w14:textId="77777777" w:rsidR="000A2A2B" w:rsidRPr="007C3060" w:rsidRDefault="000A2A2B" w:rsidP="007C3060">
      <w:r w:rsidRPr="007C3060">
        <w:t>Samlet foreslås bevilgningen økt med 14,6 mill. kroner.</w:t>
      </w:r>
    </w:p>
    <w:p w14:paraId="1330DD73" w14:textId="77777777" w:rsidR="000A2A2B" w:rsidRPr="007C3060" w:rsidRDefault="000A2A2B" w:rsidP="007C3060">
      <w:pPr>
        <w:pStyle w:val="b-post"/>
      </w:pPr>
      <w:r w:rsidRPr="007C3060">
        <w:t>Post 71 Resultatbasert finansiering</w:t>
      </w:r>
    </w:p>
    <w:p w14:paraId="54AC3DA6" w14:textId="77777777" w:rsidR="000A2A2B" w:rsidRPr="007C3060" w:rsidRDefault="000A2A2B" w:rsidP="007C3060">
      <w:r w:rsidRPr="007C3060">
        <w:t>I fordelingen av tilskuddet for 2025 er det data for 1. tertial 2024 som ligger til grunn. Ifm. revidert nasjonalbudsjett 2023 ble det før første gang gjennomført en avregning, der data for hele foregående år ble benyttet. Det bidrar til en sterkere kobling mellom endring i resultat og utbetaling enn i den tidligere ordningen med kvalitetsbasert finansiering.</w:t>
      </w:r>
    </w:p>
    <w:p w14:paraId="6EC5DDF9" w14:textId="77777777" w:rsidR="000A2A2B" w:rsidRPr="007C3060" w:rsidRDefault="000A2A2B" w:rsidP="007C3060">
      <w:r w:rsidRPr="007C3060">
        <w:t xml:space="preserve">Oppdatering av datagrunnlaget for 2024 tilsier følgende endringer i fordelingen mellom de regionale helseforetakene, sammenlignet med det som ble lagt til grunn i </w:t>
      </w:r>
      <w:proofErr w:type="spellStart"/>
      <w:r w:rsidRPr="007C3060">
        <w:t>Prop</w:t>
      </w:r>
      <w:proofErr w:type="spellEnd"/>
      <w:r w:rsidRPr="007C3060">
        <w:t>. 1 S (2024–2025):</w:t>
      </w:r>
    </w:p>
    <w:p w14:paraId="37E17D0A" w14:textId="77777777" w:rsidR="000A2A2B" w:rsidRPr="007C3060" w:rsidRDefault="000A2A2B" w:rsidP="007C3060">
      <w:pPr>
        <w:pStyle w:val="Liste"/>
      </w:pPr>
      <w:r w:rsidRPr="007C3060">
        <w:t>Helse Sør-Øst: -21,3 mill. kroner</w:t>
      </w:r>
    </w:p>
    <w:p w14:paraId="6086AB8B" w14:textId="77777777" w:rsidR="000A2A2B" w:rsidRPr="007C3060" w:rsidRDefault="000A2A2B" w:rsidP="007C3060">
      <w:pPr>
        <w:pStyle w:val="Liste"/>
      </w:pPr>
      <w:r w:rsidRPr="007C3060">
        <w:t>Helse Vest: 29,9 mill. kroner</w:t>
      </w:r>
    </w:p>
    <w:p w14:paraId="296FD534" w14:textId="77777777" w:rsidR="000A2A2B" w:rsidRPr="007C3060" w:rsidRDefault="000A2A2B" w:rsidP="007C3060">
      <w:pPr>
        <w:pStyle w:val="Liste"/>
      </w:pPr>
      <w:r w:rsidRPr="007C3060">
        <w:t>Helse Midt-Norge: -6,3 mill. kroner</w:t>
      </w:r>
    </w:p>
    <w:p w14:paraId="42530056" w14:textId="77777777" w:rsidR="000A2A2B" w:rsidRPr="007C3060" w:rsidRDefault="000A2A2B" w:rsidP="007C3060">
      <w:pPr>
        <w:pStyle w:val="Liste"/>
      </w:pPr>
      <w:r w:rsidRPr="007C3060">
        <w:t>Helse Nord: -2,3 mill. kroner</w:t>
      </w:r>
    </w:p>
    <w:p w14:paraId="0540B1EC" w14:textId="77777777" w:rsidR="000A2A2B" w:rsidRPr="007C3060" w:rsidRDefault="000A2A2B" w:rsidP="007C3060">
      <w:pPr>
        <w:pStyle w:val="b-post"/>
      </w:pPr>
      <w:r w:rsidRPr="007C3060">
        <w:t>Post 72 Basisbevilgning Helse Sør-Øst RHF</w:t>
      </w:r>
    </w:p>
    <w:p w14:paraId="1DF65393" w14:textId="77777777" w:rsidR="000A2A2B" w:rsidRPr="007C3060" w:rsidRDefault="000A2A2B" w:rsidP="007C3060">
      <w:r w:rsidRPr="007C3060">
        <w:t>Bevilgningen foreslås redusert med 2,7 mill. kroner til dekningen av økte utgifter ved egenandelsfritak i psykisk helsevern og rusbehandling, jf. omtale under kap. 732, post 76.</w:t>
      </w:r>
    </w:p>
    <w:p w14:paraId="0DF0E1A8" w14:textId="77777777" w:rsidR="000A2A2B" w:rsidRPr="007C3060" w:rsidRDefault="000A2A2B" w:rsidP="007C3060">
      <w:r w:rsidRPr="007C3060">
        <w:t>Bevilgningen foreslås redusert med 4,4 mill. kroner som følge av korrigering av prisomregning, jf. omtale under kap. 732, post 70.</w:t>
      </w:r>
    </w:p>
    <w:p w14:paraId="6D0DA6CC" w14:textId="77777777" w:rsidR="000A2A2B" w:rsidRPr="007C3060" w:rsidRDefault="000A2A2B" w:rsidP="007C3060">
      <w:r w:rsidRPr="007C3060">
        <w:t>Samlet foreslås bevilgningen redusert med 7,1 mill. kroner.</w:t>
      </w:r>
    </w:p>
    <w:p w14:paraId="3FC4C5DD" w14:textId="77777777" w:rsidR="000A2A2B" w:rsidRPr="007C3060" w:rsidRDefault="000A2A2B" w:rsidP="007C3060">
      <w:r w:rsidRPr="007C3060">
        <w:t xml:space="preserve">Det vises videre til omtale om pensjon i de regionale helseforetakene i forbindelse med ny saldering av statsbudsjettet for 2024, se kap. 732, post 72 i Helse- og omsorgsdepartementets </w:t>
      </w:r>
      <w:proofErr w:type="spellStart"/>
      <w:r w:rsidRPr="007C3060">
        <w:t>Prop</w:t>
      </w:r>
      <w:proofErr w:type="spellEnd"/>
      <w:r w:rsidRPr="007C3060">
        <w:t xml:space="preserve">. 23 S (2024–2025). Stortinget vedtok ny avtalefestet pensjon (AFP) 12. april 2024. AFP skal bli en livsvarig ytelse som kommer i tillegg til tjenestepensjon og alderspensjon fra folketrygden. Det ble varslet at regjeringen skulle komme tilbake med en vurdering av </w:t>
      </w:r>
      <w:r w:rsidRPr="007C3060">
        <w:lastRenderedPageBreak/>
        <w:t>konsekvensene av Stor-tingets vedtak for de regionale helseforetakene, inkludert de tolv ideelle sykehusene med langsiktige driftsavtaler med de regionale helseforetakene, i forbindelse med revidert nasjonalbudsjett for 2025.</w:t>
      </w:r>
    </w:p>
    <w:p w14:paraId="7AE77C88" w14:textId="77777777" w:rsidR="000A2A2B" w:rsidRPr="007C3060" w:rsidRDefault="000A2A2B" w:rsidP="007C3060">
      <w:r w:rsidRPr="007C3060">
        <w:t xml:space="preserve">Regjeringen har kommet til at det er hensiktsmessig å endre helseforetaksloven slik at Helse- og omsorgsdepartementet kan fastsette egne regler for regnskapsføring av pensjon i helseforetakene. Det vises til </w:t>
      </w:r>
      <w:proofErr w:type="spellStart"/>
      <w:r w:rsidRPr="007C3060">
        <w:t>Prop</w:t>
      </w:r>
      <w:proofErr w:type="spellEnd"/>
      <w:r w:rsidRPr="007C3060">
        <w:t>. 145 LS (2024–2025) for forslag til lovendring.</w:t>
      </w:r>
    </w:p>
    <w:p w14:paraId="1DA17807" w14:textId="77777777" w:rsidR="000A2A2B" w:rsidRPr="007C3060" w:rsidRDefault="000A2A2B" w:rsidP="007C3060">
      <w:r w:rsidRPr="007C3060">
        <w:t xml:space="preserve">Regjeringen fremmet forslag om endringer i pensjonsreglene for arbeidstakere med særaldersgrense, jf. </w:t>
      </w:r>
      <w:proofErr w:type="spellStart"/>
      <w:r w:rsidRPr="007C3060">
        <w:t>Prop</w:t>
      </w:r>
      <w:proofErr w:type="spellEnd"/>
      <w:r w:rsidRPr="007C3060">
        <w:t>. 102 LS (2024–2025). Disse endringene vil også ha betydning for pensjonsforpliktelsene i helseforetakene.</w:t>
      </w:r>
    </w:p>
    <w:p w14:paraId="56865984" w14:textId="77777777" w:rsidR="000A2A2B" w:rsidRPr="007C3060" w:rsidRDefault="000A2A2B" w:rsidP="007C3060">
      <w:r w:rsidRPr="007C3060">
        <w:t>Regjeringen vil komme tilbake til budsjettmessig håndtering av planendringer som følge av ny offentlig AFP og nye pensjonsregler for arbeids-takere med særaldersgrenser i nysalderingen av inneværende års statsbudsjett. Da vil også endelige pensjonspremier og pensjonskostnader for 2025 være avklart.</w:t>
      </w:r>
    </w:p>
    <w:p w14:paraId="7B2506E6" w14:textId="77777777" w:rsidR="000A2A2B" w:rsidRPr="007C3060" w:rsidRDefault="000A2A2B" w:rsidP="007C3060">
      <w:pPr>
        <w:pStyle w:val="b-post"/>
      </w:pPr>
      <w:r w:rsidRPr="007C3060">
        <w:t>Post 73 Basisbevilgning Helse Vest RHF</w:t>
      </w:r>
    </w:p>
    <w:p w14:paraId="56869F9D" w14:textId="77777777" w:rsidR="000A2A2B" w:rsidRPr="007C3060" w:rsidRDefault="000A2A2B" w:rsidP="007C3060">
      <w:r w:rsidRPr="007C3060">
        <w:t>Bevilgningen foreslås redusert med 1 mill. kroner til dekningen av økte utgifter ved egenandelsfritak i psykisk helsevern og rusbehandling, jf. omtale under kap. 732, post 76.</w:t>
      </w:r>
    </w:p>
    <w:p w14:paraId="05A61FD5" w14:textId="77777777" w:rsidR="000A2A2B" w:rsidRPr="007C3060" w:rsidRDefault="000A2A2B" w:rsidP="007C3060">
      <w:r w:rsidRPr="007C3060">
        <w:t>Bevilgningen foreslås redusert med 1,6 mill. kroner som følge av korrigering av prisomregning, jf. omtale under kap. 732, post 70.</w:t>
      </w:r>
    </w:p>
    <w:p w14:paraId="511FE108" w14:textId="77777777" w:rsidR="000A2A2B" w:rsidRPr="007C3060" w:rsidRDefault="000A2A2B" w:rsidP="007C3060">
      <w:r w:rsidRPr="007C3060">
        <w:t>Samlet foreslås bevilgningen redusert med 2,6 mill. kroner.</w:t>
      </w:r>
    </w:p>
    <w:p w14:paraId="4F08C1A7" w14:textId="77777777" w:rsidR="000A2A2B" w:rsidRPr="007C3060" w:rsidRDefault="000A2A2B" w:rsidP="007C3060">
      <w:pPr>
        <w:pStyle w:val="b-post"/>
      </w:pPr>
      <w:r w:rsidRPr="007C3060">
        <w:t>Post 74 Basisbevilgning Helse Midt-Norge RHF</w:t>
      </w:r>
    </w:p>
    <w:p w14:paraId="1DFA0407" w14:textId="77777777" w:rsidR="000A2A2B" w:rsidRPr="007C3060" w:rsidRDefault="000A2A2B" w:rsidP="007C3060">
      <w:r w:rsidRPr="007C3060">
        <w:t>Bevilgningen foreslås redusert med 0,7 mill. kroner til dekningen av økte utgifter ved egenandelsfritak i psykisk helsevern og rusbehandling, jf. omtale under kap. 732, post 76.</w:t>
      </w:r>
    </w:p>
    <w:p w14:paraId="1B794AA6" w14:textId="77777777" w:rsidR="000A2A2B" w:rsidRPr="007C3060" w:rsidRDefault="000A2A2B" w:rsidP="007C3060">
      <w:r w:rsidRPr="007C3060">
        <w:t>Bevilgningen foreslås redusert med 1,2 mill. kroner som følge av korrigering av prisomregning, jf. omtale under kap. 732, post 70.</w:t>
      </w:r>
    </w:p>
    <w:p w14:paraId="17318E6F" w14:textId="77777777" w:rsidR="000A2A2B" w:rsidRPr="007C3060" w:rsidRDefault="000A2A2B" w:rsidP="007C3060">
      <w:r w:rsidRPr="007C3060">
        <w:t>Samlet foreslås bevilgningen redusert med 1,9 mill. kroner.</w:t>
      </w:r>
    </w:p>
    <w:p w14:paraId="633200C7" w14:textId="77777777" w:rsidR="000A2A2B" w:rsidRPr="007C3060" w:rsidRDefault="000A2A2B" w:rsidP="007C3060">
      <w:pPr>
        <w:pStyle w:val="b-post"/>
      </w:pPr>
      <w:r w:rsidRPr="007C3060">
        <w:t>Post 75 Basisbevilgning Helse Nord RHF</w:t>
      </w:r>
    </w:p>
    <w:p w14:paraId="1054C4F0" w14:textId="77777777" w:rsidR="000A2A2B" w:rsidRPr="007C3060" w:rsidRDefault="000A2A2B" w:rsidP="007C3060">
      <w:r w:rsidRPr="007C3060">
        <w:t>Bevilgningen foreslås redusert med 0,6 mill. kroner til dekningen av økte utgifter ved egenandelsfritak i psykisk helsevern og rusbehandling, jf. omtale under kap. 732, post 76.</w:t>
      </w:r>
    </w:p>
    <w:p w14:paraId="1F13DB38" w14:textId="77777777" w:rsidR="000A2A2B" w:rsidRPr="007C3060" w:rsidRDefault="000A2A2B" w:rsidP="007C3060">
      <w:r w:rsidRPr="007C3060">
        <w:t>Bevilgningen foreslås redusert med 1 mill. kroner som følge av korrigering av prisomregning, jf. omtale under kap. 732, post 70.</w:t>
      </w:r>
    </w:p>
    <w:p w14:paraId="57CDB761" w14:textId="77777777" w:rsidR="000A2A2B" w:rsidRPr="007C3060" w:rsidRDefault="000A2A2B" w:rsidP="007C3060">
      <w:r w:rsidRPr="007C3060">
        <w:t>Samlet foreslås bevilgningen redusert med 1,6 mill. kroner.</w:t>
      </w:r>
    </w:p>
    <w:p w14:paraId="0A00DB62" w14:textId="60AF6222" w:rsidR="000A2A2B" w:rsidRPr="007C3060" w:rsidRDefault="000A2A2B" w:rsidP="007C3060">
      <w:pPr>
        <w:pStyle w:val="b-post"/>
      </w:pPr>
      <w:r w:rsidRPr="007C3060">
        <w:lastRenderedPageBreak/>
        <w:t>Post 76 Innsatsstyrt finansiering, overslagsbevilgning</w:t>
      </w:r>
    </w:p>
    <w:p w14:paraId="5DECFB97" w14:textId="77777777" w:rsidR="000A2A2B" w:rsidRPr="007C3060" w:rsidRDefault="000A2A2B" w:rsidP="007C3060">
      <w:r w:rsidRPr="007C3060">
        <w:t>Saldert budsjett 2024 la til rette for en aktivitetsvekst på om lag 1,7 pst. ut over anslått aktivitetsnivå i 2023 per 1. tertial 2023. Den faktiske aktiviteten i 2023 ble 0,2 prosentpoeng høyere enn dette og saldert budsjett for 2023 ga dermed rom for en aktivitetsvekst på om lag 1,5 pst.</w:t>
      </w:r>
    </w:p>
    <w:p w14:paraId="677CCA83" w14:textId="77777777" w:rsidR="000A2A2B" w:rsidRPr="007C3060" w:rsidRDefault="000A2A2B" w:rsidP="007C3060">
      <w:r w:rsidRPr="007C3060">
        <w:t xml:space="preserve">Oppdaterte analyser for hele </w:t>
      </w:r>
      <w:proofErr w:type="spellStart"/>
      <w:r w:rsidRPr="007C3060">
        <w:t>årsaktiviteten</w:t>
      </w:r>
      <w:proofErr w:type="spellEnd"/>
      <w:r w:rsidRPr="007C3060">
        <w:t xml:space="preserve"> i 2024 tilsier at aktiviteten ble lavere enn det som ble lagt til grunn i </w:t>
      </w:r>
      <w:proofErr w:type="spellStart"/>
      <w:r w:rsidRPr="007C3060">
        <w:t>Prop</w:t>
      </w:r>
      <w:proofErr w:type="spellEnd"/>
      <w:r w:rsidRPr="007C3060">
        <w:t>. 23 S (2024–2025), tilsvarende om lag 42 mill. kroner. Aktivitetsveksten i 2024 anslås nå til 2 pst. fra faktisk nivå i 2023.</w:t>
      </w:r>
    </w:p>
    <w:p w14:paraId="3971EAB1" w14:textId="77777777" w:rsidR="000A2A2B" w:rsidRPr="007C3060" w:rsidRDefault="000A2A2B" w:rsidP="007C3060">
      <w:r w:rsidRPr="007C3060">
        <w:t>Helse- og omsorgsdepartementet vil komme tilbake til endelig avregning for 2024 i forbindelse med nysalderingen av statsbudsjettet for 2025, inkludert eventuelle justeringer som følge av behandling av enkeltsaker i avregningsutvalget.</w:t>
      </w:r>
    </w:p>
    <w:p w14:paraId="62455FBE" w14:textId="77777777" w:rsidR="000A2A2B" w:rsidRPr="007C3060" w:rsidRDefault="000A2A2B" w:rsidP="007C3060">
      <w:r w:rsidRPr="007C3060">
        <w:t xml:space="preserve">Fra 1. januar 2025 er det innført aldersbestemt egenandelsfritak innen psykisk helsevern, jf. omtale i Helse- og omsorgsdepartementets </w:t>
      </w:r>
      <w:proofErr w:type="spellStart"/>
      <w:r w:rsidRPr="007C3060">
        <w:t>Prop</w:t>
      </w:r>
      <w:proofErr w:type="spellEnd"/>
      <w:r w:rsidRPr="007C3060">
        <w:t>. 1 S (2024–2025). Sykehusene kompenseres for dette gjennom ISF-refusjonen. Egenandels-fritaket er innrettet slik at det gjelder til og med det året pasienten fyller 26 år. For å hensynta økte utgifter til egenandelsfritaket foreslås bevilgningen økt med 5 mill. kroner mot tilsvarende reduksjon på kap. 732, poster 72–75.</w:t>
      </w:r>
    </w:p>
    <w:p w14:paraId="1A76D4E4" w14:textId="77777777" w:rsidR="000A2A2B" w:rsidRPr="007C3060" w:rsidRDefault="000A2A2B" w:rsidP="007C3060">
      <w:pPr>
        <w:pStyle w:val="b-post"/>
      </w:pPr>
      <w:r w:rsidRPr="007C3060">
        <w:t>Post 77 Laboratorie- og radiologiske undersøkelser, overslagsbevilgning</w:t>
      </w:r>
    </w:p>
    <w:p w14:paraId="5BD1F2A3" w14:textId="77777777" w:rsidR="000A2A2B" w:rsidRPr="007C3060" w:rsidRDefault="000A2A2B" w:rsidP="007C3060">
      <w:pPr>
        <w:pStyle w:val="avsnitt-undertittel"/>
      </w:pPr>
      <w:r w:rsidRPr="007C3060">
        <w:t>Aktivitet 2024</w:t>
      </w:r>
    </w:p>
    <w:p w14:paraId="20563FD1" w14:textId="77777777" w:rsidR="000A2A2B" w:rsidRPr="007C3060" w:rsidRDefault="000A2A2B" w:rsidP="007C3060">
      <w:r w:rsidRPr="007C3060">
        <w:t xml:space="preserve">Saldert budsjett 2024 på 4 187,6 mill. kroner la til rette for en aktivitetsvekst på om lag 1,7 pst. utover et anslått aktivitetsnivå i 2023 som la til grunn regnskapstall per mai i 2023. Regnskapet for 2024 viser at utbetalingene ble 4 661 mill. kroner. Dette er 161 mill. kroner høyere enn budsjett etter Stortingets behandling av </w:t>
      </w:r>
      <w:proofErr w:type="spellStart"/>
      <w:r w:rsidRPr="007C3060">
        <w:t>Prop</w:t>
      </w:r>
      <w:proofErr w:type="spellEnd"/>
      <w:r w:rsidRPr="007C3060">
        <w:t xml:space="preserve">. 23 S (2024–2025), jf. </w:t>
      </w:r>
      <w:proofErr w:type="spellStart"/>
      <w:r w:rsidRPr="007C3060">
        <w:t>Innst</w:t>
      </w:r>
      <w:proofErr w:type="spellEnd"/>
      <w:r w:rsidRPr="007C3060">
        <w:t>. 94 S (2024–2025).</w:t>
      </w:r>
    </w:p>
    <w:p w14:paraId="27DAFE48" w14:textId="77777777" w:rsidR="000A2A2B" w:rsidRPr="007C3060" w:rsidRDefault="000A2A2B" w:rsidP="007C3060">
      <w:pPr>
        <w:pStyle w:val="avsnitt-undertittel"/>
      </w:pPr>
      <w:r w:rsidRPr="007C3060">
        <w:t>Aktivitet 2025</w:t>
      </w:r>
    </w:p>
    <w:p w14:paraId="1759E354" w14:textId="77777777" w:rsidR="000A2A2B" w:rsidRPr="007C3060" w:rsidRDefault="000A2A2B" w:rsidP="007C3060">
      <w:r w:rsidRPr="007C3060">
        <w:t>Saldert budsjett 2025 la til rette for en vekst tilsvarende 1,8 pst. utover anslag for aktivitetsnivået i 2024, som var basert på regnskapstall per mai i 2024. Saldert budsjett for 2025 er 4 463 mill. kroner. Prognosen for 2025, basert på oppdaterte aktivitetstall per februar 2025, anslår en samlet aktivitetsvekst på om lag 14 pst., eller 867 mill. kroner. Anslaget er usikkert.</w:t>
      </w:r>
    </w:p>
    <w:p w14:paraId="6E72D8D1" w14:textId="77777777" w:rsidR="000A2A2B" w:rsidRPr="007C3060" w:rsidRDefault="000A2A2B" w:rsidP="007C3060">
      <w:r w:rsidRPr="007C3060">
        <w:t xml:space="preserve">Den høye utgiftsveksten skyldes særlig vekst i refusjonene til laboratorieanalyser. Disse refusjonene ble nedjustert fra 2025, jf. omtale i </w:t>
      </w:r>
      <w:proofErr w:type="spellStart"/>
      <w:r w:rsidRPr="007C3060">
        <w:t>Prop</w:t>
      </w:r>
      <w:proofErr w:type="spellEnd"/>
      <w:r w:rsidRPr="007C3060">
        <w:t>. 1 S (2024–2025). Helse- og omsorgsdepartementet følger utviklingen nøye og vil vurdere en videre nedjustering fra 2026. Det vises også til omtale på kap. 2711, post 76.</w:t>
      </w:r>
    </w:p>
    <w:p w14:paraId="46F4B8D2" w14:textId="77777777" w:rsidR="000A2A2B" w:rsidRPr="007C3060" w:rsidRDefault="000A2A2B" w:rsidP="007C3060">
      <w:r w:rsidRPr="007C3060">
        <w:t>Bevilgningen foreslås økt med 867 mill. kroner.</w:t>
      </w:r>
    </w:p>
    <w:p w14:paraId="35632389" w14:textId="77777777" w:rsidR="000A2A2B" w:rsidRPr="007C3060" w:rsidRDefault="000A2A2B" w:rsidP="007C3060">
      <w:pPr>
        <w:pStyle w:val="b-post"/>
      </w:pPr>
      <w:r w:rsidRPr="007C3060">
        <w:t>Post 86 Driftskreditter</w:t>
      </w:r>
    </w:p>
    <w:p w14:paraId="3757110B" w14:textId="77777777" w:rsidR="000A2A2B" w:rsidRPr="007C3060" w:rsidRDefault="000A2A2B" w:rsidP="007C3060">
      <w:r w:rsidRPr="007C3060">
        <w:t xml:space="preserve">De regionale helseforetakene har anledning til å ta opp driftskreditt for til enhver tid å ha tilstrekkelig likviditet til å håndtere betaling av pensjonspremier til pensjonsleverandørene. Helse- og omsorgsdepartementet har ansvar for å fordele rammen mellom de regionale </w:t>
      </w:r>
      <w:r w:rsidRPr="007C3060">
        <w:lastRenderedPageBreak/>
        <w:t xml:space="preserve">helseforetakene. Hensyntatt </w:t>
      </w:r>
      <w:proofErr w:type="spellStart"/>
      <w:r w:rsidRPr="007C3060">
        <w:t>Prop</w:t>
      </w:r>
      <w:proofErr w:type="spellEnd"/>
      <w:r w:rsidRPr="007C3060">
        <w:t>. 23 S (2024–2025) og Saldert budsjett 2025, har de regionale helseforetakene en driftskredittramme på 31 711 mill. kroner ved utgangen av 2025.</w:t>
      </w:r>
    </w:p>
    <w:p w14:paraId="22359768" w14:textId="77777777" w:rsidR="000A2A2B" w:rsidRPr="007C3060" w:rsidRDefault="000A2A2B" w:rsidP="007C3060">
      <w:r w:rsidRPr="007C3060">
        <w:t>Helseforetakene er i Saldert budsjett 2025 gitt anledning til å bruke 2 000 mill. kroner av premiefond til betaling av pensjonspremier i 2025. Det er ventet en stor økning i premiefondene til helseforetakene i 2025. Det foreslås derfor å øke bruken av premiefond i 2025 med 5 600 mill. kroner fra 2 000 mill. kroner i saldert budsjett til 7 600 mill. kroner. Hensyntatt effekten av at det ikke svares arbeidsgiveravgift ved bruk av premiefond, gir den økte bruken av premiefond en samlet likviditetslettelse på 6 390 mill. kroner. Helseforetakenes samlede innvilgede driftskreditt-ramme foreslås satt ned tilsvarende. Dette gir en samlet driftskredittramme for de regionale helseforetakene på 25 321 mill. kroner ved utgangen av 2025.</w:t>
      </w:r>
    </w:p>
    <w:p w14:paraId="7CFE4466" w14:textId="77777777" w:rsidR="000A2A2B" w:rsidRPr="007C3060" w:rsidRDefault="000A2A2B" w:rsidP="007C3060">
      <w:pPr>
        <w:pStyle w:val="b-budkaptit"/>
      </w:pPr>
      <w:r w:rsidRPr="007C3060">
        <w:t>Kap. 740 Helsedirektoratet</w:t>
      </w:r>
    </w:p>
    <w:p w14:paraId="4192F22B" w14:textId="77777777" w:rsidR="000A2A2B" w:rsidRPr="007C3060" w:rsidRDefault="000A2A2B" w:rsidP="007C3060">
      <w:pPr>
        <w:pStyle w:val="b-post"/>
      </w:pPr>
      <w:r w:rsidRPr="007C3060">
        <w:t>Post 01 Driftsutgifter</w:t>
      </w:r>
    </w:p>
    <w:p w14:paraId="3D6131DD" w14:textId="77777777" w:rsidR="000A2A2B" w:rsidRPr="007C3060" w:rsidRDefault="000A2A2B" w:rsidP="007C3060">
      <w:r w:rsidRPr="007C3060">
        <w:t>Helsedirektoratet er systemeier og lisenshaver for Health Term. Bevilgningen på 1 mill. kroner for drift av systemet ble ved en inkurie tildelt Folkehelseinstituttet. Det foreslås derfor å øke bevilgningen med 1 mill. kroner mot tilsvarende reduksjon på kap. 745, post 01.</w:t>
      </w:r>
    </w:p>
    <w:p w14:paraId="54C2C7BF" w14:textId="77777777" w:rsidR="000A2A2B" w:rsidRPr="007C3060" w:rsidRDefault="000A2A2B" w:rsidP="007C3060">
      <w:pPr>
        <w:pStyle w:val="b-budkaptit"/>
      </w:pPr>
      <w:r w:rsidRPr="007C3060">
        <w:t>Kap. 3740 Helsedirektoratet</w:t>
      </w:r>
    </w:p>
    <w:p w14:paraId="4F75C9C5" w14:textId="77777777" w:rsidR="000A2A2B" w:rsidRPr="007C3060" w:rsidRDefault="000A2A2B" w:rsidP="007C3060">
      <w:pPr>
        <w:pStyle w:val="b-post"/>
      </w:pPr>
      <w:r w:rsidRPr="007C3060">
        <w:t>Post 05 Helsetjenester til utenlandsboende mv.</w:t>
      </w:r>
    </w:p>
    <w:p w14:paraId="74CA6D2B"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inntektene vil bli høyere enn anslått i saldert budsjett. Bevilgningen foreslås økt med 47 mill. kroner.</w:t>
      </w:r>
    </w:p>
    <w:p w14:paraId="14CB0C53" w14:textId="77777777" w:rsidR="000A2A2B" w:rsidRPr="007C3060" w:rsidRDefault="000A2A2B" w:rsidP="007C3060">
      <w:pPr>
        <w:pStyle w:val="b-budkaptit"/>
      </w:pPr>
      <w:r w:rsidRPr="007C3060">
        <w:t>Kap. 745 Folkehelseinstituttet</w:t>
      </w:r>
    </w:p>
    <w:p w14:paraId="4CA48FD0" w14:textId="77777777" w:rsidR="000A2A2B" w:rsidRPr="007C3060" w:rsidRDefault="000A2A2B" w:rsidP="007C3060">
      <w:pPr>
        <w:pStyle w:val="b-post"/>
      </w:pPr>
      <w:r w:rsidRPr="007C3060">
        <w:t>Post 01 Driftsutgifter</w:t>
      </w:r>
    </w:p>
    <w:p w14:paraId="602DF939" w14:textId="77777777" w:rsidR="000A2A2B" w:rsidRPr="007C3060" w:rsidRDefault="000A2A2B" w:rsidP="007C3060">
      <w:r w:rsidRPr="007C3060">
        <w:t>Bevilgningen foreslås økt med 3 mill. kroner til styrking av Folkehelseinstituttets kompetanse innenfor biosikring og bioberedskap, herunder prosjektering av en nasjonal overvåkingsfunksjon for biologiske trusler.</w:t>
      </w:r>
    </w:p>
    <w:p w14:paraId="5EBEF7AA" w14:textId="77777777" w:rsidR="000A2A2B" w:rsidRPr="007C3060" w:rsidRDefault="000A2A2B" w:rsidP="007C3060">
      <w:r w:rsidRPr="007C3060">
        <w:t>Formålet er å fange opp biologiske trusler som grunnlag for varsler om hendelser og risikovurderinger til myndigheter på tvers av sektorer. Tiltaket skal føre til en bedre nasjonal kunnskap om biosikring og bioberedskap, bedre beredskap for utbrudd og pandemi, og en bedre evne til å oppdage, vurdere og håndtere hendelser som skyldes tilsiktet og utilsiktet bruk av biologiske stoffer.</w:t>
      </w:r>
    </w:p>
    <w:p w14:paraId="5F302D8A" w14:textId="77777777" w:rsidR="000A2A2B" w:rsidRPr="007C3060" w:rsidRDefault="000A2A2B" w:rsidP="007C3060">
      <w:r w:rsidRPr="007C3060">
        <w:t xml:space="preserve">Det foreslås å flytte 10 mill. kroner til prosjektet HPV </w:t>
      </w:r>
      <w:proofErr w:type="spellStart"/>
      <w:r w:rsidRPr="007C3060">
        <w:t>hjemmetest</w:t>
      </w:r>
      <w:proofErr w:type="spellEnd"/>
      <w:r w:rsidRPr="007C3060">
        <w:t xml:space="preserve"> i livmorhalskreftscreening-programmet fra kap. 745, post 01 til kap. 745, post 21. Se nærmere omtale under kap. 745, post 21.</w:t>
      </w:r>
    </w:p>
    <w:p w14:paraId="564FFFD7" w14:textId="77777777" w:rsidR="000A2A2B" w:rsidRPr="007C3060" w:rsidRDefault="000A2A2B" w:rsidP="007C3060">
      <w:r w:rsidRPr="007C3060">
        <w:t xml:space="preserve">Fra 2024 ble Kreftregisteret en del av Folkehelseinstituttet. Folkehelseinstituttet skal fakturere Helse Sør-Øst RHF for kostnader til tarmscreeningprogrammet og det foreslås derfor at bevilgningen økes fra 48,8 mill. kroner til 92,8 mill. kroner, mot en tilsvarende økning i inntektene på kap. 3745, post 02. Tildelingen til tarmscreeningprogrammet er ved en inkurie bevilget på kap. </w:t>
      </w:r>
      <w:r w:rsidRPr="007C3060">
        <w:lastRenderedPageBreak/>
        <w:t>745, post 01, i stedet for kap. 745, post 21. Regjeringen foreslår at tildelingen i sin helhet blir overført til kap. 745, post 21.</w:t>
      </w:r>
    </w:p>
    <w:p w14:paraId="5616CCD8" w14:textId="77777777" w:rsidR="000A2A2B" w:rsidRPr="007C3060" w:rsidRDefault="000A2A2B" w:rsidP="007C3060">
      <w:r w:rsidRPr="007C3060">
        <w:t>Det foreslås å flytte 1 mill. kroner knyttet til drift av programmet Health Term til kap. 740, post 01, se omtale under kap. 740, post 01.</w:t>
      </w:r>
    </w:p>
    <w:p w14:paraId="43BD7055" w14:textId="77777777" w:rsidR="000A2A2B" w:rsidRPr="007C3060" w:rsidRDefault="000A2A2B" w:rsidP="007C3060">
      <w:r w:rsidRPr="007C3060">
        <w:t>Samlet foreslås bevilgningen på posten redusert med 56,8 mill. kroner.</w:t>
      </w:r>
    </w:p>
    <w:p w14:paraId="558B3C01" w14:textId="77777777" w:rsidR="000A2A2B" w:rsidRPr="007C3060" w:rsidRDefault="000A2A2B" w:rsidP="007C3060">
      <w:pPr>
        <w:pStyle w:val="b-post"/>
      </w:pPr>
      <w:r w:rsidRPr="007C3060">
        <w:t>Post 21 Spesielle driftsutgifter, kan overføres</w:t>
      </w:r>
    </w:p>
    <w:p w14:paraId="5989C502" w14:textId="77777777" w:rsidR="000A2A2B" w:rsidRPr="007C3060" w:rsidRDefault="000A2A2B" w:rsidP="007C3060">
      <w:r w:rsidRPr="007C3060">
        <w:t xml:space="preserve">Det foreslås å flytte 10 mill. kroner fra kap. 745, post 01 til kap. 745, post 21. I 2024 ble det samlet bevilget 26 mill. kroner til prosjektet HPV </w:t>
      </w:r>
      <w:proofErr w:type="spellStart"/>
      <w:r w:rsidRPr="007C3060">
        <w:t>hjemmetest</w:t>
      </w:r>
      <w:proofErr w:type="spellEnd"/>
      <w:r w:rsidRPr="007C3060">
        <w:t xml:space="preserve"> for å gi et tilbud til de som ikke deltar i livmorhalskreftscreening som anbefalt. Av disse er 10 mill. kroner knyttet til prosjektkostnader i Kreftregisteret. I </w:t>
      </w:r>
      <w:proofErr w:type="spellStart"/>
      <w:r w:rsidRPr="007C3060">
        <w:t>Prop</w:t>
      </w:r>
      <w:proofErr w:type="spellEnd"/>
      <w:r w:rsidRPr="007C3060">
        <w:t>. 1 S (2024–2025) ble prosjektmidlene plassert på Folkehelseinstituttets driftskapittel kap. 745, post 01.</w:t>
      </w:r>
    </w:p>
    <w:p w14:paraId="1557C4FB" w14:textId="77777777" w:rsidR="000A2A2B" w:rsidRPr="007C3060" w:rsidRDefault="000A2A2B" w:rsidP="007C3060">
      <w:r w:rsidRPr="007C3060">
        <w:t>Det vises til omtale av finansieringen av tarmscreeningprogrammet under kap. 745, post 01. Regjeringen foreslår at tildelingen på 48,8 mill. kroner på kap. 745, post 01 flyttes til kap. 745, post 21, og i tillegg økes med ytterligere 44 mill. kroner mot tilsvarende økning på kap. 3745, post 02.</w:t>
      </w:r>
    </w:p>
    <w:p w14:paraId="632C9032" w14:textId="77777777" w:rsidR="000A2A2B" w:rsidRPr="007C3060" w:rsidRDefault="000A2A2B" w:rsidP="007C3060">
      <w:r w:rsidRPr="007C3060">
        <w:t>Samlet foreslås det å øke bevilgningen med 102,8 mill. kroner.</w:t>
      </w:r>
    </w:p>
    <w:p w14:paraId="3FA4C527" w14:textId="77777777" w:rsidR="000A2A2B" w:rsidRPr="007C3060" w:rsidRDefault="000A2A2B" w:rsidP="007C3060">
      <w:pPr>
        <w:pStyle w:val="b-budkaptit"/>
      </w:pPr>
      <w:r w:rsidRPr="007C3060">
        <w:t>Kap. 3745 Folkehelseinstituttet</w:t>
      </w:r>
    </w:p>
    <w:p w14:paraId="2F2C2DBB" w14:textId="77777777" w:rsidR="000A2A2B" w:rsidRPr="007C3060" w:rsidRDefault="000A2A2B" w:rsidP="007C3060">
      <w:pPr>
        <w:pStyle w:val="b-post"/>
      </w:pPr>
      <w:r w:rsidRPr="007C3060">
        <w:t>Post 02 Diverse inntekter</w:t>
      </w:r>
    </w:p>
    <w:p w14:paraId="4CE31A20" w14:textId="77777777" w:rsidR="000A2A2B" w:rsidRPr="007C3060" w:rsidRDefault="000A2A2B" w:rsidP="007C3060">
      <w:r w:rsidRPr="007C3060">
        <w:t>Det foreslås å øke bevilgningen med 44 mill. kroner, som følge av tilsvarende økte utgifter over kap. 745, post 21. Se nærmere omtale under kap. 745, post 21.</w:t>
      </w:r>
    </w:p>
    <w:p w14:paraId="3F6E2A7F" w14:textId="77777777" w:rsidR="000A2A2B" w:rsidRPr="007C3060" w:rsidRDefault="000A2A2B" w:rsidP="007C3060">
      <w:pPr>
        <w:pStyle w:val="b-budkaptit"/>
      </w:pPr>
      <w:r w:rsidRPr="007C3060">
        <w:t>Kap. 747 Direktoratet for strålevern og -atomsikkerhet</w:t>
      </w:r>
    </w:p>
    <w:p w14:paraId="0061210F" w14:textId="77777777" w:rsidR="000A2A2B" w:rsidRPr="007C3060" w:rsidRDefault="000A2A2B" w:rsidP="007C3060">
      <w:pPr>
        <w:pStyle w:val="b-post"/>
      </w:pPr>
      <w:r w:rsidRPr="007C3060">
        <w:t>Post 01 Driftsutgifter</w:t>
      </w:r>
    </w:p>
    <w:p w14:paraId="293DE48A" w14:textId="77777777" w:rsidR="000A2A2B" w:rsidRPr="007C3060" w:rsidRDefault="000A2A2B" w:rsidP="007C3060">
      <w:r w:rsidRPr="007C3060">
        <w:t xml:space="preserve">Bevilgningen foreslås økt med 3 mill. kroner mot tilsvarende reduksjon på kap. 714, post 21. I forbindelse med avvikling og opprydning etter atomvirksomhet i Norge, er det nødvendig å styrke </w:t>
      </w:r>
      <w:proofErr w:type="spellStart"/>
      <w:r w:rsidRPr="007C3060">
        <w:t>DSAs</w:t>
      </w:r>
      <w:proofErr w:type="spellEnd"/>
      <w:r w:rsidRPr="007C3060">
        <w:t xml:space="preserve"> kapasitet til å håndtere nye funn og akutte situasjoner ved atomanleggene, blant annet gjennom tiltak innen digital infrastruktur for å forbedre sikkerhet i eksisterende atomberedskapssystemer. Tiltakene skal også bidra et kontinuerlig forbedringsarbeid i en skjerpet sikkerhetspolitisk situasjon.</w:t>
      </w:r>
    </w:p>
    <w:p w14:paraId="46753C6E" w14:textId="77777777" w:rsidR="000A2A2B" w:rsidRPr="007C3060" w:rsidRDefault="000A2A2B" w:rsidP="007C3060">
      <w:pPr>
        <w:pStyle w:val="b-budkaptit"/>
      </w:pPr>
      <w:r w:rsidRPr="007C3060">
        <w:t>Kap. 748 Statens helsetilsyn</w:t>
      </w:r>
    </w:p>
    <w:p w14:paraId="1A9C15F7" w14:textId="77777777" w:rsidR="000A2A2B" w:rsidRPr="007C3060" w:rsidRDefault="000A2A2B" w:rsidP="007C3060">
      <w:pPr>
        <w:pStyle w:val="b-post"/>
      </w:pPr>
      <w:r w:rsidRPr="007C3060">
        <w:t>Post 21 Spesielle driftsutgifter, kan overføres</w:t>
      </w:r>
    </w:p>
    <w:p w14:paraId="71035B93" w14:textId="77777777" w:rsidR="000A2A2B" w:rsidRPr="007C3060" w:rsidRDefault="000A2A2B" w:rsidP="007C3060">
      <w:r w:rsidRPr="007C3060">
        <w:t xml:space="preserve">Bevilgningen foreslås økt med 7,5 mill. kroner slik at Statens Helsetilsyn kan etablere et prosjekt for å bistå Statsforvalteren i Østfold, Buskerud, Oslo og Akershus med å håndtere situasjonen med store restanser på helseområdet. Det omdisponeres 0,5 mill. kroner fra kap. 701, </w:t>
      </w:r>
      <w:r w:rsidRPr="007C3060">
        <w:lastRenderedPageBreak/>
        <w:t>post 21, 3 mill. kroner fra kap. 765, post 72 og 4 mill. kroner fra kap. 2755, post 70. Se nærmere omtale under disse postene.</w:t>
      </w:r>
    </w:p>
    <w:p w14:paraId="28DD151C" w14:textId="77777777" w:rsidR="000A2A2B" w:rsidRPr="007C3060" w:rsidRDefault="000A2A2B" w:rsidP="007C3060">
      <w:pPr>
        <w:pStyle w:val="b-budkaptit"/>
      </w:pPr>
      <w:r w:rsidRPr="007C3060">
        <w:t>Kap. 760 Kommunale helse- og -omsorgstjenester</w:t>
      </w:r>
    </w:p>
    <w:p w14:paraId="447F8CA4" w14:textId="77777777" w:rsidR="000A2A2B" w:rsidRPr="007C3060" w:rsidRDefault="000A2A2B" w:rsidP="007C3060">
      <w:pPr>
        <w:pStyle w:val="b-post"/>
      </w:pPr>
      <w:r w:rsidRPr="007C3060">
        <w:t>Post 21 Spesielle driftsutgifter, kan nyttes under postene 70 og 71</w:t>
      </w:r>
    </w:p>
    <w:p w14:paraId="6C4355A1" w14:textId="77777777" w:rsidR="000A2A2B" w:rsidRPr="007C3060" w:rsidRDefault="000A2A2B" w:rsidP="007C3060">
      <w:r w:rsidRPr="007C3060">
        <w:t>Det foreslås å øke bevilgningen med 5 mill. kroner til utprøving av kommunal nettlege. Videre foreslås det å omdisponere 10 mill. kroner fra kap. 714, post 21 og 5 mill. kroner fra kap. 701, post 21. I tillegg foreslås 7 mill. kroner omdisponert innenfor bevilgningen på kap. 760, post 21 til samme formål.</w:t>
      </w:r>
    </w:p>
    <w:p w14:paraId="6E38EA76" w14:textId="77777777" w:rsidR="000A2A2B" w:rsidRPr="007C3060" w:rsidRDefault="000A2A2B" w:rsidP="007C3060">
      <w:r w:rsidRPr="007C3060">
        <w:t xml:space="preserve">Sammen med gjeldende bevilgning på posten på 18 mill. kroner, jf. </w:t>
      </w:r>
      <w:proofErr w:type="spellStart"/>
      <w:r w:rsidRPr="007C3060">
        <w:t>Innst</w:t>
      </w:r>
      <w:proofErr w:type="spellEnd"/>
      <w:r w:rsidRPr="007C3060">
        <w:t>. 11 S (2024–2025), og 5 mill. kroner over kap. 701, post 21, vil samlet disponering til utprøving av kommunal nettlege utgjøre 50 mill. kroner i 2025.</w:t>
      </w:r>
    </w:p>
    <w:p w14:paraId="18879D24" w14:textId="77777777" w:rsidR="000A2A2B" w:rsidRPr="007C3060" w:rsidRDefault="000A2A2B" w:rsidP="007C3060">
      <w:r w:rsidRPr="007C3060">
        <w:t>Helsedirektoratet skal sørge for utprøving av ordningen i maksimalt 10-20 kommuner. Kommunenes kostnader vil bli finansiert gjennom tilskudd, takstrefusjoner fra folketrygden og egenandeler fra pasientene. Helse- og omsorgsdepartementet vil komme tilbake til Stortinget i nysalderingen til høsten med korrekt postbruk, når regnskapstall fra nettleger for en periode foreligger. Fordeling av kostnadene avhenger av størrelsen på nettlegevirksomhetene og antall konsultasjoner. Høringsnotat med utkast til forskrift om forsøksordning med nettlege vil sendes på høring snarlig. I høringsnotatet vil finansiering og innretning av tjenesten beskrives nærmere.</w:t>
      </w:r>
    </w:p>
    <w:p w14:paraId="25A433B0" w14:textId="77777777" w:rsidR="000A2A2B" w:rsidRPr="007C3060" w:rsidRDefault="000A2A2B" w:rsidP="007C3060">
      <w:r w:rsidRPr="007C3060">
        <w:t>Samlet foreslås det å øke bevilgningen med 20 mill. kroner.</w:t>
      </w:r>
    </w:p>
    <w:p w14:paraId="275FB6F6" w14:textId="77777777" w:rsidR="000A2A2B" w:rsidRPr="007C3060" w:rsidRDefault="000A2A2B" w:rsidP="007C3060">
      <w:pPr>
        <w:pStyle w:val="b-post"/>
      </w:pPr>
      <w:r w:rsidRPr="007C3060">
        <w:t>Post 60 Kompetanse, rekruttering og innovasjon</w:t>
      </w:r>
    </w:p>
    <w:p w14:paraId="1DFAD4E9" w14:textId="77777777" w:rsidR="000A2A2B" w:rsidRPr="007C3060" w:rsidRDefault="000A2A2B" w:rsidP="007C3060">
      <w:r w:rsidRPr="007C3060">
        <w:t>Bevilgningen foreslås redusert med 10 mill. kroner mot at bevilgningen på kap. 760, post 71 øker tilsvarende. Tilskudd til gruppeveiledning for leger som er under spesialisering i allmennmedisin er for 2025 budsjettert på kap. 760, post 60. Det er i saldert budsjett lagt til grunn at Helsedirektoratet skulle overta forvaltningen av ordningen. Det er nå avklart at tilskudd til gruppeveiledning, som er en obligatorisk del av spesialistutdanningen i allmennmedisin, fortsatt skal håndteres av Legeforeningen og ikke flyttes til Helsedirektoratet. Midlene avsatt til gruppeveiledning skal dermed til Legeforeningens utdanningsfond og 10 mill. kroner foreslås flyttet til post 71.</w:t>
      </w:r>
    </w:p>
    <w:p w14:paraId="3AC6A472" w14:textId="77777777" w:rsidR="000A2A2B" w:rsidRPr="007C3060" w:rsidRDefault="000A2A2B" w:rsidP="007C3060">
      <w:r w:rsidRPr="007C3060">
        <w:t xml:space="preserve">Bevilgningen til tilskuddsordningen Nasjonal ALIS og veiledning foreslås økt med 27 mill. kroner, hvorav totalt 9 mill. kroner omdisponeres fra kap. 765, post 21 og kap. 770, post 21. Det ble i </w:t>
      </w:r>
      <w:proofErr w:type="spellStart"/>
      <w:r w:rsidRPr="007C3060">
        <w:t>Prop</w:t>
      </w:r>
      <w:proofErr w:type="spellEnd"/>
      <w:r w:rsidRPr="007C3060">
        <w:t xml:space="preserve">. 1 S (2024–2025), jf. </w:t>
      </w:r>
      <w:proofErr w:type="spellStart"/>
      <w:r w:rsidRPr="007C3060">
        <w:t>Innst</w:t>
      </w:r>
      <w:proofErr w:type="spellEnd"/>
      <w:r w:rsidRPr="007C3060">
        <w:t xml:space="preserve">. 11 S (2024–2025), bevilget 564,9 mill. kroner til tilskudd til Nasjonal ALIS og veiledning. Tilskuddet gis etterskuddsvis. Rekordmange leger har fått ALIS-avtale. Med den foreslåtte økningen er bevilgningen for 2025 estimert til å dekke perioden fra og med september 2024 til og med mai 2025. Inneværende tilskuddsperiode settes derfor til 1. september 2024–31. mai 2025. Tilskuddsordningen er rammestyrt, og tilskuddet til den enkelte mottaker vil i fremtiden måtte avkortes dersom samlet søknadsbeløp overstiger </w:t>
      </w:r>
      <w:r w:rsidRPr="007C3060">
        <w:lastRenderedPageBreak/>
        <w:t>gjeldende bevilgning til ordningen. Det vil for tilskuddsperioden fra 1. juni 2025 gjøres endringer i tilskuddsregelverket for ordningen.</w:t>
      </w:r>
    </w:p>
    <w:p w14:paraId="719F6CEC" w14:textId="77777777" w:rsidR="000A2A2B" w:rsidRPr="007C3060" w:rsidRDefault="000A2A2B" w:rsidP="007C3060">
      <w:r w:rsidRPr="007C3060">
        <w:t>Samlet foreslås bevilgningen på posten økt med 17 mill. kroner.</w:t>
      </w:r>
    </w:p>
    <w:p w14:paraId="0C228CD4" w14:textId="77777777" w:rsidR="000A2A2B" w:rsidRPr="007C3060" w:rsidRDefault="000A2A2B" w:rsidP="007C3060">
      <w:pPr>
        <w:pStyle w:val="b-post"/>
      </w:pPr>
      <w:r w:rsidRPr="007C3060">
        <w:t>Post 63 Investeringstilskudd til heldøgns omsorgsplasser, kan overføres</w:t>
      </w:r>
    </w:p>
    <w:p w14:paraId="2481547E" w14:textId="77777777" w:rsidR="000A2A2B" w:rsidRPr="007C3060" w:rsidRDefault="000A2A2B" w:rsidP="007C3060">
      <w:r w:rsidRPr="007C3060">
        <w:t>Bevilgningen på posten foreslås redusert med 194 mill. kroner som følge av at tilsagnsrammen for investeringstilskudd til heldøgns omsorgs-plasser ikke ble fullt utnyttet i 2024. Posten budsjetteres med tilsagnsramme, tilsagnsfullmakt og bevilgning. I Saldert budsjett 2025 er det lagt til grunn full utnyttelse av tilsagnsrammen i 2024 på 3 000 mill. kroner. Regnskapstallene viser at det ble innvilget tilsagn om tilskudd på 2 445,5 mill. kroner. Utbetalingsprofilen tilsier at 35 pst. av tilsagnsrammen utbetales det andre året.</w:t>
      </w:r>
    </w:p>
    <w:p w14:paraId="10933773" w14:textId="77777777" w:rsidR="000A2A2B" w:rsidRPr="007C3060" w:rsidRDefault="000A2A2B" w:rsidP="007C3060">
      <w:r w:rsidRPr="007C3060">
        <w:t xml:space="preserve">Ved opprettelsen av nytt kap. 760 i </w:t>
      </w:r>
      <w:proofErr w:type="spellStart"/>
      <w:r w:rsidRPr="007C3060">
        <w:t>Prop</w:t>
      </w:r>
      <w:proofErr w:type="spellEnd"/>
      <w:r w:rsidRPr="007C3060">
        <w:t>. 1 S (2024–2025) ble posten ved en inkurie ikke gitt stikkordet «kan overføres». Bevilgningen på posten er summen av forventede utbetalinger av innvilgede tilsagn om tilskudd i det aktuelle budsjettåret. Utbetalingsprofilen er ikke nøyaktig og det er nødvendig å kunne overføre ubrukt bevilgning fra et år til et annet, for å kunne dekke gjenstående forpliktelser som kommer til utbetaling senere enn budsjettert. Det foreslås derfor at posten får stikkordet «kan overføres».</w:t>
      </w:r>
    </w:p>
    <w:p w14:paraId="7AC2E9CD" w14:textId="77777777" w:rsidR="000A2A2B" w:rsidRPr="007C3060" w:rsidRDefault="000A2A2B" w:rsidP="007C3060">
      <w:pPr>
        <w:pStyle w:val="b-post"/>
      </w:pPr>
      <w:r w:rsidRPr="007C3060">
        <w:t>Post 70 Tilskudd, kan nyttes under post 21</w:t>
      </w:r>
    </w:p>
    <w:p w14:paraId="22905210" w14:textId="77777777" w:rsidR="000A2A2B" w:rsidRPr="007C3060" w:rsidRDefault="000A2A2B" w:rsidP="007C3060">
      <w:r w:rsidRPr="007C3060">
        <w:t xml:space="preserve">Bevilgningen på posten foreslås redusert med 8,8 mill. kroner som følge av </w:t>
      </w:r>
      <w:proofErr w:type="spellStart"/>
      <w:r w:rsidRPr="007C3060">
        <w:t>mindreforbruk</w:t>
      </w:r>
      <w:proofErr w:type="spellEnd"/>
      <w:r w:rsidRPr="007C3060">
        <w:t xml:space="preserve"> på tilskuddsordningen til lindrende enheter. Bevilgningen over ny budsjettpost kap. 2755, post 73 foreslås økt med tilsvarende beløp, se omtale der.</w:t>
      </w:r>
    </w:p>
    <w:p w14:paraId="15A8FB91" w14:textId="77777777" w:rsidR="000A2A2B" w:rsidRPr="007C3060" w:rsidRDefault="000A2A2B" w:rsidP="007C3060">
      <w:r w:rsidRPr="007C3060">
        <w:t xml:space="preserve">Videre foreslås det at 1 mill. kroner disponeres til å øke bevilgningen til </w:t>
      </w:r>
      <w:proofErr w:type="spellStart"/>
      <w:r w:rsidRPr="007C3060">
        <w:t>Hospice</w:t>
      </w:r>
      <w:proofErr w:type="spellEnd"/>
      <w:r w:rsidRPr="007C3060">
        <w:t xml:space="preserve"> Sangen innenfor posten, for å dekke utgifter til pasient-reiser.</w:t>
      </w:r>
    </w:p>
    <w:p w14:paraId="0EC7B5A8" w14:textId="77777777" w:rsidR="000A2A2B" w:rsidRPr="007C3060" w:rsidRDefault="000A2A2B" w:rsidP="007C3060">
      <w:pPr>
        <w:pStyle w:val="b-post"/>
      </w:pPr>
      <w:r w:rsidRPr="007C3060">
        <w:t>Post 71 Kompetanse-, forsknings- og rekrutteringstiltak, kan nyttes under post 21</w:t>
      </w:r>
    </w:p>
    <w:p w14:paraId="1E90A88D" w14:textId="77777777" w:rsidR="000A2A2B" w:rsidRPr="007C3060" w:rsidRDefault="000A2A2B" w:rsidP="007C3060">
      <w:r w:rsidRPr="007C3060">
        <w:t>Bevilgningen foreslås økt med 10 mill. kroner til gruppeveiledning for leger som er under spesialisering i allmennmedisin, mot at bevilgningen på kap. 760, post 60 reduseres tilsvarende. Se nærmere omtale på post 60.</w:t>
      </w:r>
    </w:p>
    <w:p w14:paraId="2E9EFDBE" w14:textId="77777777" w:rsidR="000A2A2B" w:rsidRPr="007C3060" w:rsidRDefault="000A2A2B" w:rsidP="007C3060">
      <w:pPr>
        <w:pStyle w:val="b-budkaptit"/>
      </w:pPr>
      <w:r w:rsidRPr="007C3060">
        <w:t>Kap. 765 Psykisk helse, rus og vold</w:t>
      </w:r>
    </w:p>
    <w:p w14:paraId="247937AB" w14:textId="4354AD4F" w:rsidR="000A2A2B" w:rsidRPr="007C3060" w:rsidRDefault="000A2A2B" w:rsidP="007C3060">
      <w:pPr>
        <w:pStyle w:val="b-post"/>
      </w:pPr>
      <w:r w:rsidRPr="007C3060">
        <w:t>Post 21 Spesielle driftsutgifter, kan overføres, kan nyttes under post 72</w:t>
      </w:r>
    </w:p>
    <w:p w14:paraId="59596633" w14:textId="77777777" w:rsidR="000A2A2B" w:rsidRPr="007C3060" w:rsidRDefault="000A2A2B" w:rsidP="007C3060">
      <w:r w:rsidRPr="007C3060">
        <w:t>Det foreslås å flytte 2,5 mill. kroner fra kap. 765, post 21 til kap. 765, post 74 til implementering av nasjonal veileder for psykisk helsearbeid barn og unge. Det vises til nærmere omtale på post 74.</w:t>
      </w:r>
    </w:p>
    <w:p w14:paraId="55B28C84" w14:textId="77777777" w:rsidR="000A2A2B" w:rsidRPr="007C3060" w:rsidRDefault="000A2A2B" w:rsidP="007C3060">
      <w:r w:rsidRPr="007C3060">
        <w:t xml:space="preserve">Bevilgningen foreslås redusert med 6,5 mill. kroner mot at bevilgningen på kap. 760, post 60 øker tilsvarende. Bevilgningen på posten dekker spesielle driftsutgifter til ulike tiltak og politiske prioriteringer innen psykisk helse-, rus- og voldsfeltet. Det er udisponerte midler på </w:t>
      </w:r>
      <w:r w:rsidRPr="007C3060">
        <w:lastRenderedPageBreak/>
        <w:t>posten som foreslås disponert til å dekke merbehov til ALIS, jf. nærmere omtale på kap. 760, post 60.</w:t>
      </w:r>
    </w:p>
    <w:p w14:paraId="3DC58390" w14:textId="77777777" w:rsidR="000A2A2B" w:rsidRPr="007C3060" w:rsidRDefault="000A2A2B" w:rsidP="007C3060">
      <w:r w:rsidRPr="007C3060">
        <w:t>Samlet foreslås bevilgningen redusert med 9 mill. kroner.</w:t>
      </w:r>
    </w:p>
    <w:p w14:paraId="5D54FC75" w14:textId="22898C50" w:rsidR="000A2A2B" w:rsidRPr="007C3060" w:rsidRDefault="000A2A2B" w:rsidP="007C3060">
      <w:pPr>
        <w:pStyle w:val="b-post"/>
      </w:pPr>
      <w:r w:rsidRPr="007C3060">
        <w:t>Post 72 Frivillig arbeid mv., kan overføres, kan nyttes under post 21</w:t>
      </w:r>
    </w:p>
    <w:p w14:paraId="206609D8" w14:textId="77777777" w:rsidR="000A2A2B" w:rsidRPr="007C3060" w:rsidRDefault="000A2A2B" w:rsidP="007C3060">
      <w:r w:rsidRPr="007C3060">
        <w:t xml:space="preserve">Bevilgningen foreslås redusert med 3 mill. kroner, som følge av at det er </w:t>
      </w:r>
      <w:proofErr w:type="spellStart"/>
      <w:r w:rsidRPr="007C3060">
        <w:t>mindreforbruk</w:t>
      </w:r>
      <w:proofErr w:type="spellEnd"/>
      <w:r w:rsidRPr="007C3060">
        <w:t xml:space="preserve"> på tilskuddsordningen til ideelle og frivillige organisasjoner som driver aktivitetstilbud innen psykisk helse- og rusfeltet mv. Midlene foreslås omdisponert til Statens helsetilsyn for oppfølging av restanser hos Statsforvalterne. Se nærmere omtale under kap. 748, post 21.</w:t>
      </w:r>
    </w:p>
    <w:p w14:paraId="0594682F" w14:textId="77777777" w:rsidR="000A2A2B" w:rsidRPr="007C3060" w:rsidRDefault="000A2A2B" w:rsidP="007C3060">
      <w:pPr>
        <w:pStyle w:val="b-post"/>
      </w:pPr>
      <w:r w:rsidRPr="007C3060">
        <w:t>Post 74 Kompetansesentre, kan overføres</w:t>
      </w:r>
    </w:p>
    <w:p w14:paraId="296D75D8" w14:textId="77777777" w:rsidR="000A2A2B" w:rsidRPr="007C3060" w:rsidRDefault="000A2A2B" w:rsidP="007C3060">
      <w:r w:rsidRPr="007C3060">
        <w:t>Det foreslås å øke bevilgningen med 2,5 mill. kroner mot tilsvarende reduksjon på kap. 765, post 21. Det er bevilget midler til implementering av nasjonal veileder for psykisk helsearbeid barn og unge i statsbudsjettet for 2025. For å styrke implementeringsarbeidet og realisering av innholdet i veilederen foreslås det at 2,5 mill. kroner flyttes til Regionsentrene for barn og unges psykiske helse (RBUP)/Regionalt kunnskapssenter for barn og unge (RKBU). Sentrene jobber for å øke kompetansen og kvaliteten i tjenestene som jobber med barn og unges psykiske helse.</w:t>
      </w:r>
    </w:p>
    <w:p w14:paraId="674E9DBB" w14:textId="77777777" w:rsidR="000A2A2B" w:rsidRPr="007C3060" w:rsidRDefault="000A2A2B" w:rsidP="007C3060">
      <w:pPr>
        <w:pStyle w:val="b-post"/>
      </w:pPr>
      <w:r w:rsidRPr="007C3060">
        <w:t>Post 75 Vold og traumatisk stress, kan overføres</w:t>
      </w:r>
    </w:p>
    <w:p w14:paraId="4E060CF6" w14:textId="77777777" w:rsidR="000A2A2B" w:rsidRPr="007C3060" w:rsidRDefault="000A2A2B" w:rsidP="007C3060">
      <w:r w:rsidRPr="007C3060">
        <w:t>Bevilgningen foreslås økt med 1,5 mill. kroner for å styrke de regionale ressurssentrene om vold, traumatisk stress og selvmordsforebygging (RVTS) og Nasjonalt kunnskapssenter om vold og traumatisk stress (NKVTS) sitt arbeid mot menneskehandel.</w:t>
      </w:r>
    </w:p>
    <w:p w14:paraId="592C2723" w14:textId="77777777" w:rsidR="000A2A2B" w:rsidRPr="007C3060" w:rsidRDefault="000A2A2B" w:rsidP="007C3060">
      <w:pPr>
        <w:pStyle w:val="b-budkaptit"/>
      </w:pPr>
      <w:r w:rsidRPr="007C3060">
        <w:t>Kap. 770 Tannhelsetjenester</w:t>
      </w:r>
    </w:p>
    <w:p w14:paraId="0DE64787" w14:textId="11D8A006" w:rsidR="000A2A2B" w:rsidRPr="007C3060" w:rsidRDefault="000A2A2B" w:rsidP="007C3060">
      <w:pPr>
        <w:pStyle w:val="b-post"/>
      </w:pPr>
      <w:r w:rsidRPr="007C3060">
        <w:t>Post 21 Spesielle driftsutgifter, kan overføres, kan nyttes under post 70</w:t>
      </w:r>
    </w:p>
    <w:p w14:paraId="5652C967" w14:textId="77777777" w:rsidR="000A2A2B" w:rsidRPr="007C3060" w:rsidRDefault="000A2A2B" w:rsidP="007C3060">
      <w:r w:rsidRPr="007C3060">
        <w:t>Bevilgningen foreslås redusert med 2,5 mill. kroner mot at bevilgningen på kap. 760, post 60 øker tilsvarende. Bevilgningen på posten dekker spesielle driftsutgifter til ulike tiltak og politiske prioriteringer innen tannhelsetjenestene. Det er udisponerte midler på posten som foreslås disponert til å dekke merbehov til ALIS, jf. nærmere omtale på kap. 760, post 60.</w:t>
      </w:r>
    </w:p>
    <w:p w14:paraId="41055992" w14:textId="77777777" w:rsidR="000A2A2B" w:rsidRPr="007C3060" w:rsidRDefault="000A2A2B" w:rsidP="007C3060">
      <w:pPr>
        <w:pStyle w:val="b-budkaptit"/>
      </w:pPr>
      <w:r w:rsidRPr="007C3060">
        <w:t>Kap. 780 Forskning</w:t>
      </w:r>
    </w:p>
    <w:p w14:paraId="054A1820" w14:textId="77777777" w:rsidR="000A2A2B" w:rsidRPr="007C3060" w:rsidRDefault="000A2A2B" w:rsidP="007C3060">
      <w:pPr>
        <w:pStyle w:val="b-post"/>
      </w:pPr>
      <w:r w:rsidRPr="007C3060">
        <w:t>Post 70 Norges forskningsråd, kan overføres</w:t>
      </w:r>
    </w:p>
    <w:p w14:paraId="068C2E30" w14:textId="77777777" w:rsidR="000A2A2B" w:rsidRPr="007C3060" w:rsidRDefault="000A2A2B" w:rsidP="007C3060">
      <w:r w:rsidRPr="007C3060">
        <w:t>Bevilgningen foreslås redusert med 2,5 mill. kroner mot tilsvarende økning på Kunnskapsdepartementets kap. 285 post 21. Helse- og omsorgsdepartementet har bedt Forskningsrådet om å utrede muligheten for å inkludere kjønnsvariabler i HelseOmsorg21-monitoren. Rammeoverføringen av midler skal gå til arbeidet med utvikling av monitoren, inkludert oppdraget om kjønnsvariabler.</w:t>
      </w:r>
    </w:p>
    <w:p w14:paraId="4AD4A182" w14:textId="77777777" w:rsidR="000A2A2B" w:rsidRPr="007C3060" w:rsidRDefault="000A2A2B" w:rsidP="007C3060">
      <w:r w:rsidRPr="007C3060">
        <w:lastRenderedPageBreak/>
        <w:t>Det foreslås å øke bevilgningen med 38,2 mill. kroner, i tråd med de anslåtte forpliktelser som forventes å komme til kontant utbetaling i 2025.</w:t>
      </w:r>
    </w:p>
    <w:p w14:paraId="5A44C94C" w14:textId="77777777" w:rsidR="000A2A2B" w:rsidRPr="007C3060" w:rsidRDefault="000A2A2B" w:rsidP="007C3060">
      <w:r w:rsidRPr="007C3060">
        <w:t>Det foreslås å redusere tilsagnsrammen med 30 mill. kroner i inneværende år. Forskningsrådet skal foreta en større samlet utlysning av forskning på kvinners helse og kjønnsperspektivet i tråd med regjeringens Kvinnehelsestrategi i 2026, og departementet vil foreslå en tilsvarende økning i tilsagnsrammen for 2026.</w:t>
      </w:r>
    </w:p>
    <w:p w14:paraId="1BEB56FB" w14:textId="77777777" w:rsidR="000A2A2B" w:rsidRPr="007C3060" w:rsidRDefault="000A2A2B" w:rsidP="007C3060">
      <w:r w:rsidRPr="007C3060">
        <w:t>Samlet foreslås bevilgningen økt med 35,7 mill. kroner.</w:t>
      </w:r>
    </w:p>
    <w:p w14:paraId="2E74A404" w14:textId="77777777" w:rsidR="000A2A2B" w:rsidRPr="007C3060" w:rsidRDefault="000A2A2B" w:rsidP="007C3060">
      <w:pPr>
        <w:pStyle w:val="b-budkaptit"/>
      </w:pPr>
      <w:r w:rsidRPr="007C3060">
        <w:t>Kap. 781 Forsøk og utvikling mv.</w:t>
      </w:r>
    </w:p>
    <w:p w14:paraId="4BC4F635" w14:textId="77777777" w:rsidR="000A2A2B" w:rsidRPr="007C3060" w:rsidRDefault="000A2A2B" w:rsidP="007C3060">
      <w:pPr>
        <w:pStyle w:val="b-post"/>
      </w:pPr>
      <w:r w:rsidRPr="007C3060">
        <w:t>Post 21 Spesielle driftsutgifter, kan nyttes under post 79</w:t>
      </w:r>
    </w:p>
    <w:p w14:paraId="5E263767" w14:textId="77777777" w:rsidR="000A2A2B" w:rsidRPr="007C3060" w:rsidRDefault="000A2A2B" w:rsidP="007C3060">
      <w:r w:rsidRPr="007C3060">
        <w:t>Bevilgningen foreslås redusert med 0,35 mill. kroner mot tilsvarende økning på kap. 732, post 70. Omdisponeringen skal hensynta endrede ansvarsforhold knyttet til abortnemnder fra 1. juni 2025.</w:t>
      </w:r>
    </w:p>
    <w:p w14:paraId="7B2856B0" w14:textId="77777777" w:rsidR="000A2A2B" w:rsidRPr="007C3060" w:rsidRDefault="000A2A2B" w:rsidP="007C3060">
      <w:pPr>
        <w:pStyle w:val="b-budkaptit"/>
      </w:pPr>
      <w:r w:rsidRPr="007C3060">
        <w:t>Kap. 2711 Spesialisthelsetjeneste mv.</w:t>
      </w:r>
    </w:p>
    <w:p w14:paraId="559289D5" w14:textId="77777777" w:rsidR="000A2A2B" w:rsidRPr="007C3060" w:rsidRDefault="000A2A2B" w:rsidP="007C3060">
      <w:pPr>
        <w:pStyle w:val="b-post"/>
      </w:pPr>
      <w:r w:rsidRPr="007C3060">
        <w:t>Post 70 Spesialisthjelp</w:t>
      </w:r>
    </w:p>
    <w:p w14:paraId="71BE9FCB"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høyere enn anslått i saldert budsjett. Bevilgningen foreslås økt med 18,9 mill. kroner.</w:t>
      </w:r>
    </w:p>
    <w:p w14:paraId="390532C5" w14:textId="77777777" w:rsidR="000A2A2B" w:rsidRPr="007C3060" w:rsidRDefault="000A2A2B" w:rsidP="007C3060">
      <w:pPr>
        <w:pStyle w:val="b-post"/>
      </w:pPr>
      <w:r w:rsidRPr="007C3060">
        <w:t>Post 71 Psykologhjelp</w:t>
      </w:r>
    </w:p>
    <w:p w14:paraId="17798B82"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lavere enn anslått i saldert budsjett. Bevilgningen foreslås redusert med 34,9 mill. kroner.</w:t>
      </w:r>
    </w:p>
    <w:p w14:paraId="2CE9A8D5" w14:textId="77777777" w:rsidR="000A2A2B" w:rsidRPr="007C3060" w:rsidRDefault="000A2A2B" w:rsidP="007C3060">
      <w:pPr>
        <w:pStyle w:val="b-post"/>
      </w:pPr>
      <w:r w:rsidRPr="007C3060">
        <w:t>Post 72 Tannbehandling</w:t>
      </w:r>
    </w:p>
    <w:p w14:paraId="1AFECC79"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høyere enn anslått i saldert budsjett. Bevilgningen foreslås økt med 33 mill. kroner.</w:t>
      </w:r>
    </w:p>
    <w:p w14:paraId="3BF6F04F" w14:textId="77777777" w:rsidR="000A2A2B" w:rsidRPr="007C3060" w:rsidRDefault="000A2A2B" w:rsidP="007C3060">
      <w:r w:rsidRPr="007C3060">
        <w:t xml:space="preserve">Ved stortingets behandling av </w:t>
      </w:r>
      <w:proofErr w:type="spellStart"/>
      <w:r w:rsidRPr="007C3060">
        <w:t>Prop</w:t>
      </w:r>
      <w:proofErr w:type="spellEnd"/>
      <w:r w:rsidRPr="007C3060">
        <w:t xml:space="preserve">. 118 S (2022–2023), jf. </w:t>
      </w:r>
      <w:proofErr w:type="spellStart"/>
      <w:r w:rsidRPr="007C3060">
        <w:t>Innst</w:t>
      </w:r>
      <w:proofErr w:type="spellEnd"/>
      <w:r w:rsidRPr="007C3060">
        <w:t>. 490 S (2022–2023) ble regjeringen bedt om å sikre at pasienter med psykiske helseplager som etter forskrift om stønad til dekning av utgifter til tannbehandling § 1 nr. 14 har rett til stønad til tannbehandling, beholder rettighetene i seks måneder etter at de sterkt nedsatte evnene til egenomsorg er gjenopprettet. Det foreslås å øke bevilgningen med 3,5 mill. kroner til oppfølging av anmodningsvedtak nr. 929.</w:t>
      </w:r>
    </w:p>
    <w:p w14:paraId="0B6DE2F1" w14:textId="77777777" w:rsidR="000A2A2B" w:rsidRPr="007C3060" w:rsidRDefault="000A2A2B" w:rsidP="007C3060">
      <w:r w:rsidRPr="007C3060">
        <w:t>Samlet foreslås bevilgningen økt med 36,5 mill. kroner.</w:t>
      </w:r>
    </w:p>
    <w:p w14:paraId="11A7DBAB" w14:textId="77777777" w:rsidR="000A2A2B" w:rsidRPr="007C3060" w:rsidRDefault="000A2A2B" w:rsidP="007C3060">
      <w:pPr>
        <w:pStyle w:val="b-post"/>
      </w:pPr>
      <w:r w:rsidRPr="007C3060">
        <w:t>Post 76 Private laboratorier og røntgeninstitutt</w:t>
      </w:r>
    </w:p>
    <w:p w14:paraId="6FA2F7B9"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høyere enn anslått i saldert budsjett. Bevilgningen foreslås økt med 163,6 mill. kroner.</w:t>
      </w:r>
    </w:p>
    <w:p w14:paraId="5A0674C8" w14:textId="77777777" w:rsidR="000A2A2B" w:rsidRPr="007C3060" w:rsidRDefault="000A2A2B" w:rsidP="007C3060">
      <w:r w:rsidRPr="007C3060">
        <w:lastRenderedPageBreak/>
        <w:t xml:space="preserve">Den sterke utgiftsveksten skyldes vekst i refusjonene til laboratorieanalyser. Disse refusjonene ble nedjustert fra 2025, jf. omtale i </w:t>
      </w:r>
      <w:proofErr w:type="spellStart"/>
      <w:r w:rsidRPr="007C3060">
        <w:t>Prop</w:t>
      </w:r>
      <w:proofErr w:type="spellEnd"/>
      <w:r w:rsidRPr="007C3060">
        <w:t>. 1 S (2024–2025). Helse- og omsorgsdepartementet vil vurdere en videre nedjustering fra 2026. Det vises også til omtale under kap. 732, post 77.</w:t>
      </w:r>
    </w:p>
    <w:p w14:paraId="44BB112B" w14:textId="77777777" w:rsidR="000A2A2B" w:rsidRPr="007C3060" w:rsidRDefault="000A2A2B" w:rsidP="007C3060">
      <w:pPr>
        <w:pStyle w:val="b-budkaptit"/>
      </w:pPr>
      <w:r w:rsidRPr="007C3060">
        <w:t>Kap. 2751 Legemidler mv.</w:t>
      </w:r>
    </w:p>
    <w:p w14:paraId="578E89C4" w14:textId="77777777" w:rsidR="000A2A2B" w:rsidRPr="007C3060" w:rsidRDefault="000A2A2B" w:rsidP="007C3060">
      <w:pPr>
        <w:pStyle w:val="b-post"/>
      </w:pPr>
      <w:r w:rsidRPr="007C3060">
        <w:t>Post 70 Legemidler</w:t>
      </w:r>
    </w:p>
    <w:p w14:paraId="12481AAB"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lavere enn anslått i saldert budsjett. Bevilgningen foreslås redusert med 784,9 mill. kroner.</w:t>
      </w:r>
    </w:p>
    <w:p w14:paraId="7333CC43" w14:textId="77777777" w:rsidR="000A2A2B" w:rsidRPr="007C3060" w:rsidRDefault="000A2A2B" w:rsidP="007C3060">
      <w:pPr>
        <w:pStyle w:val="b-post"/>
      </w:pPr>
      <w:r w:rsidRPr="007C3060">
        <w:t>Post 71 Legeerklæringer</w:t>
      </w:r>
    </w:p>
    <w:p w14:paraId="253024BF"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høyere enn anslått i saldert budsjett. Bevilgningen foreslås økt med 15 mill. kroner.</w:t>
      </w:r>
    </w:p>
    <w:p w14:paraId="42FE7759" w14:textId="77777777" w:rsidR="000A2A2B" w:rsidRPr="007C3060" w:rsidRDefault="000A2A2B" w:rsidP="007C3060">
      <w:pPr>
        <w:pStyle w:val="b-post"/>
      </w:pPr>
      <w:r w:rsidRPr="007C3060">
        <w:t>Post 72 Medisinsk forbruksmateriell</w:t>
      </w:r>
    </w:p>
    <w:p w14:paraId="37356182"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lavere enn anslått i saldert budsjett. Bevilgningen foreslås redusert med 30 mill. kroner.</w:t>
      </w:r>
    </w:p>
    <w:p w14:paraId="15EA7958" w14:textId="77777777" w:rsidR="000A2A2B" w:rsidRPr="007C3060" w:rsidRDefault="000A2A2B" w:rsidP="007C3060">
      <w:pPr>
        <w:pStyle w:val="b-budkaptit"/>
      </w:pPr>
      <w:r w:rsidRPr="007C3060">
        <w:t>Kap. 2752 Refusjon av egenbetaling</w:t>
      </w:r>
    </w:p>
    <w:p w14:paraId="5F3DD286" w14:textId="77777777" w:rsidR="000A2A2B" w:rsidRPr="007C3060" w:rsidRDefault="000A2A2B" w:rsidP="007C3060">
      <w:pPr>
        <w:pStyle w:val="b-post"/>
      </w:pPr>
      <w:r w:rsidRPr="007C3060">
        <w:t>Post 72 Egenandelstak</w:t>
      </w:r>
    </w:p>
    <w:p w14:paraId="61C2494D"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høyere enn anslått i saldert budsjett. Bevilgningen foreslås økt med 149,3 mill. kroner.</w:t>
      </w:r>
    </w:p>
    <w:p w14:paraId="7582FB04" w14:textId="77777777" w:rsidR="000A2A2B" w:rsidRPr="007C3060" w:rsidRDefault="000A2A2B" w:rsidP="007C3060">
      <w:r w:rsidRPr="007C3060">
        <w:t xml:space="preserve">Som følge av </w:t>
      </w:r>
      <w:proofErr w:type="spellStart"/>
      <w:r w:rsidRPr="007C3060">
        <w:t>Helfos</w:t>
      </w:r>
      <w:proofErr w:type="spellEnd"/>
      <w:r w:rsidRPr="007C3060">
        <w:t xml:space="preserve"> praktisering av lovkravet om direkte oppgjør, har noen pasienter urettmessig betalt egenandel som de ikke har fått godskrevet på egenandelstaket. For perioden 1. januar 2022 til 31. januar 2024 utgjør det 2 575 pasienter. Disse pasientene har krav på tilbakebetaling. </w:t>
      </w:r>
      <w:proofErr w:type="spellStart"/>
      <w:r w:rsidRPr="007C3060">
        <w:t>Helfos</w:t>
      </w:r>
      <w:proofErr w:type="spellEnd"/>
      <w:r w:rsidRPr="007C3060">
        <w:t xml:space="preserve"> beregninger tilsier et beløp på rundt 1,05 mill. kroner samlet. I tillegg skal det beregnes renter.</w:t>
      </w:r>
    </w:p>
    <w:p w14:paraId="3CE4C5CF" w14:textId="77777777" w:rsidR="000A2A2B" w:rsidRPr="007C3060" w:rsidRDefault="000A2A2B" w:rsidP="007C3060">
      <w:pPr>
        <w:pStyle w:val="b-budkaptit"/>
      </w:pPr>
      <w:r w:rsidRPr="007C3060">
        <w:t>Kap. 2755 Helsetjenester i kommunene mv.</w:t>
      </w:r>
    </w:p>
    <w:p w14:paraId="2F856BB2" w14:textId="3E7FBA2E" w:rsidR="000A2A2B" w:rsidRPr="007C3060" w:rsidRDefault="000A2A2B" w:rsidP="007C3060">
      <w:pPr>
        <w:pStyle w:val="b-post"/>
      </w:pPr>
      <w:r w:rsidRPr="007C3060">
        <w:t>Post 62 Fastlønnsordning fysioterapeuter, kan nyttes under post 71</w:t>
      </w:r>
    </w:p>
    <w:p w14:paraId="2C8148CF"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lavere enn anslått i saldert budsjett. Bevilgningen foreslås redusert med 49 mill. kroner.</w:t>
      </w:r>
    </w:p>
    <w:p w14:paraId="76D2E910" w14:textId="77777777" w:rsidR="000A2A2B" w:rsidRPr="007C3060" w:rsidRDefault="000A2A2B" w:rsidP="007C3060">
      <w:pPr>
        <w:pStyle w:val="b-post"/>
      </w:pPr>
      <w:r w:rsidRPr="007C3060">
        <w:t>Post 70 Allmennlegehjelp</w:t>
      </w:r>
    </w:p>
    <w:p w14:paraId="1444100A"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høyere enn anslått i saldert budsjett. Bevilgningen foreslås økt med 108,1 mill. kroner.</w:t>
      </w:r>
    </w:p>
    <w:p w14:paraId="1228019D" w14:textId="77777777" w:rsidR="000A2A2B" w:rsidRPr="007C3060" w:rsidRDefault="000A2A2B" w:rsidP="007C3060">
      <w:r w:rsidRPr="007C3060">
        <w:lastRenderedPageBreak/>
        <w:t>Det foreslås å omdisponere 4 mill. kroner fra introduksjonsavtaler, til kap. 748, post 21 til Statens helsetilsyn for oppfølging av restanser hos statsforvalterne. Se nærmere omtale under kap. 748, post 21.</w:t>
      </w:r>
    </w:p>
    <w:p w14:paraId="23D29D6F" w14:textId="77777777" w:rsidR="000A2A2B" w:rsidRPr="007C3060" w:rsidRDefault="000A2A2B" w:rsidP="007C3060">
      <w:r w:rsidRPr="007C3060">
        <w:t>Til sammen foreslås bevilgningen økt med 104,1 mill. kroner.</w:t>
      </w:r>
    </w:p>
    <w:p w14:paraId="61EE640B" w14:textId="77777777" w:rsidR="000A2A2B" w:rsidRPr="007C3060" w:rsidRDefault="000A2A2B" w:rsidP="007C3060">
      <w:pPr>
        <w:pStyle w:val="b-post"/>
      </w:pPr>
      <w:r w:rsidRPr="007C3060">
        <w:t>Post 71 Fysioterapi, kan nyttes under post 62</w:t>
      </w:r>
    </w:p>
    <w:p w14:paraId="1180E718"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lavere enn anslått i saldert budsjett. Bevilgningen foreslås redusert med 15 mill. kroner.</w:t>
      </w:r>
    </w:p>
    <w:p w14:paraId="192E492E" w14:textId="77777777" w:rsidR="000A2A2B" w:rsidRPr="007C3060" w:rsidRDefault="000A2A2B" w:rsidP="007C3060">
      <w:pPr>
        <w:pStyle w:val="b-post"/>
      </w:pPr>
      <w:r w:rsidRPr="007C3060">
        <w:t>Post 72 Jordmorhjelp</w:t>
      </w:r>
    </w:p>
    <w:p w14:paraId="1FBA2BCD"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lavere enn anslått i saldert budsjett. Bevilgningen foreslås redusert med 4 mill. kroner.</w:t>
      </w:r>
    </w:p>
    <w:p w14:paraId="442F12E4" w14:textId="77777777" w:rsidR="000A2A2B" w:rsidRPr="007C3060" w:rsidRDefault="000A2A2B" w:rsidP="007C3060">
      <w:pPr>
        <w:pStyle w:val="b-post"/>
      </w:pPr>
      <w:r w:rsidRPr="007C3060">
        <w:t>Post 73 (Ny) Kiropraktorbehandling</w:t>
      </w:r>
    </w:p>
    <w:p w14:paraId="5CF4903D" w14:textId="77777777" w:rsidR="000A2A2B" w:rsidRPr="007C3060" w:rsidRDefault="000A2A2B" w:rsidP="007C3060">
      <w:r w:rsidRPr="007C3060">
        <w:t xml:space="preserve">Det ble i </w:t>
      </w:r>
      <w:proofErr w:type="spellStart"/>
      <w:r w:rsidRPr="007C3060">
        <w:t>Prop</w:t>
      </w:r>
      <w:proofErr w:type="spellEnd"/>
      <w:r w:rsidRPr="007C3060">
        <w:t xml:space="preserve">. 1 S (2024–2025) foreslått å avvikle folketrygdens refusjonsordning til kiropraktor-behandling fra 1. januar 2025, jf. påfølgende forslag til lovendring, se </w:t>
      </w:r>
      <w:proofErr w:type="spellStart"/>
      <w:r w:rsidRPr="007C3060">
        <w:t>Prop</w:t>
      </w:r>
      <w:proofErr w:type="spellEnd"/>
      <w:r w:rsidRPr="007C3060">
        <w:t xml:space="preserve">. 39 L (2024–2025). I </w:t>
      </w:r>
      <w:proofErr w:type="spellStart"/>
      <w:r w:rsidRPr="007C3060">
        <w:t>Innst</w:t>
      </w:r>
      <w:proofErr w:type="spellEnd"/>
      <w:r w:rsidRPr="007C3060">
        <w:t>. 175 L (2024–2025) ble regjeringen bedt om å komme tilbake til Stortinget med et forslag om en minimumstakst som gir grunnlag for å fortsette datagrunnlaget i KPR. Formålet er å opprettholde systemene slik at data kan samles inn i påvente av en mer langvarig løsning for datainnsamling i tråd med ny forskrift. Det foreslås å videreføre folketrygdfinansieringen for kiropraktorer med 4 kroner per takst fra 1. januar 2025. Forslaget anslås å ha en årlig kostnad på 8,8 mill. kroner. Det foreslås derfor å øke bevilgningen med 8,8 mill. kroner mot tilsvarende reduksjon på kap. 760, post 70.</w:t>
      </w:r>
    </w:p>
    <w:p w14:paraId="2D4E6514" w14:textId="77777777" w:rsidR="000A2A2B" w:rsidRPr="007C3060" w:rsidRDefault="000A2A2B" w:rsidP="007C3060">
      <w:r w:rsidRPr="007C3060">
        <w:t>I tillegg anslår Helsedirektoratet at det vil være om lag 12 mill. kroner i utbetalinger inneværende år som følge av etterslep i refusjonsutbetalinger fra 2024, ettersom behandlerne sender refusjonskrav etterskuddsvis.</w:t>
      </w:r>
    </w:p>
    <w:p w14:paraId="33887FD7" w14:textId="77777777" w:rsidR="000A2A2B" w:rsidRPr="007C3060" w:rsidRDefault="000A2A2B" w:rsidP="007C3060">
      <w:r w:rsidRPr="007C3060">
        <w:t>Posten foreslås på denne bakgrunn bevilget med 20,8 mill. kroner i 2025.</w:t>
      </w:r>
    </w:p>
    <w:p w14:paraId="169D3133" w14:textId="77777777" w:rsidR="000A2A2B" w:rsidRPr="007C3060" w:rsidRDefault="000A2A2B" w:rsidP="007C3060">
      <w:pPr>
        <w:pStyle w:val="b-post"/>
      </w:pPr>
      <w:r w:rsidRPr="007C3060">
        <w:t xml:space="preserve">Post 75 Logopedisk og </w:t>
      </w:r>
      <w:proofErr w:type="spellStart"/>
      <w:r w:rsidRPr="007C3060">
        <w:t>ortoptisk</w:t>
      </w:r>
      <w:proofErr w:type="spellEnd"/>
      <w:r w:rsidRPr="007C3060">
        <w:t xml:space="preserve"> behandling</w:t>
      </w:r>
    </w:p>
    <w:p w14:paraId="2775400E"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lavere enn anslått i saldert budsjett. Bevilgningen foreslås redusert med 11 mill. kroner.</w:t>
      </w:r>
    </w:p>
    <w:p w14:paraId="58271A59" w14:textId="77777777" w:rsidR="000A2A2B" w:rsidRPr="007C3060" w:rsidRDefault="000A2A2B" w:rsidP="007C3060">
      <w:pPr>
        <w:pStyle w:val="b-budkaptit"/>
      </w:pPr>
      <w:r w:rsidRPr="007C3060">
        <w:t>Kap. 2756 Andre helsetjenester</w:t>
      </w:r>
    </w:p>
    <w:p w14:paraId="6F2AAA30" w14:textId="77777777" w:rsidR="000A2A2B" w:rsidRPr="007C3060" w:rsidRDefault="000A2A2B" w:rsidP="007C3060">
      <w:pPr>
        <w:pStyle w:val="b-post"/>
      </w:pPr>
      <w:r w:rsidRPr="007C3060">
        <w:t>Post 70 Helsetjenester i annet EØS-land</w:t>
      </w:r>
    </w:p>
    <w:p w14:paraId="52CFD5D1"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høyere enn anslått i saldert budsjett. Bevilgningen foreslås økt med 2 mill. kroner.</w:t>
      </w:r>
    </w:p>
    <w:p w14:paraId="0A4A9FCD" w14:textId="77777777" w:rsidR="000A2A2B" w:rsidRPr="007C3060" w:rsidRDefault="000A2A2B" w:rsidP="007C3060">
      <w:pPr>
        <w:pStyle w:val="b-post"/>
      </w:pPr>
      <w:r w:rsidRPr="007C3060">
        <w:lastRenderedPageBreak/>
        <w:t>Post 71 Helsetjenester i utlandet mv.</w:t>
      </w:r>
    </w:p>
    <w:p w14:paraId="6BE12C06"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lavere enn anslått i saldert budsjett. Bevilgningen foreslås redusert med 155 mill. kroner.</w:t>
      </w:r>
    </w:p>
    <w:p w14:paraId="3862D6FE" w14:textId="77777777" w:rsidR="000A2A2B" w:rsidRPr="007C3060" w:rsidRDefault="000A2A2B" w:rsidP="007C3060">
      <w:pPr>
        <w:pStyle w:val="b-post"/>
      </w:pPr>
      <w:r w:rsidRPr="007C3060">
        <w:t>Post 72 Helsetjenester til utenlandsboende mv.</w:t>
      </w:r>
    </w:p>
    <w:p w14:paraId="42DEAF02" w14:textId="77777777" w:rsidR="000A2A2B" w:rsidRPr="007C3060" w:rsidRDefault="000A2A2B" w:rsidP="007C3060">
      <w:r w:rsidRPr="007C3060">
        <w:t xml:space="preserve">Regnskap for 2024 og </w:t>
      </w:r>
      <w:proofErr w:type="spellStart"/>
      <w:r w:rsidRPr="007C3060">
        <w:t>utgiftsutviklingen</w:t>
      </w:r>
      <w:proofErr w:type="spellEnd"/>
      <w:r w:rsidRPr="007C3060">
        <w:t xml:space="preserve"> per februar 2025 tilsier at utgiftene vil bli lavere enn anslått i saldert budsjett. Bevilgningen foreslås redusert med 65 mill. kroner.</w:t>
      </w:r>
    </w:p>
    <w:p w14:paraId="73ECA64E" w14:textId="77777777" w:rsidR="000A2A2B" w:rsidRPr="007C3060" w:rsidRDefault="000A2A2B" w:rsidP="007C3060">
      <w:pPr>
        <w:pStyle w:val="b-budkaptit"/>
      </w:pPr>
      <w:r w:rsidRPr="007C3060">
        <w:t>Kap. 5631 Aksjer i AS Vinmonopolet</w:t>
      </w:r>
    </w:p>
    <w:p w14:paraId="58B50295" w14:textId="77777777" w:rsidR="000A2A2B" w:rsidRPr="007C3060" w:rsidRDefault="000A2A2B" w:rsidP="007C3060">
      <w:pPr>
        <w:pStyle w:val="b-post"/>
      </w:pPr>
      <w:r w:rsidRPr="007C3060">
        <w:t>Post 85 Statens overskuddsandel</w:t>
      </w:r>
    </w:p>
    <w:p w14:paraId="3330FEE6" w14:textId="77777777" w:rsidR="000A2A2B" w:rsidRPr="007C3060" w:rsidRDefault="000A2A2B" w:rsidP="007C3060">
      <w:r w:rsidRPr="007C3060">
        <w:t>Bevilgningen foreslås økt med 10,8 mill. kroner. Statens andel av driftsoverskuddet til AS Vinmonopolet er i 2025 fastsatt til 50 pst. av resultatet i 2024, før ekstraordinære poster. I 2024 ble overskuddsandelen 90,3 mill. kroner. Dette er 10,8 mill. kroner høyere enn budsjettert.</w:t>
      </w:r>
    </w:p>
    <w:p w14:paraId="79AF7F30" w14:textId="77777777" w:rsidR="000A2A2B" w:rsidRPr="007C3060" w:rsidRDefault="000A2A2B" w:rsidP="007C3060">
      <w:pPr>
        <w:pStyle w:val="Undertittel"/>
      </w:pPr>
      <w:r w:rsidRPr="007C3060">
        <w:t>Andre saker</w:t>
      </w:r>
    </w:p>
    <w:p w14:paraId="5CAF5922" w14:textId="77777777" w:rsidR="000A2A2B" w:rsidRPr="007C3060" w:rsidRDefault="000A2A2B" w:rsidP="007C3060">
      <w:pPr>
        <w:pStyle w:val="avsnitt-undertittel"/>
      </w:pPr>
      <w:r w:rsidRPr="007C3060">
        <w:t>Overføring av finansieringsansvar for legemidler til de regionale helseforetakene</w:t>
      </w:r>
    </w:p>
    <w:p w14:paraId="4DFB6191" w14:textId="77777777" w:rsidR="000A2A2B" w:rsidRPr="007C3060" w:rsidRDefault="000A2A2B" w:rsidP="007C3060">
      <w:r w:rsidRPr="007C3060">
        <w:t xml:space="preserve">Det tas sikte på å overføre finansieringsansvaret for legemidler ved alvorlig, fremskreden Parkinsons sykdom og legemidler til forebygging av alvorlige nedre luftveisinfeksjoner forårsaket av RS-virus hos barn, fra folketrygden til de regionale helseforetakene i 2026. En nærmere konkretisering av legemidler og beløp som foreslås overført vil </w:t>
      </w:r>
      <w:proofErr w:type="gramStart"/>
      <w:r w:rsidRPr="007C3060">
        <w:t>fremgå</w:t>
      </w:r>
      <w:proofErr w:type="gramEnd"/>
      <w:r w:rsidRPr="007C3060">
        <w:t xml:space="preserve"> av </w:t>
      </w:r>
      <w:proofErr w:type="spellStart"/>
      <w:r w:rsidRPr="007C3060">
        <w:t>Prop</w:t>
      </w:r>
      <w:proofErr w:type="spellEnd"/>
      <w:r w:rsidRPr="007C3060">
        <w:t>. 1 S (2025–2026) for Helse- og omsorgsdepartementet.</w:t>
      </w:r>
    </w:p>
    <w:p w14:paraId="3FDAC6F3" w14:textId="77777777" w:rsidR="000A2A2B" w:rsidRPr="007C3060" w:rsidRDefault="000A2A2B" w:rsidP="007C3060">
      <w:pPr>
        <w:pStyle w:val="Overskrift2"/>
      </w:pPr>
      <w:r w:rsidRPr="007C3060">
        <w:t>Barne- og familiedepartementet</w:t>
      </w:r>
    </w:p>
    <w:p w14:paraId="470F38DC" w14:textId="77777777" w:rsidR="000A2A2B" w:rsidRPr="007C3060" w:rsidRDefault="000A2A2B" w:rsidP="007C3060">
      <w:pPr>
        <w:pStyle w:val="b-budkaptit"/>
      </w:pPr>
      <w:r w:rsidRPr="007C3060">
        <w:t>Kap. 843 Adopsjonsstøtte</w:t>
      </w:r>
    </w:p>
    <w:p w14:paraId="2E052EEF" w14:textId="77777777" w:rsidR="000A2A2B" w:rsidRPr="007C3060" w:rsidRDefault="000A2A2B" w:rsidP="007C3060">
      <w:pPr>
        <w:pStyle w:val="b-post"/>
      </w:pPr>
      <w:r w:rsidRPr="007C3060">
        <w:t>Post 70 Tilskudd til foreldre som adopterer barn fra utlandet, overslagsbevilgning</w:t>
      </w:r>
    </w:p>
    <w:p w14:paraId="17E64697" w14:textId="77777777" w:rsidR="000A2A2B" w:rsidRPr="007C3060" w:rsidRDefault="000A2A2B" w:rsidP="007C3060">
      <w:r w:rsidRPr="007C3060">
        <w:t>Bevilgningen dekker støtte til adoptivforeldre som har fått samtykke av norske adopsjonsmyndigheter til å adoptere barn fra utlandet. Det er anslått et behov for adopsjonsstøtte tilsvarende 5 mill. kroner for 2025. På denne bakgrunn foreslås det at bevilgningen på posten reduseres med 1,2 mill. kroner.</w:t>
      </w:r>
    </w:p>
    <w:p w14:paraId="782ED86F" w14:textId="77777777" w:rsidR="000A2A2B" w:rsidRPr="007C3060" w:rsidRDefault="000A2A2B" w:rsidP="007C3060">
      <w:pPr>
        <w:pStyle w:val="b-budkaptit"/>
      </w:pPr>
      <w:r w:rsidRPr="007C3060">
        <w:t>Kap. 844 Kontantstøtte</w:t>
      </w:r>
    </w:p>
    <w:p w14:paraId="38320267" w14:textId="77777777" w:rsidR="000A2A2B" w:rsidRPr="007C3060" w:rsidRDefault="000A2A2B" w:rsidP="007C3060">
      <w:pPr>
        <w:pStyle w:val="b-post"/>
      </w:pPr>
      <w:r w:rsidRPr="007C3060">
        <w:t>Post 70 Tilskudd, overslagsbevilgning</w:t>
      </w:r>
    </w:p>
    <w:p w14:paraId="7192E86E" w14:textId="77777777" w:rsidR="000A2A2B" w:rsidRPr="007C3060" w:rsidRDefault="000A2A2B" w:rsidP="007C3060">
      <w:r w:rsidRPr="007C3060">
        <w:t>Utgiftene til kontantstøtte i 2025 er anslått til 740 mill. kroner. Anslaget er oppjustert med 20,9 mill. kroner fra saldert budsjett. Endringen skyldes noen flere kontantstøttemottakere enn tidligere lagt til grunn.</w:t>
      </w:r>
    </w:p>
    <w:p w14:paraId="2BEBBAF3" w14:textId="77777777" w:rsidR="000A2A2B" w:rsidRPr="007C3060" w:rsidRDefault="000A2A2B" w:rsidP="007C3060">
      <w:r w:rsidRPr="007C3060">
        <w:lastRenderedPageBreak/>
        <w:t xml:space="preserve">I forbindelse med endringer i kontantstøtte-loven fra 1. august 2024, var en utilsiktet konsekvens at kontantstøttemottakere fikk rett til kontantstøtte for samme måned som barnet begynner i barnehage. Den utilsiktede endringen ble rettet opp med virkning fra 1. januar 2025, i forbindelse med Stortingets behandling av </w:t>
      </w:r>
      <w:proofErr w:type="spellStart"/>
      <w:r w:rsidRPr="007C3060">
        <w:t>Prop</w:t>
      </w:r>
      <w:proofErr w:type="spellEnd"/>
      <w:r w:rsidRPr="007C3060">
        <w:t>. 29 L (2024–2025). Denne korrigeringen gir isolert sett om lag 55 mill. kroner lavere budsjettanslag på posten enn tidligere lagt til grunn.</w:t>
      </w:r>
    </w:p>
    <w:p w14:paraId="0D6FC0D7" w14:textId="77777777" w:rsidR="000A2A2B" w:rsidRPr="007C3060" w:rsidRDefault="000A2A2B" w:rsidP="007C3060">
      <w:r w:rsidRPr="007C3060">
        <w:t>Det foreslås derfor å øke bevilgningen på posten med 20,9 mill. kroner.</w:t>
      </w:r>
    </w:p>
    <w:p w14:paraId="1345B34D" w14:textId="77777777" w:rsidR="000A2A2B" w:rsidRPr="007C3060" w:rsidRDefault="000A2A2B" w:rsidP="007C3060">
      <w:pPr>
        <w:pStyle w:val="b-budkaptit"/>
      </w:pPr>
      <w:r w:rsidRPr="007C3060">
        <w:t>Kap. 845 Barnetrygd</w:t>
      </w:r>
    </w:p>
    <w:p w14:paraId="73FC577A" w14:textId="77777777" w:rsidR="000A2A2B" w:rsidRPr="007C3060" w:rsidRDefault="000A2A2B" w:rsidP="007C3060">
      <w:pPr>
        <w:pStyle w:val="b-post"/>
      </w:pPr>
      <w:r w:rsidRPr="007C3060">
        <w:t>Post 70 Tilskudd, overslagsbevilgning</w:t>
      </w:r>
    </w:p>
    <w:p w14:paraId="32B4E09A" w14:textId="77777777" w:rsidR="000A2A2B" w:rsidRPr="007C3060" w:rsidRDefault="000A2A2B" w:rsidP="007C3060">
      <w:r w:rsidRPr="007C3060">
        <w:t>Utgiftene til barnetrygd i 2025 er anslått til 28 770 mill. kroner. Anslaget er oppjustert med 83 mill. kroner fra saldert budsjett. Endringen skyldes hovedsakelig lavere innsparingseffekt enn ventet av innstramningen i reglene for etterbetaling av barnetrygd.</w:t>
      </w:r>
    </w:p>
    <w:p w14:paraId="60194265" w14:textId="77777777" w:rsidR="000A2A2B" w:rsidRPr="007C3060" w:rsidRDefault="000A2A2B" w:rsidP="007C3060">
      <w:r w:rsidRPr="007C3060">
        <w:t>Det foreslås derfor å øke bevilgningen på posten med 83 mill. kroner.</w:t>
      </w:r>
    </w:p>
    <w:p w14:paraId="4414FD59" w14:textId="77777777" w:rsidR="000A2A2B" w:rsidRPr="007C3060" w:rsidRDefault="000A2A2B" w:rsidP="007C3060">
      <w:pPr>
        <w:pStyle w:val="b-budkaptit"/>
      </w:pPr>
      <w:r w:rsidRPr="007C3060">
        <w:t>Kap. 846 Familie- og oppveksttiltak</w:t>
      </w:r>
    </w:p>
    <w:p w14:paraId="7448254E" w14:textId="451652CC" w:rsidR="000A2A2B" w:rsidRPr="007C3060" w:rsidRDefault="000A2A2B" w:rsidP="007C3060">
      <w:pPr>
        <w:pStyle w:val="b-post"/>
      </w:pPr>
      <w:r w:rsidRPr="007C3060">
        <w:t>Post 21 Spesielle driftsutgifter, kan overføres, kan nyttes under post 62 og post 71</w:t>
      </w:r>
    </w:p>
    <w:p w14:paraId="0ECC29B5" w14:textId="77777777" w:rsidR="000A2A2B" w:rsidRPr="007C3060" w:rsidRDefault="000A2A2B" w:rsidP="007C3060">
      <w:r w:rsidRPr="007C3060">
        <w:t>Det skal settes i gang et målrettet samfunnsoppdrag for inkludering av barn og unge. Som del av arbeidet har regjeringen besluttet å etablere en innsatsgruppe for inkludering, med Forskningsrådet som vertskap. For å starte etableringen av innsatsgruppen i inneværende år, foreslås det å benytte 0,9 mill. kroner av gjeldende bevilgning på posten til formålet.</w:t>
      </w:r>
    </w:p>
    <w:p w14:paraId="4968CEB5" w14:textId="77777777" w:rsidR="000A2A2B" w:rsidRPr="007C3060" w:rsidRDefault="000A2A2B" w:rsidP="007C3060">
      <w:r w:rsidRPr="007C3060">
        <w:t>Tilbudet</w:t>
      </w:r>
      <w:r w:rsidRPr="007C3060">
        <w:rPr>
          <w:rStyle w:val="kursiv"/>
        </w:rPr>
        <w:t xml:space="preserve"> Sammen på vei</w:t>
      </w:r>
      <w:r w:rsidRPr="007C3060">
        <w:t xml:space="preserve"> hadde et </w:t>
      </w:r>
      <w:proofErr w:type="spellStart"/>
      <w:r w:rsidRPr="007C3060">
        <w:t>mindreforbruk</w:t>
      </w:r>
      <w:proofErr w:type="spellEnd"/>
      <w:r w:rsidRPr="007C3060">
        <w:t xml:space="preserve"> i 2024 på 0,8 mill. kroner som er overført til 2025. Midlene er postert på kap. 846, post 21. Finansiering av </w:t>
      </w:r>
      <w:r w:rsidRPr="007C3060">
        <w:rPr>
          <w:rStyle w:val="kursiv"/>
        </w:rPr>
        <w:t>Sammen på vei</w:t>
      </w:r>
      <w:r w:rsidRPr="007C3060">
        <w:t xml:space="preserve"> er i saldert budsjett for 2025 flyttet til kap. 854, post 21. Det foreslås å redusere kap. 846, post 21 med 0,8 mill. kroner mot en tilsvarende økning på kap. 854, post 21.</w:t>
      </w:r>
    </w:p>
    <w:p w14:paraId="54CEDA4F" w14:textId="77777777" w:rsidR="000A2A2B" w:rsidRPr="007C3060" w:rsidRDefault="000A2A2B" w:rsidP="007C3060">
      <w:r w:rsidRPr="007C3060">
        <w:t>Samlet foreslås det å redusere bevilgningen på posten med 0,8 mill. kroner.</w:t>
      </w:r>
    </w:p>
    <w:p w14:paraId="1E99D966" w14:textId="77777777" w:rsidR="000A2A2B" w:rsidRPr="007C3060" w:rsidRDefault="000A2A2B" w:rsidP="007C3060">
      <w:pPr>
        <w:pStyle w:val="b-post"/>
      </w:pPr>
      <w:r w:rsidRPr="007C3060">
        <w:t>Post 62 Utvikling i kommunene</w:t>
      </w:r>
    </w:p>
    <w:p w14:paraId="0F35E996" w14:textId="77777777" w:rsidR="000A2A2B" w:rsidRPr="007C3060" w:rsidRDefault="000A2A2B" w:rsidP="007C3060">
      <w:r w:rsidRPr="007C3060">
        <w:t>Det foreslås å øke bevilgningen med 9 mill. kroner til å styrke innsatsen i utvalgte kommuner med særlige utfordringer med barne- og ungdoms-kriminalitet. Midlene skal nyttes til å tilby skreddersydd innsats og tett oppfølging av enkeltbarn og -ungdommer og deres familier. Innsatsen skal legge til rette for samarbeid mellom ulike tjenester og tilbud i nærmiljøet, som skole, familie, fritid og barnevern mm. Med bakgrunn i utfordringsbildet, foreslås det å gi tilskuddet til Oslo, Bergen og Trondheim for å igangsette arbeidet fra 1. oktober 2025. Kommunene skal tilby én-til-én-oppfølging av enkeltungdom og tett oppfølging av grupper av barn og ungdom og deres familier, som har forhøyet risiko og påbegynt kriminalitet.</w:t>
      </w:r>
    </w:p>
    <w:p w14:paraId="224ED691" w14:textId="77777777" w:rsidR="000A2A2B" w:rsidRPr="007C3060" w:rsidRDefault="000A2A2B" w:rsidP="007C3060">
      <w:r w:rsidRPr="007C3060">
        <w:t>Det foreslås derfor å øke bevilgningen på posten med 9 mill. kroner.</w:t>
      </w:r>
    </w:p>
    <w:p w14:paraId="458A3F8F" w14:textId="77777777" w:rsidR="000A2A2B" w:rsidRPr="007C3060" w:rsidRDefault="000A2A2B" w:rsidP="007C3060">
      <w:pPr>
        <w:pStyle w:val="b-budkaptit"/>
      </w:pPr>
      <w:r w:rsidRPr="007C3060">
        <w:lastRenderedPageBreak/>
        <w:t>Kap. 854 Tiltak i barne- og ungdomsvernet</w:t>
      </w:r>
    </w:p>
    <w:p w14:paraId="63B52458" w14:textId="77777777" w:rsidR="000A2A2B" w:rsidRPr="007C3060" w:rsidRDefault="000A2A2B" w:rsidP="007C3060">
      <w:pPr>
        <w:pStyle w:val="b-post"/>
      </w:pPr>
      <w:r w:rsidRPr="007C3060">
        <w:t>Post 21 Spesielle driftsutgifter</w:t>
      </w:r>
    </w:p>
    <w:p w14:paraId="3740242D" w14:textId="77777777" w:rsidR="000A2A2B" w:rsidRPr="007C3060" w:rsidRDefault="000A2A2B" w:rsidP="007C3060">
      <w:r w:rsidRPr="007C3060">
        <w:t>Bevilgningen dekker utgifter til utviklingstiltak, i hovedsak tidsavgrensede prosjekter, på barnevernsområdet.</w:t>
      </w:r>
    </w:p>
    <w:p w14:paraId="32B8B4E1" w14:textId="77777777" w:rsidR="000A2A2B" w:rsidRPr="007C3060" w:rsidRDefault="000A2A2B" w:rsidP="007C3060">
      <w:r w:rsidRPr="007C3060">
        <w:t>Bevilgningen foreslås økt med 1,5 mill. kroner mot en tilsvarende reduksjon på kap. 854, post 61. Bevilgningsøkningen skal bidra til implementeringsstøtte for grunnmodell for hjelpetiltak i barne-vernet i flere kommuner.</w:t>
      </w:r>
    </w:p>
    <w:p w14:paraId="72FFF01B" w14:textId="77777777" w:rsidR="000A2A2B" w:rsidRPr="007C3060" w:rsidRDefault="000A2A2B" w:rsidP="007C3060">
      <w:r w:rsidRPr="007C3060">
        <w:t xml:space="preserve">Finansiering av </w:t>
      </w:r>
      <w:r w:rsidRPr="007C3060">
        <w:rPr>
          <w:rStyle w:val="kursiv"/>
        </w:rPr>
        <w:t>Sammen på vei</w:t>
      </w:r>
      <w:r w:rsidRPr="007C3060">
        <w:t xml:space="preserve"> ble i 2025 flyttet til kap. 854, post 21. Det gjenstår midler til tiltaket på kap. 846, post 21, som ble overført fra 2024. Det foreslås derfor å øke bevilgningen med 0,8 mill. kroner på kap. 854, post 21 mot en tilsvarende reduksjon kap. 846, post 21.</w:t>
      </w:r>
    </w:p>
    <w:p w14:paraId="5FAB29E0" w14:textId="77777777" w:rsidR="000A2A2B" w:rsidRPr="007C3060" w:rsidRDefault="000A2A2B" w:rsidP="007C3060">
      <w:r w:rsidRPr="007C3060">
        <w:t xml:space="preserve">Bevilgningen foreslås videre justert ned med 3,8 mill. kroner, fordi utviklingstiltak, særlig i tilknytning til oppfølgingen av </w:t>
      </w:r>
      <w:proofErr w:type="spellStart"/>
      <w:r w:rsidRPr="007C3060">
        <w:t>Prop</w:t>
      </w:r>
      <w:proofErr w:type="spellEnd"/>
      <w:r w:rsidRPr="007C3060">
        <w:t xml:space="preserve">. 83 L (2024–2025) </w:t>
      </w:r>
      <w:r w:rsidRPr="007C3060">
        <w:rPr>
          <w:rStyle w:val="kursiv"/>
        </w:rPr>
        <w:t>Endringer i barnevernsloven mv. (kvalitetsløftet i barnevernet)</w:t>
      </w:r>
      <w:r w:rsidRPr="007C3060">
        <w:t>, ikke vil ha aktivitet som planlagt i 2025.</w:t>
      </w:r>
    </w:p>
    <w:p w14:paraId="44727022" w14:textId="77777777" w:rsidR="000A2A2B" w:rsidRPr="007C3060" w:rsidRDefault="000A2A2B" w:rsidP="007C3060">
      <w:r w:rsidRPr="007C3060">
        <w:t>Samlet foreslås det å redusere bevilgningen på posten med 1,5 mill. kroner.</w:t>
      </w:r>
    </w:p>
    <w:p w14:paraId="7544A88E" w14:textId="04733F05" w:rsidR="000A2A2B" w:rsidRPr="007C3060" w:rsidRDefault="000A2A2B" w:rsidP="007C3060">
      <w:pPr>
        <w:pStyle w:val="b-post"/>
      </w:pPr>
      <w:r w:rsidRPr="007C3060">
        <w:t>Post 23 Kompetansehevingstiltak i barnevernet, kan nyttes under post 72</w:t>
      </w:r>
    </w:p>
    <w:p w14:paraId="6603587A" w14:textId="77777777" w:rsidR="000A2A2B" w:rsidRPr="007C3060" w:rsidRDefault="000A2A2B" w:rsidP="007C3060">
      <w:r w:rsidRPr="007C3060">
        <w:t xml:space="preserve">Bevilgningen dekker utgifter til kompetanse-hevende tiltak for barnevernet. Som en del av regjeringens satsing for å forebygge barne- og ungdoms-kriminalitet er det i 2025 bevilget 18 mill. kroner til opprettelse av team som skal arbeide med det spesialiserte hjelpetiltaket multisystemisk terapi (MST) på posten. Deler av denne bevilgningen skal gå til Nasjonalt utviklingssenter for barn og unge (NUBU) for kvalitetssikring av teamene på kap. 854, post 72. Bevilgningen foreslås derfor redusert med 2,6 mill. kroner mot en tilsvarende økning på kap. 854, post 72. Av midlene som er fordelt til Oslo, på kap. 854, post 61, foreslås det at 0,2 mill. kroner flyttes til </w:t>
      </w:r>
      <w:proofErr w:type="spellStart"/>
      <w:r w:rsidRPr="007C3060">
        <w:t>Bufdirs</w:t>
      </w:r>
      <w:proofErr w:type="spellEnd"/>
      <w:r w:rsidRPr="007C3060">
        <w:t>/</w:t>
      </w:r>
      <w:proofErr w:type="spellStart"/>
      <w:r w:rsidRPr="007C3060">
        <w:t>Bufetats</w:t>
      </w:r>
      <w:proofErr w:type="spellEnd"/>
      <w:r w:rsidRPr="007C3060">
        <w:t xml:space="preserve"> kvalitetssikringsrolle for dette teamet på kap. 854, post 23.</w:t>
      </w:r>
    </w:p>
    <w:p w14:paraId="29663B21" w14:textId="77777777" w:rsidR="000A2A2B" w:rsidRPr="007C3060" w:rsidRDefault="000A2A2B" w:rsidP="007C3060">
      <w:r w:rsidRPr="007C3060">
        <w:t xml:space="preserve">I 2025 skal det igangsettes forsøk med veiledet </w:t>
      </w:r>
      <w:proofErr w:type="spellStart"/>
      <w:r w:rsidRPr="007C3060">
        <w:t>førsteår</w:t>
      </w:r>
      <w:proofErr w:type="spellEnd"/>
      <w:r w:rsidRPr="007C3060">
        <w:t xml:space="preserve"> i det kommunale barnevernet. Det er planlagt å utbetale stimuleringstilskudd for inntil ti forsøkskommuner. For å sikre rett postbruk, foreslås en økning på 0,6 mill. kroner på kap. 854, post 61 mot en tilsvarende reduksjon på kap. 854, post 23.</w:t>
      </w:r>
    </w:p>
    <w:p w14:paraId="51F72FAA" w14:textId="77777777" w:rsidR="000A2A2B" w:rsidRPr="007C3060" w:rsidRDefault="000A2A2B" w:rsidP="007C3060">
      <w:r w:rsidRPr="007C3060">
        <w:t>Bevilgningen foreslås videre justert ned med 6,9 mill. kroner, grunnet oppgaver på kompetanse-området som ikke vil ha full aktivitet som planlagt i 2025.</w:t>
      </w:r>
    </w:p>
    <w:p w14:paraId="12EC5BF6" w14:textId="77777777" w:rsidR="000A2A2B" w:rsidRPr="007C3060" w:rsidRDefault="000A2A2B" w:rsidP="007C3060">
      <w:r w:rsidRPr="007C3060">
        <w:t>Samlet foreslås det å redusere bevilgningen på posten med 9,9 mill. kroner.</w:t>
      </w:r>
    </w:p>
    <w:p w14:paraId="10909F9F" w14:textId="77777777" w:rsidR="000A2A2B" w:rsidRPr="007C3060" w:rsidRDefault="000A2A2B" w:rsidP="007C3060">
      <w:pPr>
        <w:pStyle w:val="b-post"/>
      </w:pPr>
      <w:r w:rsidRPr="007C3060">
        <w:t>Post 61 Utvikling i kommunene, kan nyttes under post 72</w:t>
      </w:r>
    </w:p>
    <w:p w14:paraId="17485388" w14:textId="77777777" w:rsidR="000A2A2B" w:rsidRPr="007C3060" w:rsidRDefault="000A2A2B" w:rsidP="007C3060">
      <w:r w:rsidRPr="007C3060">
        <w:t>Bevilgningen dekker tilskudd til utviklingsprosjekter og andre tiltak i regi av kommuner og statsforvalterne. Bevilgningen foreslås redusert med 1,5 mill. kroner grunnet ferdigstilling av utviklingsarbeid knyttet til grunnmodell for hjelpe-tiltak i barnevernet mot tilsvarende økning på kap. 854, post 21 for å bidra til effektiv implementeringsstøtte.</w:t>
      </w:r>
    </w:p>
    <w:p w14:paraId="4CB947CC" w14:textId="77777777" w:rsidR="000A2A2B" w:rsidRPr="007C3060" w:rsidRDefault="000A2A2B" w:rsidP="007C3060">
      <w:r w:rsidRPr="007C3060">
        <w:lastRenderedPageBreak/>
        <w:t xml:space="preserve">På posten er det satt av 8 mill. kroner til opprettelse av team som skal arbeide med det spesialiserte hjelpetiltaket multisystemisk terapi (MST) i Oslo, jf. også omtale under post 23. Det foreslås at 0,2 mill. flyttes til </w:t>
      </w:r>
      <w:proofErr w:type="spellStart"/>
      <w:r w:rsidRPr="007C3060">
        <w:t>Bufdirs</w:t>
      </w:r>
      <w:proofErr w:type="spellEnd"/>
      <w:r w:rsidRPr="007C3060">
        <w:t>/</w:t>
      </w:r>
      <w:proofErr w:type="spellStart"/>
      <w:r w:rsidRPr="007C3060">
        <w:t>Bufetats</w:t>
      </w:r>
      <w:proofErr w:type="spellEnd"/>
      <w:r w:rsidRPr="007C3060">
        <w:t xml:space="preserve"> kvalitetssikringsrolle for dette teamet på kap. 854, post 23. I tillegg foreslås det at 1,3 mill. kroner skal gå til Nasjonalt utviklingssenter for barn og unge (NUBU) for kvalitetssikring av team på kap. 854, post 72.</w:t>
      </w:r>
    </w:p>
    <w:p w14:paraId="7B042A35" w14:textId="77777777" w:rsidR="000A2A2B" w:rsidRPr="007C3060" w:rsidRDefault="000A2A2B" w:rsidP="007C3060">
      <w:r w:rsidRPr="007C3060">
        <w:t>Tverrfaglig helsekartlegging skal identifisere hjelpe- og helsebehov hos barn som flyttes ut av hjemmet. For å sikre korrekt postbruk, foreslås det å øke bevilgningen til Oslo kommune sitt arbeid med tverrfaglig helsekartlegging på kap. 854, post 61 med 1,9 mill. kroner, mot en tilsvarende reduksjon på kap. 855, post 01.</w:t>
      </w:r>
    </w:p>
    <w:p w14:paraId="69D42FEF" w14:textId="77777777" w:rsidR="000A2A2B" w:rsidRPr="007C3060" w:rsidRDefault="000A2A2B" w:rsidP="007C3060">
      <w:r w:rsidRPr="007C3060">
        <w:t xml:space="preserve">I 2025 skal det igangsettes forsøk med veiledet </w:t>
      </w:r>
      <w:proofErr w:type="spellStart"/>
      <w:r w:rsidRPr="007C3060">
        <w:t>førsteår</w:t>
      </w:r>
      <w:proofErr w:type="spellEnd"/>
      <w:r w:rsidRPr="007C3060">
        <w:t xml:space="preserve"> i det kommunale barnevernet. Målet med forsøket er å gi kunnskap om hensiktsmessig innretning av veiledning for nytilsatte. Det er planlagt å utbetale stimuleringstilskudd for inntil ti forsøks-kommuner. Kommunene er foreløpig ikke rekruttert. </w:t>
      </w:r>
      <w:proofErr w:type="spellStart"/>
      <w:r w:rsidRPr="007C3060">
        <w:t>Bufdir</w:t>
      </w:r>
      <w:proofErr w:type="spellEnd"/>
      <w:r w:rsidRPr="007C3060">
        <w:t xml:space="preserve"> skal velge ut kommuner som ivaretar geografisk spredning, størrelse og faglige kriterier. For å sikre rett postbruk foreslås en økning på 0,6 mill. kroner på kap. 854, post 61, mot en tilsvarende reduksjon på kap. 854, post 23.</w:t>
      </w:r>
    </w:p>
    <w:p w14:paraId="0C3FC742" w14:textId="77777777" w:rsidR="000A2A2B" w:rsidRPr="007C3060" w:rsidRDefault="000A2A2B" w:rsidP="007C3060">
      <w:r w:rsidRPr="007C3060">
        <w:t>Samlet foreslås det å redusere bevilgningen på posten med 0,5 mill. kroner.</w:t>
      </w:r>
    </w:p>
    <w:p w14:paraId="05CBE3E1" w14:textId="54454D4D" w:rsidR="000A2A2B" w:rsidRPr="007C3060" w:rsidRDefault="000A2A2B" w:rsidP="007C3060">
      <w:pPr>
        <w:pStyle w:val="b-post"/>
      </w:pPr>
      <w:r w:rsidRPr="007C3060">
        <w:t>Post 72 Tilskudd til forskning og kompetanseutvikling i barnevernet, kan overføres, kan nyttes under post 23</w:t>
      </w:r>
    </w:p>
    <w:p w14:paraId="79F1EB5A" w14:textId="77777777" w:rsidR="000A2A2B" w:rsidRPr="007C3060" w:rsidRDefault="000A2A2B" w:rsidP="007C3060">
      <w:r w:rsidRPr="007C3060">
        <w:t xml:space="preserve">Bevilgningen dekker blant annet tilskudd til Nasjonalt utviklingssenter for barn og unge (NUBU). Ny lov om avtalefestet pensjon for medlemmer av Statens pensjonskasse (SPK) trådte i kraft 1. januar 2025. NUBU er fristilt medlem av SPK. Det er anslått en engangskostnad som vil måtte </w:t>
      </w:r>
      <w:proofErr w:type="spellStart"/>
      <w:r w:rsidRPr="007C3060">
        <w:t>regnskapsføres</w:t>
      </w:r>
      <w:proofErr w:type="spellEnd"/>
      <w:r w:rsidRPr="007C3060">
        <w:t xml:space="preserve"> i 2025. Som følge av dette foreslås bevilgningen økt med 10,7 mill. kroner.</w:t>
      </w:r>
    </w:p>
    <w:p w14:paraId="50DED9E0" w14:textId="77777777" w:rsidR="000A2A2B" w:rsidRPr="007C3060" w:rsidRDefault="000A2A2B" w:rsidP="007C3060">
      <w:r w:rsidRPr="007C3060">
        <w:t xml:space="preserve">Jf. omtale på post 23 og post 61, foreslås bevilgningen økt med 3,9 mill. kroner til </w:t>
      </w:r>
      <w:proofErr w:type="spellStart"/>
      <w:r w:rsidRPr="007C3060">
        <w:t>NUBUs</w:t>
      </w:r>
      <w:proofErr w:type="spellEnd"/>
      <w:r w:rsidRPr="007C3060">
        <w:t xml:space="preserve"> arbeid med kvalitetssikring av MST-team.</w:t>
      </w:r>
    </w:p>
    <w:p w14:paraId="10593BB9" w14:textId="77777777" w:rsidR="000A2A2B" w:rsidRPr="007C3060" w:rsidRDefault="000A2A2B" w:rsidP="007C3060">
      <w:r w:rsidRPr="007C3060">
        <w:t xml:space="preserve">I 2025 er det bevilget 43 mill. kroner til oppfølging av kommunene på fosterhjemsområdet på kap. 855, post 01. En del av dette skal gå til </w:t>
      </w:r>
      <w:proofErr w:type="spellStart"/>
      <w:r w:rsidRPr="007C3060">
        <w:t>NUBUs</w:t>
      </w:r>
      <w:proofErr w:type="spellEnd"/>
      <w:r w:rsidRPr="007C3060">
        <w:t xml:space="preserve"> arbeid for å gi kommunale fosterhjem bedre tilgang til spesialiserte hjelpetiltak. Det foreslås derfor en økning på kap. 854, post 72 på 3,6 mill. kroner mot en tilsvarende reduksjon på kap. 855, post 01.</w:t>
      </w:r>
    </w:p>
    <w:p w14:paraId="4A54D769" w14:textId="77777777" w:rsidR="000A2A2B" w:rsidRPr="007C3060" w:rsidRDefault="000A2A2B" w:rsidP="007C3060">
      <w:r w:rsidRPr="007C3060">
        <w:t>Samlet foreslås det å øke bevilgningen på posten med 18,2 mill. kroner.</w:t>
      </w:r>
    </w:p>
    <w:p w14:paraId="33D8C19E" w14:textId="77777777" w:rsidR="000A2A2B" w:rsidRPr="007C3060" w:rsidRDefault="000A2A2B" w:rsidP="007C3060">
      <w:pPr>
        <w:pStyle w:val="b-budkaptit"/>
      </w:pPr>
      <w:r w:rsidRPr="007C3060">
        <w:t>Kap. 855 Statlig forvaltning av barnevernet</w:t>
      </w:r>
    </w:p>
    <w:p w14:paraId="1D88A883" w14:textId="77777777" w:rsidR="000A2A2B" w:rsidRPr="007C3060" w:rsidRDefault="000A2A2B" w:rsidP="007C3060">
      <w:r w:rsidRPr="007C3060">
        <w:t xml:space="preserve">Kostnadene til drift av institusjonsbarnevernet har økt i senere år, og sterk kostnadsvekst har i flere tilfeller ført til at Stortinget har måttet øke bevilgningen underveis i året. Det er også tilfellet i år, hvor </w:t>
      </w:r>
      <w:proofErr w:type="spellStart"/>
      <w:r w:rsidRPr="007C3060">
        <w:t>Bufetat</w:t>
      </w:r>
      <w:proofErr w:type="spellEnd"/>
      <w:r w:rsidRPr="007C3060">
        <w:t xml:space="preserve"> ligger an til å overskride bevilgningen fra saldert budsjett. Samlet på kap. 855, post 01 og post 22, foreslår regjeringen å øke bevilgningen til statlig forvaltning av barnevernet grunnet flere barn, økte priser og økt bemanning med 585 mill. kroner.</w:t>
      </w:r>
    </w:p>
    <w:p w14:paraId="1EB56276" w14:textId="77777777" w:rsidR="000A2A2B" w:rsidRPr="007C3060" w:rsidRDefault="000A2A2B" w:rsidP="007C3060">
      <w:r w:rsidRPr="007C3060">
        <w:t xml:space="preserve">Regjeringen mener utviklingen med økende utgifter og store utfordringer i institusjonsbarnevernet er alvorlig, og jobber aktivt med å forbedre styringen og få kontroll på utgiftsveksten. Dette gjøres blant annet gjennom å følge opp områdegjennomgangen av statlig barnevern og </w:t>
      </w:r>
      <w:r w:rsidRPr="007C3060">
        <w:lastRenderedPageBreak/>
        <w:t xml:space="preserve">kvalitetsløftet i barnevernet som regjeringen la frem i </w:t>
      </w:r>
      <w:proofErr w:type="spellStart"/>
      <w:r w:rsidRPr="007C3060">
        <w:t>Prop</w:t>
      </w:r>
      <w:proofErr w:type="spellEnd"/>
      <w:r w:rsidRPr="007C3060">
        <w:t>. 83 L (2024–2025). Regjeringen har også nedsatt et ekspertutvalg som vurderer organiseringen av det statlige barnevernet. Det er videre behov for klarere rammer om samarbeidet mellom staten og kommunene, og for å legge bedre til rette for at kommersielle aktører også skal kunne bygge langsiktig kapasitet.</w:t>
      </w:r>
    </w:p>
    <w:p w14:paraId="2F8F1D8A" w14:textId="77777777" w:rsidR="000A2A2B" w:rsidRPr="007C3060" w:rsidRDefault="000A2A2B" w:rsidP="007C3060">
      <w:pPr>
        <w:pStyle w:val="b-post"/>
      </w:pPr>
      <w:r w:rsidRPr="007C3060">
        <w:t>Post 01 Driftsutgifter, kan nyttes under post 22</w:t>
      </w:r>
    </w:p>
    <w:p w14:paraId="206CF45A" w14:textId="77777777" w:rsidR="000A2A2B" w:rsidRPr="007C3060" w:rsidRDefault="000A2A2B" w:rsidP="007C3060">
      <w:r w:rsidRPr="007C3060">
        <w:t xml:space="preserve">Bevilgningen på posten dekker lønn og sosiale kostnader til ansatte i </w:t>
      </w:r>
      <w:proofErr w:type="spellStart"/>
      <w:r w:rsidRPr="007C3060">
        <w:t>Bufetat</w:t>
      </w:r>
      <w:proofErr w:type="spellEnd"/>
      <w:r w:rsidRPr="007C3060">
        <w:t>. Andre vesentlige utgifter er utgifter til leie og drift av barneverns-institusjoner, til opplæring og til varer og tjenester.</w:t>
      </w:r>
    </w:p>
    <w:p w14:paraId="0EE6E389" w14:textId="77777777" w:rsidR="000A2A2B" w:rsidRPr="007C3060" w:rsidRDefault="000A2A2B" w:rsidP="007C3060">
      <w:proofErr w:type="spellStart"/>
      <w:r w:rsidRPr="007C3060">
        <w:t>Bufetat</w:t>
      </w:r>
      <w:proofErr w:type="spellEnd"/>
      <w:r w:rsidRPr="007C3060">
        <w:t xml:space="preserve"> har i løpet av 2024 økt bemanningen i de statlige institusjonene, som medfører utgifter i inneværende år ut over bevilgningen i Saldert budsjett 2025. Økt bemanning er gjennomført for å blant annet unngå brudd på bistandsplikten og gjøre </w:t>
      </w:r>
      <w:proofErr w:type="spellStart"/>
      <w:r w:rsidRPr="007C3060">
        <w:t>Bufetat</w:t>
      </w:r>
      <w:proofErr w:type="spellEnd"/>
      <w:r w:rsidRPr="007C3060">
        <w:t xml:space="preserve"> i stand til å ta imot flere barn i institusjoner etaten selv drifter. Det er i akuttinstitusjonene bemanningen har blitt økt mest, fordi det er her utfordringene med å ivareta bistandsplikten har vært størst. Som følge av lovpålagte kompetansekrav har også andelen ansatte med fagutdanning i institusjonene økt. Dette bidrar også til å øke lønnsutgiftene i de statlige institusjonene.</w:t>
      </w:r>
    </w:p>
    <w:p w14:paraId="4AB3B325" w14:textId="77777777" w:rsidR="000A2A2B" w:rsidRPr="007C3060" w:rsidRDefault="000A2A2B" w:rsidP="007C3060">
      <w:r w:rsidRPr="007C3060">
        <w:t xml:space="preserve">Det foreslås på denne bakgrunn å øke bevilgningen på post 01 med 65 mill. kroner, for delvis å hensynta at utgiftsbehovet som følge av økte lønnsutgifter er høyere enn bevilgningen. Flere barn vil kunne ivaretas i statlige institusjoner i 2025 som følge av den økte bemanningen, sammenlignet med anslag for gjeldende budsjett. </w:t>
      </w:r>
      <w:proofErr w:type="spellStart"/>
      <w:r w:rsidRPr="007C3060">
        <w:t>Bufetat</w:t>
      </w:r>
      <w:proofErr w:type="spellEnd"/>
      <w:r w:rsidRPr="007C3060">
        <w:t xml:space="preserve"> må innrette det statlige institusjonstilbudet innenfor den foreslåtte bevilgningen og gjennomføre nødvendige innsparinger i 2025. En bevilgningsøkning på posten i 2025 er midlertidig, og etaten må planlegge for å fra 2026 holde seg innenfor et budsjett på nivå med saldert budsjett for 2025.</w:t>
      </w:r>
    </w:p>
    <w:p w14:paraId="6AEC6B01" w14:textId="77777777" w:rsidR="000A2A2B" w:rsidRPr="007C3060" w:rsidRDefault="000A2A2B" w:rsidP="007C3060">
      <w:r w:rsidRPr="007C3060">
        <w:t>For å sikre korrekt postbruk foreslås det å redusere bevilgningen til tverrfaglig helsekartlegging på kap. 855, post 01 med 1,9 mill. kroner, mot en tilsvarende økning på kap. 854, post 61.</w:t>
      </w:r>
    </w:p>
    <w:p w14:paraId="0AD1FA08" w14:textId="77777777" w:rsidR="000A2A2B" w:rsidRPr="007C3060" w:rsidRDefault="000A2A2B" w:rsidP="007C3060">
      <w:r w:rsidRPr="007C3060">
        <w:t xml:space="preserve">I 2025 er det bevilget 43 mill. kroner til oppfølging av kommunene på fosterhjemsområdet på kap. 855, post 01, for å følge opp Meld. St. 29 (2023–2024) </w:t>
      </w:r>
      <w:r w:rsidRPr="007C3060">
        <w:rPr>
          <w:rStyle w:val="kursiv"/>
        </w:rPr>
        <w:t xml:space="preserve">Fosterheim – </w:t>
      </w:r>
      <w:proofErr w:type="spellStart"/>
      <w:r w:rsidRPr="007C3060">
        <w:rPr>
          <w:rStyle w:val="kursiv"/>
        </w:rPr>
        <w:t>ein</w:t>
      </w:r>
      <w:proofErr w:type="spellEnd"/>
      <w:r w:rsidRPr="007C3060">
        <w:rPr>
          <w:rStyle w:val="kursiv"/>
        </w:rPr>
        <w:t xml:space="preserve"> trygg heim å bu</w:t>
      </w:r>
      <w:r w:rsidRPr="007C3060">
        <w:t>. En del av dette skal gå til arbeidet til Nasjonalt utviklingssenter for barn og unge (NUBU) med å gi kommunale fosterhjem bedre tilgang til spesialiserte hjelpetiltak. Det foreslås derfor en reduksjon på 3,6 mill. kroner på kap. 855, post 01 mot en tilsvarende økning på kap. 854, post 72.</w:t>
      </w:r>
    </w:p>
    <w:p w14:paraId="3471B157" w14:textId="77777777" w:rsidR="000A2A2B" w:rsidRPr="007C3060" w:rsidRDefault="000A2A2B" w:rsidP="007C3060">
      <w:r w:rsidRPr="007C3060">
        <w:t>Samlet foreslås det å øke bevilgningen på posten med 59,5 mill. kroner.</w:t>
      </w:r>
    </w:p>
    <w:p w14:paraId="08AD256F" w14:textId="01B35C71" w:rsidR="000A2A2B" w:rsidRPr="007C3060" w:rsidRDefault="000A2A2B" w:rsidP="007C3060">
      <w:pPr>
        <w:pStyle w:val="b-post"/>
      </w:pPr>
      <w:r w:rsidRPr="007C3060">
        <w:t>Post 22 Kjøp av private barnevernstjenester, kan nyttes under post 1</w:t>
      </w:r>
    </w:p>
    <w:p w14:paraId="7581CA18" w14:textId="77777777" w:rsidR="000A2A2B" w:rsidRPr="007C3060" w:rsidRDefault="000A2A2B" w:rsidP="007C3060">
      <w:r w:rsidRPr="007C3060">
        <w:t>Posten dekker kjøp av private barnevernstiltak i det statlige barnevernet. Dette omfatter både kjøp av ideelle og kommersielle leverandører.</w:t>
      </w:r>
    </w:p>
    <w:p w14:paraId="0F32F275" w14:textId="77777777" w:rsidR="000A2A2B" w:rsidRPr="007C3060" w:rsidRDefault="000A2A2B" w:rsidP="007C3060">
      <w:r w:rsidRPr="007C3060">
        <w:t xml:space="preserve">Etter flere år med nedgang i aktiviteten i institusjonsbarnevernet, har aktiviteten økt noe siden 2022. Det forventes nå at flere barn vil ha behov for institusjonsplassering også i 2025. Kapasiteten i </w:t>
      </w:r>
      <w:proofErr w:type="spellStart"/>
      <w:r w:rsidRPr="007C3060">
        <w:t>Bufetats</w:t>
      </w:r>
      <w:proofErr w:type="spellEnd"/>
      <w:r w:rsidRPr="007C3060">
        <w:t xml:space="preserve"> egne institusjoner er krevende å skalere til endringer i aktivitet på kort sikt. De fleste av plasseringene må anskaffes fra private når aktiviteten øker, noe som i hovedsak betyr </w:t>
      </w:r>
      <w:r w:rsidRPr="007C3060">
        <w:lastRenderedPageBreak/>
        <w:t xml:space="preserve">flere enkeltkjøp. Dette selv om kapasiteten er økt noe i </w:t>
      </w:r>
      <w:proofErr w:type="spellStart"/>
      <w:r w:rsidRPr="007C3060">
        <w:t>Buf</w:t>
      </w:r>
      <w:proofErr w:type="spellEnd"/>
      <w:r w:rsidRPr="007C3060">
        <w:t>-etats egne institusjoner, jf. omtale på post 01.</w:t>
      </w:r>
    </w:p>
    <w:p w14:paraId="308C302C" w14:textId="77777777" w:rsidR="000A2A2B" w:rsidRPr="007C3060" w:rsidRDefault="000A2A2B" w:rsidP="007C3060">
      <w:r w:rsidRPr="007C3060">
        <w:t>Prisene på tiltak fra private leverandører har økt i senere år. Prisene er nå høyere enn lagt til grunn i saldert budsjett. Regjeringen ønsker et langsiktig og betydelig innslag av ideelle aktører, men det vil også være behov for private kommersielle aktører i statlig barnevern i tiden fremover. Det skal derfor legges til rette for at aktørene kan bygge langsiktig kapasitet, for å nå de overordnede målene om å ivareta bistandsplikten, øke beredskapen og bedre kostnadskontroll.</w:t>
      </w:r>
    </w:p>
    <w:p w14:paraId="0D20CE45" w14:textId="77777777" w:rsidR="000A2A2B" w:rsidRPr="007C3060" w:rsidRDefault="000A2A2B" w:rsidP="007C3060">
      <w:r w:rsidRPr="007C3060">
        <w:t>Totalt foreslås det å øke bevilgningen til kjøp av private barnevernstjenester med 520 mill. kroner.</w:t>
      </w:r>
    </w:p>
    <w:p w14:paraId="3E95EF14" w14:textId="77777777" w:rsidR="000A2A2B" w:rsidRPr="007C3060" w:rsidRDefault="000A2A2B" w:rsidP="007C3060">
      <w:r w:rsidRPr="007C3060">
        <w:t xml:space="preserve">I Stortingets behandling av </w:t>
      </w:r>
      <w:proofErr w:type="spellStart"/>
      <w:r w:rsidRPr="007C3060">
        <w:t>Prop</w:t>
      </w:r>
      <w:proofErr w:type="spellEnd"/>
      <w:r w:rsidRPr="007C3060">
        <w:t xml:space="preserve">. 1 S (2024–2025), </w:t>
      </w:r>
      <w:proofErr w:type="spellStart"/>
      <w:r w:rsidRPr="007C3060">
        <w:t>Innst</w:t>
      </w:r>
      <w:proofErr w:type="spellEnd"/>
      <w:r w:rsidRPr="007C3060">
        <w:t xml:space="preserve">. 14 S (2024–2025), hadde flertallet i familie- og kulturkomiteen følgende merknad: </w:t>
      </w:r>
      <w:r w:rsidRPr="007C3060">
        <w:rPr>
          <w:rStyle w:val="kursiv"/>
        </w:rPr>
        <w:t xml:space="preserve">«Flertallet foreslår å øremerke 20 mill. kroner av den foreslåtte bevilgningen på kap. 855 Statlig forvaltning av barnevernet, post 22 Kjøp av private barnevernstjenester. Bevilgningen øremerkes etableringsstøtte for barnevernsinstitusjoner i regi av ideelle aktører.». </w:t>
      </w:r>
      <w:r w:rsidRPr="007C3060">
        <w:t>Bevilgningen dekker kjøp av barnevernstjenester for å oppfylle den lovbestemte bistandsplikten. Bevilgningen dekker også kjøp av barnevernstiltak uten bistandsplikt som kjøp av private fosterhjem og plasser i ideelle sentre for foreldre og barn. Den budsjettmessige situasjonen i det statlige barnevernet for å kunne ivareta bistandsplikten og sikre et forsvarlig tilbud, jf. omtale av forslag til bevilgningsøkning over, gjør at departementet ikke har kunnet prioritere å igangsette etableringsstøtte i 2025.</w:t>
      </w:r>
    </w:p>
    <w:p w14:paraId="1901AD15" w14:textId="77777777" w:rsidR="000A2A2B" w:rsidRPr="007C3060" w:rsidRDefault="000A2A2B" w:rsidP="007C3060">
      <w:r w:rsidRPr="007C3060">
        <w:t>Samlet foreslås det å øke bevilgningen på posten med 520 mill. kroner.</w:t>
      </w:r>
    </w:p>
    <w:p w14:paraId="7059B7CC" w14:textId="77777777" w:rsidR="000A2A2B" w:rsidRPr="007C3060" w:rsidRDefault="000A2A2B" w:rsidP="007C3060">
      <w:pPr>
        <w:pStyle w:val="b-budkaptit"/>
      </w:pPr>
      <w:r w:rsidRPr="007C3060">
        <w:t>Kap. 3855 Statlig forvaltning av barnevernet</w:t>
      </w:r>
    </w:p>
    <w:p w14:paraId="3CECFDA7" w14:textId="77777777" w:rsidR="000A2A2B" w:rsidRPr="007C3060" w:rsidRDefault="000A2A2B" w:rsidP="007C3060">
      <w:pPr>
        <w:pStyle w:val="b-post"/>
      </w:pPr>
      <w:r w:rsidRPr="007C3060">
        <w:t>Post 60 Kommunale egenandeler</w:t>
      </w:r>
    </w:p>
    <w:p w14:paraId="6ACBC2E9" w14:textId="77777777" w:rsidR="000A2A2B" w:rsidRPr="007C3060" w:rsidRDefault="000A2A2B" w:rsidP="007C3060">
      <w:r w:rsidRPr="007C3060">
        <w:t>Inntektene på posten kommer fra kommunale egenandeler for tiltak i det statlige barnevernet.</w:t>
      </w:r>
    </w:p>
    <w:p w14:paraId="26015D48" w14:textId="77777777" w:rsidR="000A2A2B" w:rsidRPr="007C3060" w:rsidRDefault="000A2A2B" w:rsidP="007C3060">
      <w:r w:rsidRPr="007C3060">
        <w:t xml:space="preserve">Det er forventet høyere inntekter fra kommunale egenandeler til det statlige barnevernet enn anslått i saldert budsjett for 2025. Økningen skyldes i hovedsak flere oppholdsdager i institusjon enn lagt til grunn i saldert budsjett, jf. omtale under kap. 855 post 01. Bevilgningen ble i 2025 økt med 9 mill. kroner for å styrke </w:t>
      </w:r>
      <w:proofErr w:type="spellStart"/>
      <w:r w:rsidRPr="007C3060">
        <w:t>Bufetats</w:t>
      </w:r>
      <w:proofErr w:type="spellEnd"/>
      <w:r w:rsidRPr="007C3060">
        <w:t xml:space="preserve"> fag- og </w:t>
      </w:r>
      <w:proofErr w:type="spellStart"/>
      <w:r w:rsidRPr="007C3060">
        <w:t>tiltaktsstøtte</w:t>
      </w:r>
      <w:proofErr w:type="spellEnd"/>
      <w:r w:rsidRPr="007C3060">
        <w:t xml:space="preserve"> i tråd med Meld. St. 29 (2023–2024) </w:t>
      </w:r>
      <w:r w:rsidRPr="007C3060">
        <w:rPr>
          <w:rStyle w:val="kursiv"/>
        </w:rPr>
        <w:t xml:space="preserve">Fosterheim – </w:t>
      </w:r>
      <w:proofErr w:type="spellStart"/>
      <w:r w:rsidRPr="007C3060">
        <w:rPr>
          <w:rStyle w:val="kursiv"/>
        </w:rPr>
        <w:t>ein</w:t>
      </w:r>
      <w:proofErr w:type="spellEnd"/>
      <w:r w:rsidRPr="007C3060">
        <w:rPr>
          <w:rStyle w:val="kursiv"/>
        </w:rPr>
        <w:t xml:space="preserve"> trygg heim å bu</w:t>
      </w:r>
      <w:r w:rsidRPr="007C3060">
        <w:t>. Det jobbes i 2025 med å utvikle tiltakene, men det forventes likevel ikke å komme noen inntekter før i 2026, som gjør at det forventes mindreinntekter på 9 mill. kroner på posten.</w:t>
      </w:r>
    </w:p>
    <w:p w14:paraId="1D6457B8" w14:textId="77777777" w:rsidR="000A2A2B" w:rsidRPr="007C3060" w:rsidRDefault="000A2A2B" w:rsidP="007C3060">
      <w:r w:rsidRPr="007C3060">
        <w:t>Samlet foreslås det å øke bevilgningen på posten med 104 mill. kroner.</w:t>
      </w:r>
    </w:p>
    <w:p w14:paraId="2D85E90A" w14:textId="77777777" w:rsidR="000A2A2B" w:rsidRPr="007C3060" w:rsidRDefault="000A2A2B" w:rsidP="007C3060">
      <w:pPr>
        <w:pStyle w:val="b-budkaptit"/>
      </w:pPr>
      <w:r w:rsidRPr="007C3060">
        <w:t>Kap. 856 Barnevernets omsorgssenter for enslige, mindreårige asylsøkere</w:t>
      </w:r>
    </w:p>
    <w:p w14:paraId="0549EB25" w14:textId="58EE09E1" w:rsidR="000A2A2B" w:rsidRPr="007C3060" w:rsidRDefault="000A2A2B" w:rsidP="007C3060">
      <w:pPr>
        <w:pStyle w:val="b-post"/>
      </w:pPr>
      <w:r w:rsidRPr="007C3060">
        <w:t>Post 22 Kjøp av plasser i private omsorgssentre, kan nyttes under post 1</w:t>
      </w:r>
    </w:p>
    <w:p w14:paraId="7FCE9AFE" w14:textId="77777777" w:rsidR="000A2A2B" w:rsidRPr="007C3060" w:rsidRDefault="000A2A2B" w:rsidP="007C3060">
      <w:r w:rsidRPr="007C3060">
        <w:t>Bevilgningen på posten dekker kjøp av plasser i private omsorgssentre for enslige mindreårige asylsøkere.</w:t>
      </w:r>
    </w:p>
    <w:p w14:paraId="341CF716" w14:textId="77777777" w:rsidR="000A2A2B" w:rsidRPr="007C3060" w:rsidRDefault="000A2A2B" w:rsidP="007C3060">
      <w:r w:rsidRPr="007C3060">
        <w:lastRenderedPageBreak/>
        <w:t>Bevilgningen i saldert budsjett legger til rette for kjøp av i gjennomsnitt 148 private plasser per døgn. Det anslås nå et behov for å kjøpe i gjennomsnitt 127 private plasser per døgn, en nedgang på 21 plasser sammenlignet med gjeldende budsjett. Prisnivået på plassene er imidlertid noe høyere enn lagt til grunn til saldert budsjett.</w:t>
      </w:r>
    </w:p>
    <w:p w14:paraId="563FE7B9" w14:textId="77777777" w:rsidR="000A2A2B" w:rsidRPr="007C3060" w:rsidRDefault="000A2A2B" w:rsidP="007C3060">
      <w:r w:rsidRPr="007C3060">
        <w:t>Det foreslås å redusere bevilgningen med 25,2 mill. kroner.</w:t>
      </w:r>
    </w:p>
    <w:p w14:paraId="6CA99126" w14:textId="77777777" w:rsidR="000A2A2B" w:rsidRPr="007C3060" w:rsidRDefault="000A2A2B" w:rsidP="007C3060">
      <w:pPr>
        <w:pStyle w:val="b-budkaptit"/>
      </w:pPr>
      <w:r w:rsidRPr="007C3060">
        <w:t>Kap. 3856 Barnevernets omsorgssenter for enslige, mindreårige asylsøkere</w:t>
      </w:r>
    </w:p>
    <w:p w14:paraId="4032630E" w14:textId="77777777" w:rsidR="000A2A2B" w:rsidRPr="007C3060" w:rsidRDefault="000A2A2B" w:rsidP="007C3060">
      <w:pPr>
        <w:pStyle w:val="b-post"/>
      </w:pPr>
      <w:r w:rsidRPr="007C3060">
        <w:t>Post 04 Refusjon av ODA-godkjente utgifter</w:t>
      </w:r>
    </w:p>
    <w:p w14:paraId="680EDA7D" w14:textId="77777777" w:rsidR="000A2A2B" w:rsidRPr="007C3060" w:rsidRDefault="000A2A2B" w:rsidP="007C3060">
      <w:r w:rsidRPr="007C3060">
        <w:t>Innenlandske utgifter knyttet til mottak av asylsøkere og flyktninger kan ifølge OECD/DACs statistikkdirektiv godkjennes som offisiell utviklingshjelp. Det er kun utgifter det første året som kan ODA-godkjennes.</w:t>
      </w:r>
    </w:p>
    <w:p w14:paraId="1CE0D56A" w14:textId="77777777" w:rsidR="000A2A2B" w:rsidRPr="007C3060" w:rsidRDefault="000A2A2B" w:rsidP="007C3060">
      <w:r w:rsidRPr="007C3060">
        <w:t>Som følge av reduksjon i anslaget for kjøp av plasser i private omsorgssentre, jf. omtale under kap. 856, post 22, foreslås det at bevilgningen på posten reduseres med 14 mill. kroner.</w:t>
      </w:r>
    </w:p>
    <w:p w14:paraId="7867FB7A" w14:textId="77777777" w:rsidR="000A2A2B" w:rsidRPr="007C3060" w:rsidRDefault="000A2A2B" w:rsidP="007C3060">
      <w:pPr>
        <w:pStyle w:val="b-budkaptit"/>
      </w:pPr>
      <w:r w:rsidRPr="007C3060">
        <w:t>Kap. 858 Barne-, ungdoms- og -familiedirektoratet og fellesfunksjoner i Barne-, ungdoms- og familieetaten</w:t>
      </w:r>
    </w:p>
    <w:p w14:paraId="48276B76" w14:textId="77777777" w:rsidR="000A2A2B" w:rsidRPr="007C3060" w:rsidRDefault="000A2A2B" w:rsidP="007C3060">
      <w:pPr>
        <w:pStyle w:val="b-post"/>
      </w:pPr>
      <w:r w:rsidRPr="007C3060">
        <w:t>Post 01 Driftsutgifter</w:t>
      </w:r>
    </w:p>
    <w:p w14:paraId="2B525653" w14:textId="77777777" w:rsidR="000A2A2B" w:rsidRPr="007C3060" w:rsidRDefault="000A2A2B" w:rsidP="007C3060">
      <w:r w:rsidRPr="007C3060">
        <w:t xml:space="preserve">Bevilgningen på posten dekker lønn og andre driftsutgifter i </w:t>
      </w:r>
      <w:proofErr w:type="spellStart"/>
      <w:r w:rsidRPr="007C3060">
        <w:t>Bufdir</w:t>
      </w:r>
      <w:proofErr w:type="spellEnd"/>
      <w:r w:rsidRPr="007C3060">
        <w:t xml:space="preserve"> og </w:t>
      </w:r>
      <w:proofErr w:type="spellStart"/>
      <w:r w:rsidRPr="007C3060">
        <w:t>Bufetats</w:t>
      </w:r>
      <w:proofErr w:type="spellEnd"/>
      <w:r w:rsidRPr="007C3060">
        <w:t xml:space="preserve"> senter for administrasjon og utvikling.</w:t>
      </w:r>
    </w:p>
    <w:p w14:paraId="10C67A6F" w14:textId="77777777" w:rsidR="000A2A2B" w:rsidRPr="007C3060" w:rsidRDefault="000A2A2B" w:rsidP="007C3060">
      <w:r w:rsidRPr="007C3060">
        <w:t xml:space="preserve">Lov- og konvensjonsansvaret og forvaltningsansvaret for barnebortføringsloven med tilhørende konvensjoner ble overført fra Justis og beredskapsdepartementet til Barne- og familiedepartementet med virkning fra 1. januar 2024. Dette medførte også overføring av midler til reiseutgifter til kontaktdommere i Haag-nettverket. Disse midlene skal ligge hos </w:t>
      </w:r>
      <w:proofErr w:type="spellStart"/>
      <w:r w:rsidRPr="007C3060">
        <w:t>Bufdir</w:t>
      </w:r>
      <w:proofErr w:type="spellEnd"/>
      <w:r w:rsidRPr="007C3060">
        <w:t xml:space="preserve"> på kap. 858, post 01.</w:t>
      </w:r>
    </w:p>
    <w:p w14:paraId="2953A45B" w14:textId="77777777" w:rsidR="000A2A2B" w:rsidRPr="007C3060" w:rsidRDefault="000A2A2B" w:rsidP="007C3060">
      <w:r w:rsidRPr="007C3060">
        <w:t>Ved en feil ble ikke Barne- og familiedepartementets ramme økt i saldert budsjett. Det foreslås derfor å øke bevilgningen på posten med 15 000 kroner.</w:t>
      </w:r>
    </w:p>
    <w:p w14:paraId="08D4FB19" w14:textId="77777777" w:rsidR="000A2A2B" w:rsidRPr="007C3060" w:rsidRDefault="000A2A2B" w:rsidP="007C3060">
      <w:pPr>
        <w:pStyle w:val="b-budkaptit"/>
      </w:pPr>
      <w:r w:rsidRPr="007C3060">
        <w:t>Kap. 865 Forbrukerpolitiske tiltak</w:t>
      </w:r>
    </w:p>
    <w:p w14:paraId="6DB19EDC" w14:textId="3EFDEABC" w:rsidR="000A2A2B" w:rsidRPr="007C3060" w:rsidRDefault="000A2A2B" w:rsidP="007C3060">
      <w:pPr>
        <w:pStyle w:val="b-post"/>
      </w:pPr>
      <w:r w:rsidRPr="007C3060">
        <w:t>Post 21 Spesielle driftsutgifter, kan overføres, kan nyttes under post 50</w:t>
      </w:r>
    </w:p>
    <w:p w14:paraId="52284147" w14:textId="77777777" w:rsidR="000A2A2B" w:rsidRPr="007C3060" w:rsidRDefault="000A2A2B" w:rsidP="007C3060">
      <w:r w:rsidRPr="007C3060">
        <w:t xml:space="preserve">Posten blir benyttet til å finansiere prosjekter, utredninger og tiltak med særlig relevans for forbrukerområdet. Det er </w:t>
      </w:r>
      <w:proofErr w:type="spellStart"/>
      <w:r w:rsidRPr="007C3060">
        <w:t>mindreutgifter</w:t>
      </w:r>
      <w:proofErr w:type="spellEnd"/>
      <w:r w:rsidRPr="007C3060">
        <w:t xml:space="preserve"> knyttet til enkelte tiltak og prosjekter som finansieres fra posten. Regjeringen foreslår å redusere bevilgningen på posten i inneværende år med 1 mill. kroner mot en tilsvarende økning på kap. 881, post 21 for å delfinansiere utviklingen av Digital gravferdsmelding.</w:t>
      </w:r>
    </w:p>
    <w:p w14:paraId="6D5D153C" w14:textId="77777777" w:rsidR="000A2A2B" w:rsidRPr="007C3060" w:rsidRDefault="000A2A2B" w:rsidP="007C3060">
      <w:pPr>
        <w:pStyle w:val="b-budkaptit"/>
      </w:pPr>
      <w:r w:rsidRPr="007C3060">
        <w:lastRenderedPageBreak/>
        <w:t xml:space="preserve">Kap. 881 Tilskudd til trossamfunn </w:t>
      </w:r>
      <w:proofErr w:type="spellStart"/>
      <w:r w:rsidRPr="007C3060">
        <w:t>m.m</w:t>
      </w:r>
      <w:proofErr w:type="spellEnd"/>
    </w:p>
    <w:p w14:paraId="270493D6" w14:textId="77777777" w:rsidR="000A2A2B" w:rsidRPr="007C3060" w:rsidRDefault="000A2A2B" w:rsidP="007C3060">
      <w:pPr>
        <w:pStyle w:val="b-post"/>
      </w:pPr>
      <w:r w:rsidRPr="007C3060">
        <w:t>Post 21 Spesielle driftsutgifter</w:t>
      </w:r>
    </w:p>
    <w:p w14:paraId="75A84817" w14:textId="77777777" w:rsidR="000A2A2B" w:rsidRPr="007C3060" w:rsidRDefault="000A2A2B" w:rsidP="007C3060">
      <w:r w:rsidRPr="007C3060">
        <w:t xml:space="preserve">Posten skal dekke utgifter til forskning og utviklingstiltak på tros- og livssynsområdet og innenfor feltet gravplasser, kremasjon og gravferd. I Stortingets behandling av </w:t>
      </w:r>
      <w:proofErr w:type="spellStart"/>
      <w:r w:rsidRPr="007C3060">
        <w:t>Prop</w:t>
      </w:r>
      <w:proofErr w:type="spellEnd"/>
      <w:r w:rsidRPr="007C3060">
        <w:t>. 1 S (2024–2024) ble bevilgningen økt med 5 mill. kroner til videreutvikling av Digital gravferdsmelding. For å bedre finansieringen av Digital gravferdsmelding, foreslås det å øke bevilgningen på posten i inneværende år med 1 mill. kroner, mot en tilsvarende reduksjon på kap. 865, post 21.</w:t>
      </w:r>
    </w:p>
    <w:p w14:paraId="53E281E8" w14:textId="77777777" w:rsidR="000A2A2B" w:rsidRPr="007C3060" w:rsidRDefault="000A2A2B" w:rsidP="007C3060">
      <w:pPr>
        <w:pStyle w:val="b-budkaptit"/>
      </w:pPr>
      <w:r w:rsidRPr="007C3060">
        <w:t>Kap. 2530 Foreldrepenger</w:t>
      </w:r>
    </w:p>
    <w:p w14:paraId="339E7C52" w14:textId="77777777" w:rsidR="000A2A2B" w:rsidRPr="007C3060" w:rsidRDefault="000A2A2B" w:rsidP="007C3060">
      <w:pPr>
        <w:pStyle w:val="b-post"/>
      </w:pPr>
      <w:r w:rsidRPr="007C3060">
        <w:t>Post 70 Foreldrepenger ved fødsel, overslagsbevilgning</w:t>
      </w:r>
    </w:p>
    <w:p w14:paraId="621423DD" w14:textId="77777777" w:rsidR="000A2A2B" w:rsidRPr="007C3060" w:rsidRDefault="000A2A2B" w:rsidP="007C3060">
      <w:r w:rsidRPr="007C3060">
        <w:t>Utgiftene til foreldrepenger ved fødsel i 2025 er anslått til 28 440 mill. kroner. Anslaget er oppjustert med 940 mill. kroner fra saldert budsjett. Det skyldes hovedsakelig flere fødsler og høyere lønnsvekst enn tidligere anslått.</w:t>
      </w:r>
    </w:p>
    <w:p w14:paraId="39B0B977" w14:textId="77777777" w:rsidR="000A2A2B" w:rsidRPr="007C3060" w:rsidRDefault="000A2A2B" w:rsidP="007C3060">
      <w:r w:rsidRPr="007C3060">
        <w:t>Navs praksis skal videre legges om i tilfeller der en person kun mottar arbeidsavklaringspenger (AAP) på tidspunktet for uttak av foreldrepenger. Bakgrunnen er at Trygderetten ved to tilfeller har satt Navs praksis til side og benyttet reglene for beregning av sykepenger, som er hovedregelen i loven. Nav skal også starte etterbetalinger for saker tilbake til 2019. Utgiftene til foreldrepenger anslås på sikt å øke med 10 mill. kroner i året som følge av endret praksis. Etterbetalinger er samlet sett anslått å gi merutgifter på kap. 2530, post 70 på om lag 60 mill. kroner. Utgifter til foreldrepenger for nye saker er anslått til 1 mill. kroner i 2025 og utgifter til etterbetalinger er anslått til 9 mill. kroner i 2025.</w:t>
      </w:r>
    </w:p>
    <w:p w14:paraId="4BC7DE73" w14:textId="77777777" w:rsidR="000A2A2B" w:rsidRPr="007C3060" w:rsidRDefault="000A2A2B" w:rsidP="007C3060">
      <w:r w:rsidRPr="007C3060">
        <w:t>Samlet foreslås det å øke bevilgningen på posten med 950 mill. kroner. Det gir en bevilgning på 28 450 mill. kroner.</w:t>
      </w:r>
    </w:p>
    <w:p w14:paraId="4DADC1E9" w14:textId="77777777" w:rsidR="000A2A2B" w:rsidRPr="007C3060" w:rsidRDefault="000A2A2B" w:rsidP="007C3060">
      <w:pPr>
        <w:pStyle w:val="b-post"/>
      </w:pPr>
      <w:r w:rsidRPr="007C3060">
        <w:t>Post 71 Engangsstønad ved fødsel og adopsjon, overslagsbevilgning</w:t>
      </w:r>
    </w:p>
    <w:p w14:paraId="1DF4E336" w14:textId="77777777" w:rsidR="000A2A2B" w:rsidRPr="007C3060" w:rsidRDefault="000A2A2B" w:rsidP="007C3060">
      <w:r w:rsidRPr="007C3060">
        <w:t>Utgiftene til engangsstønad ved fødsel og adopsjon i 2025 er anslått til 590 mill. kroner. Anslaget er nedjustert med 25 mill. kroner fra saldert budsjett. Endringen skyldes at det forventes noe færre mottakere av engangsstønad enn tidligere anslått.</w:t>
      </w:r>
    </w:p>
    <w:p w14:paraId="56BD40BE" w14:textId="77777777" w:rsidR="000A2A2B" w:rsidRPr="007C3060" w:rsidRDefault="000A2A2B" w:rsidP="007C3060">
      <w:r w:rsidRPr="007C3060">
        <w:t>Det foreslås å redusere bevilgningen på posten med 25 mill. kroner.</w:t>
      </w:r>
    </w:p>
    <w:p w14:paraId="3569A6B8" w14:textId="126907F7" w:rsidR="000A2A2B" w:rsidRPr="007C3060" w:rsidRDefault="000A2A2B" w:rsidP="007C3060">
      <w:pPr>
        <w:pStyle w:val="b-post"/>
      </w:pPr>
      <w:r w:rsidRPr="007C3060">
        <w:t>Post 72 Feriepenger av foreldrepenger, overslags-bevilgning</w:t>
      </w:r>
    </w:p>
    <w:p w14:paraId="312DB7B0" w14:textId="77777777" w:rsidR="000A2A2B" w:rsidRPr="007C3060" w:rsidRDefault="000A2A2B" w:rsidP="007C3060">
      <w:r w:rsidRPr="007C3060">
        <w:t>Utgiftene til feriepenger av foreldrepenger i 2025 er anslått til 725 mill. kroner. Anslaget er oppjustert med 60 mill. kroner fra saldert budsjett. Feriepengene opparbeides på grunnlag av på utbetalte foreldrepenger foregående år. Økningen skyldes høyere utgifter til foreldrepenger i 2024 på grunn av flere foreldrepengemottakere enn tidligere antatt i 2024, samt en økning i hvor stor andel av foreldrepengene som utbetales som feriepenger.</w:t>
      </w:r>
    </w:p>
    <w:p w14:paraId="41ECA26B" w14:textId="77777777" w:rsidR="000A2A2B" w:rsidRPr="007C3060" w:rsidRDefault="000A2A2B" w:rsidP="007C3060">
      <w:r w:rsidRPr="007C3060">
        <w:t>Det foreslås å øke bevilgningen på posten med 60 mill. kroner.</w:t>
      </w:r>
    </w:p>
    <w:p w14:paraId="2E1FC7A7" w14:textId="0ADEE023" w:rsidR="000A2A2B" w:rsidRPr="007C3060" w:rsidRDefault="000A2A2B" w:rsidP="007C3060">
      <w:pPr>
        <w:pStyle w:val="b-post"/>
      </w:pPr>
      <w:r w:rsidRPr="007C3060">
        <w:lastRenderedPageBreak/>
        <w:t>Post 73 Foreldrepenger ved adopsjon,</w:t>
      </w:r>
      <w:r w:rsidR="00AC1986">
        <w:t xml:space="preserve"> </w:t>
      </w:r>
      <w:r w:rsidRPr="007C3060">
        <w:t>overslagsbevilgning</w:t>
      </w:r>
    </w:p>
    <w:p w14:paraId="143B10E9" w14:textId="77777777" w:rsidR="000A2A2B" w:rsidRPr="007C3060" w:rsidRDefault="000A2A2B" w:rsidP="007C3060">
      <w:r w:rsidRPr="007C3060">
        <w:t>Utgiftene til foreldrepenger ved adopsjon i 2025 er anslått til 21 mill. kroner. Anslaget er nedjustert med 7 mill. kroner fra saldert budsjett. Endringen skyldes at det har vært en nedgang i antall adopsjoner og at det derfor forventes færre mottakere enn lagt til grunn i Saldert budsjett 2025.</w:t>
      </w:r>
    </w:p>
    <w:p w14:paraId="390479CF" w14:textId="77777777" w:rsidR="000A2A2B" w:rsidRPr="007C3060" w:rsidRDefault="000A2A2B" w:rsidP="007C3060">
      <w:r w:rsidRPr="007C3060">
        <w:t>Det foreslås å redusere bevilgningen på posten med 7 mill. kroner.</w:t>
      </w:r>
    </w:p>
    <w:p w14:paraId="7BC1D8C1" w14:textId="77777777" w:rsidR="000A2A2B" w:rsidRPr="007C3060" w:rsidRDefault="000A2A2B" w:rsidP="007C3060">
      <w:pPr>
        <w:pStyle w:val="Overskrift2"/>
      </w:pPr>
      <w:r w:rsidRPr="007C3060">
        <w:t>Nærings- og fiskeridepartementet</w:t>
      </w:r>
    </w:p>
    <w:p w14:paraId="56A56D28" w14:textId="77777777" w:rsidR="000A2A2B" w:rsidRPr="007C3060" w:rsidRDefault="000A2A2B" w:rsidP="007C3060">
      <w:pPr>
        <w:pStyle w:val="b-budkaptit"/>
      </w:pPr>
      <w:r w:rsidRPr="007C3060">
        <w:t>Kap. 900 Nærings- og fiskeridepartementet</w:t>
      </w:r>
    </w:p>
    <w:p w14:paraId="235979EA" w14:textId="77777777" w:rsidR="000A2A2B" w:rsidRPr="007C3060" w:rsidRDefault="000A2A2B" w:rsidP="007C3060">
      <w:pPr>
        <w:pStyle w:val="b-post"/>
      </w:pPr>
      <w:r w:rsidRPr="007C3060">
        <w:t>Post 01 Driftsutgifter</w:t>
      </w:r>
    </w:p>
    <w:p w14:paraId="3AA6CC71" w14:textId="77777777" w:rsidR="000A2A2B" w:rsidRPr="007C3060" w:rsidRDefault="000A2A2B" w:rsidP="007C3060">
      <w:r w:rsidRPr="007C3060">
        <w:t xml:space="preserve">Det vises til </w:t>
      </w:r>
      <w:proofErr w:type="spellStart"/>
      <w:r w:rsidRPr="007C3060">
        <w:t>Prop</w:t>
      </w:r>
      <w:proofErr w:type="spellEnd"/>
      <w:r w:rsidRPr="007C3060">
        <w:t>. 27 S (2024–2025) og omtale om overføring av eierskapet i Flytoget fra Nærings- og fiskeridepartementet til Samferdselsdepartementet. Det foreslås rammeoverføring til Samferdselsdepartementet på grunn av økt arbeidsmengde. Bevilgningen foreslås derfor redusert med 0,8 mill. kroner.</w:t>
      </w:r>
    </w:p>
    <w:p w14:paraId="2BFDDB00" w14:textId="77777777" w:rsidR="000A2A2B" w:rsidRPr="007C3060" w:rsidRDefault="000A2A2B" w:rsidP="007C3060">
      <w:pPr>
        <w:pStyle w:val="b-post"/>
      </w:pPr>
      <w:r w:rsidRPr="007C3060">
        <w:t>Post 21 Spesielle driftsutgifter, kan overføres</w:t>
      </w:r>
    </w:p>
    <w:p w14:paraId="44C76192" w14:textId="77777777" w:rsidR="000A2A2B" w:rsidRPr="007C3060" w:rsidRDefault="000A2A2B" w:rsidP="007C3060">
      <w:r w:rsidRPr="007C3060">
        <w:t xml:space="preserve">Det vises til Stortingets behandling av </w:t>
      </w:r>
      <w:proofErr w:type="spellStart"/>
      <w:r w:rsidRPr="007C3060">
        <w:t>Innst</w:t>
      </w:r>
      <w:proofErr w:type="spellEnd"/>
      <w:r w:rsidRPr="007C3060">
        <w:t xml:space="preserve">. 174 S og </w:t>
      </w:r>
      <w:proofErr w:type="spellStart"/>
      <w:r w:rsidRPr="007C3060">
        <w:t>Prop</w:t>
      </w:r>
      <w:proofErr w:type="spellEnd"/>
      <w:r w:rsidRPr="007C3060">
        <w:t>. 47 S (2024–2025). Stortinget vedtok 25. mars 2025 anskaffelse av nytt sjøfibersamband til Svalbard og Jan Mayen fra Space Norway innenfor en kostnadsramme på 2 835 mill. kroner. Det vil være behov for tett oppfølging fra departementet for å legge til rette for kostnadskontroll i prosjektet, og for å utarbeide en løsning for fremtidig eierskap og finansiering av sambandet. På denne bakgrunn fremmes forslag om å øke bevilgingen med 1 mill. kroner.</w:t>
      </w:r>
    </w:p>
    <w:p w14:paraId="2FF6FE53" w14:textId="77777777" w:rsidR="000A2A2B" w:rsidRPr="007C3060" w:rsidRDefault="000A2A2B" w:rsidP="007C3060">
      <w:r w:rsidRPr="007C3060">
        <w:t>Det er satt av 1,4 mill. kroner innenfor bevilgningen til finansiering av Norges deltakelse i OECDs arbeid med havøkonomi gjennom prosjektet «Ocean Monitor». Oppfølgingen av prosjektet og utbetaling til OECD er lagt til Norges forskningsråd. Det foreslås derfor å flytte 1,4 mill. kroner fra post 21 til kap. 920, post 72.</w:t>
      </w:r>
    </w:p>
    <w:p w14:paraId="3187794A" w14:textId="77777777" w:rsidR="000A2A2B" w:rsidRPr="007C3060" w:rsidRDefault="000A2A2B" w:rsidP="007C3060">
      <w:r w:rsidRPr="007C3060">
        <w:t>Det foreslås videre å redusere bevilgningen med 2 mill. kroner, jf. omtale under kap. 900, post 75.</w:t>
      </w:r>
    </w:p>
    <w:p w14:paraId="3544DC22" w14:textId="77777777" w:rsidR="000A2A2B" w:rsidRPr="007C3060" w:rsidRDefault="000A2A2B" w:rsidP="007C3060">
      <w:r w:rsidRPr="007C3060">
        <w:t>Samlet foreslås bevilgningen redusert med 2,4 mill. kroner.</w:t>
      </w:r>
    </w:p>
    <w:p w14:paraId="2DBDCC6F" w14:textId="77777777" w:rsidR="000A2A2B" w:rsidRPr="007C3060" w:rsidRDefault="000A2A2B" w:rsidP="007C3060">
      <w:pPr>
        <w:pStyle w:val="b-post"/>
      </w:pPr>
      <w:r w:rsidRPr="007C3060">
        <w:t>Post 23 Spesielle driftsutgifter til administrasjon av statlig garantiordning for lån til små og mellomstore bedrifter</w:t>
      </w:r>
    </w:p>
    <w:p w14:paraId="65588E1F" w14:textId="77777777" w:rsidR="000A2A2B" w:rsidRPr="007C3060" w:rsidRDefault="000A2A2B" w:rsidP="007C3060">
      <w:r w:rsidRPr="007C3060">
        <w:t>I saldert budsjettet for 2025 er det bevilget 4,15 mill. kroner til forvaltning av lånegarantiordningen i Eksportfinansiering Norge. Det viser seg at utgiftene til administrasjon kan dekkes av ubenyttede midler som er bevilget i tidligere år. På denne bakgrunn foreslås bevilgningen redusert med 4,15 mill. kroner.</w:t>
      </w:r>
    </w:p>
    <w:p w14:paraId="11512643" w14:textId="77777777" w:rsidR="000A2A2B" w:rsidRPr="007C3060" w:rsidRDefault="000A2A2B" w:rsidP="007C3060">
      <w:pPr>
        <w:pStyle w:val="b-post"/>
      </w:pPr>
      <w:r w:rsidRPr="007C3060">
        <w:lastRenderedPageBreak/>
        <w:t>Post 71 Miljøtiltak Raufoss</w:t>
      </w:r>
    </w:p>
    <w:p w14:paraId="71359A80" w14:textId="77777777" w:rsidR="000A2A2B" w:rsidRPr="007C3060" w:rsidRDefault="000A2A2B" w:rsidP="007C3060">
      <w:r w:rsidRPr="007C3060">
        <w:t>I saldert budsjett for 2025 er det bevilget 9 mill. kroner til refusjon av utgifter til pålagte miljøtiltak i Raufoss Industripark. Tiltaket gjelder opprydding av forurensning etter den tidligere virksomheten til Raufoss ASA og følger av pålegg fra Miljødirektoratet. Refusjonene i 2025 er nå anslått til 7,6 mill. kroner. Hovedårsaken til reduksjonen er nedjusterte anslag knyttet til særskilte prosjekter i 2025, og at utgiftene fordeles over flere år. Bevilgningen foreslås redusert med 1,4 mill. kroner.</w:t>
      </w:r>
    </w:p>
    <w:p w14:paraId="30750940" w14:textId="23496287" w:rsidR="000A2A2B" w:rsidRPr="007C3060" w:rsidRDefault="000A2A2B" w:rsidP="007C3060">
      <w:pPr>
        <w:pStyle w:val="b-post"/>
      </w:pPr>
      <w:r w:rsidRPr="007C3060">
        <w:t>Post 75 Tilskudd til særskilte prosjekter, kan overføres</w:t>
      </w:r>
    </w:p>
    <w:p w14:paraId="14F0B3B2" w14:textId="77777777" w:rsidR="000A2A2B" w:rsidRPr="007C3060" w:rsidRDefault="000A2A2B" w:rsidP="007C3060">
      <w:r w:rsidRPr="007C3060">
        <w:t>Det foreslås å øke bevilgningen med 2 mill. kroner mot en tilsvarende reduksjon under kap. 900, post 21. Omdisponeringen skyldes behov for å kunne imøtekomme flere søknader om tilskudd til prosjekter som er vesentlige i nærings- og fiskeri-politikken. Midlene benyttes blant annet til støtte til samarbeidsarenaer mellom aktører i næringslivet, samfinansiering av utredninger, informasjonstiltak, internasjonale organisasjoner og utprøving av tiltak.</w:t>
      </w:r>
    </w:p>
    <w:p w14:paraId="712A662A" w14:textId="77777777" w:rsidR="000A2A2B" w:rsidRPr="007C3060" w:rsidRDefault="000A2A2B" w:rsidP="007C3060">
      <w:pPr>
        <w:pStyle w:val="b-budkaptit"/>
      </w:pPr>
      <w:r w:rsidRPr="007C3060">
        <w:t xml:space="preserve">Kap. 902 </w:t>
      </w:r>
      <w:proofErr w:type="spellStart"/>
      <w:r w:rsidRPr="007C3060">
        <w:t>Justervesenet</w:t>
      </w:r>
      <w:proofErr w:type="spellEnd"/>
    </w:p>
    <w:p w14:paraId="029E436F" w14:textId="77777777" w:rsidR="000A2A2B" w:rsidRPr="007C3060" w:rsidRDefault="000A2A2B" w:rsidP="007C3060">
      <w:pPr>
        <w:pStyle w:val="b-post"/>
      </w:pPr>
      <w:r w:rsidRPr="007C3060">
        <w:t>Post 21 Spesielle driftsutgifter</w:t>
      </w:r>
    </w:p>
    <w:p w14:paraId="0C8DBBA4" w14:textId="77777777" w:rsidR="000A2A2B" w:rsidRPr="007C3060" w:rsidRDefault="000A2A2B" w:rsidP="007C3060">
      <w:r w:rsidRPr="007C3060">
        <w:t xml:space="preserve">Det foreslås å redusere bevilgningen med 109 000 kroner, til 0. Dette skyldes at </w:t>
      </w:r>
      <w:proofErr w:type="spellStart"/>
      <w:r w:rsidRPr="007C3060">
        <w:t>Justervesenet</w:t>
      </w:r>
      <w:proofErr w:type="spellEnd"/>
      <w:r w:rsidRPr="007C3060">
        <w:t xml:space="preserve"> ikke lenger leverer IT-tjenester til Norsk akkreditering. Det er derfor ikke lenger behov for bevilgning på posten. Det foreslås tilsvarende reduksjon av inntektene under kap. 3902, post 04.</w:t>
      </w:r>
    </w:p>
    <w:p w14:paraId="34642C8B" w14:textId="77777777" w:rsidR="000A2A2B" w:rsidRPr="007C3060" w:rsidRDefault="000A2A2B" w:rsidP="007C3060">
      <w:pPr>
        <w:pStyle w:val="b-budkaptit"/>
      </w:pPr>
      <w:r w:rsidRPr="007C3060">
        <w:t>Kap. 3902 Justvervesenet</w:t>
      </w:r>
    </w:p>
    <w:p w14:paraId="020D902E" w14:textId="77777777" w:rsidR="000A2A2B" w:rsidRPr="007C3060" w:rsidRDefault="000A2A2B" w:rsidP="007C3060">
      <w:pPr>
        <w:pStyle w:val="b-post"/>
      </w:pPr>
      <w:r w:rsidRPr="007C3060">
        <w:t>Post 04 Oppdragsinntekter</w:t>
      </w:r>
    </w:p>
    <w:p w14:paraId="5D60E813" w14:textId="77777777" w:rsidR="000A2A2B" w:rsidRPr="007C3060" w:rsidRDefault="000A2A2B" w:rsidP="007C3060">
      <w:r w:rsidRPr="007C3060">
        <w:t>Det foreslås å redusere bevilgningen med 109 000 kroner til 0, jf. omtale under kap. 902, post 21.</w:t>
      </w:r>
    </w:p>
    <w:p w14:paraId="69B3FB4E" w14:textId="77777777" w:rsidR="000A2A2B" w:rsidRPr="007C3060" w:rsidRDefault="000A2A2B" w:rsidP="007C3060">
      <w:pPr>
        <w:pStyle w:val="b-budkaptit"/>
      </w:pPr>
      <w:r w:rsidRPr="007C3060">
        <w:t>Kap. 904 Brønnøysundregistrene</w:t>
      </w:r>
    </w:p>
    <w:p w14:paraId="38BCC2B1" w14:textId="77777777" w:rsidR="000A2A2B" w:rsidRPr="007C3060" w:rsidRDefault="000A2A2B" w:rsidP="007C3060">
      <w:pPr>
        <w:pStyle w:val="b-post"/>
      </w:pPr>
      <w:r w:rsidRPr="007C3060">
        <w:t>Post 21 Spesielle driftsutgifter, kan overføres</w:t>
      </w:r>
    </w:p>
    <w:p w14:paraId="3C85D498" w14:textId="77777777" w:rsidR="000A2A2B" w:rsidRPr="007C3060" w:rsidRDefault="000A2A2B" w:rsidP="007C3060">
      <w:r w:rsidRPr="007C3060">
        <w:t>Det foreslås å øke bevilgningen med 1,8 mill. kroner mot en tilsvarende reduksjon under Skatte-etatens budsjett i 2026. Økningen skyldes behov for nødvendige tilpasninger i Løsøreregisteret i prosjektet Fremtidens innkreving i 2025.</w:t>
      </w:r>
    </w:p>
    <w:p w14:paraId="7539B251" w14:textId="77777777" w:rsidR="000A2A2B" w:rsidRPr="007C3060" w:rsidRDefault="000A2A2B" w:rsidP="007C3060">
      <w:pPr>
        <w:pStyle w:val="b-post"/>
      </w:pPr>
      <w:r w:rsidRPr="007C3060">
        <w:t>Post 45 Større utstyrsanskaffelser og vedlikehold, kan overføres</w:t>
      </w:r>
    </w:p>
    <w:p w14:paraId="417ACB3B" w14:textId="77777777" w:rsidR="000A2A2B" w:rsidRPr="007C3060" w:rsidRDefault="000A2A2B" w:rsidP="007C3060">
      <w:r w:rsidRPr="007C3060">
        <w:t>Bevilgningsbehovet knyttet til prosjektet for ny registerplattform (</w:t>
      </w:r>
      <w:proofErr w:type="spellStart"/>
      <w:r w:rsidRPr="007C3060">
        <w:t>BRsys</w:t>
      </w:r>
      <w:proofErr w:type="spellEnd"/>
      <w:r w:rsidRPr="007C3060">
        <w:t>) i 2025 ser ut til å bli lavere enn lagt til grunn i Saldert budsjett 2025. Det skyldes overføringer av midler fra 2024 som følge av lavere utgifter enn budsjettert knyttet til produksjonssetting av saksbehandlingsløsning for enkeltpersonforetak, som første leveranse innenfor Enhetsregisteret og Foretaksregisteret. Som følge av dette foreslås bevilgningen redusert med 9 mill. kroner.</w:t>
      </w:r>
    </w:p>
    <w:p w14:paraId="1ED36F60" w14:textId="77777777" w:rsidR="000A2A2B" w:rsidRPr="007C3060" w:rsidRDefault="000A2A2B" w:rsidP="007C3060">
      <w:r w:rsidRPr="007C3060">
        <w:lastRenderedPageBreak/>
        <w:t xml:space="preserve">Videre ser bevilgningsbehovet knyttet til prosjektet Brukervennlige registertjenester (BVR) ut til å bli lavere enn budsjettert. Det skyldes overføringer av midler fra 2024 og forsinkelser i prosjektet. Forsinkelsene må ses i sammenheng med at utvidet prosjektperiode </w:t>
      </w:r>
      <w:proofErr w:type="spellStart"/>
      <w:r w:rsidRPr="007C3060">
        <w:t>BRsys</w:t>
      </w:r>
      <w:proofErr w:type="spellEnd"/>
      <w:r w:rsidRPr="007C3060">
        <w:t xml:space="preserve"> har medført endring i prosjektplaner og utvidet prosjektperiode også for BVR. Endringene innebærer at prosjektet forlenges med ett år, ut 2028, og dermed at bevilgningsbehovet fordeles over flere år. Bevilgningen foreslås redusert med 19,3 mill. kroner.</w:t>
      </w:r>
    </w:p>
    <w:p w14:paraId="306480A8" w14:textId="77777777" w:rsidR="000A2A2B" w:rsidRPr="007C3060" w:rsidRDefault="000A2A2B" w:rsidP="007C3060">
      <w:r w:rsidRPr="007C3060">
        <w:t>Samlet foreslås bevilgningen redusert med 28,3 mill. kroner.</w:t>
      </w:r>
    </w:p>
    <w:p w14:paraId="1AA86B26" w14:textId="77777777" w:rsidR="000A2A2B" w:rsidRPr="007C3060" w:rsidRDefault="000A2A2B" w:rsidP="007C3060">
      <w:pPr>
        <w:pStyle w:val="b-budkaptit"/>
      </w:pPr>
      <w:r w:rsidRPr="007C3060">
        <w:t>Kap. 906 Direktoratet for mineralforvaltning med Bergmesteren for Svalbard</w:t>
      </w:r>
    </w:p>
    <w:p w14:paraId="4A235A89" w14:textId="77777777" w:rsidR="000A2A2B" w:rsidRPr="007C3060" w:rsidRDefault="000A2A2B" w:rsidP="007C3060">
      <w:pPr>
        <w:pStyle w:val="b-post"/>
      </w:pPr>
      <w:r w:rsidRPr="007C3060">
        <w:t>Post 31 Miljøtiltak Løkken, kan overføres</w:t>
      </w:r>
    </w:p>
    <w:p w14:paraId="4955096B" w14:textId="77777777" w:rsidR="000A2A2B" w:rsidRPr="007C3060" w:rsidRDefault="000A2A2B" w:rsidP="007C3060">
      <w:r w:rsidRPr="007C3060">
        <w:t>Oppdaterte anslag viser at bevilgningsbehovet for 2025 vil bli lavere enn lagt til grunn i saldert budsjett. Med revidert tiltaksplan for Løkken gruver, er kunnskapsgrunnlaget oppdatert, og prioritering av tiltak er endret slik at noe vil bli gjennomført i 2026 istedenfor i 2025.</w:t>
      </w:r>
    </w:p>
    <w:p w14:paraId="5E572AEE" w14:textId="77777777" w:rsidR="000A2A2B" w:rsidRPr="007C3060" w:rsidRDefault="000A2A2B" w:rsidP="007C3060">
      <w:r w:rsidRPr="007C3060">
        <w:t xml:space="preserve">I 2025 planlegges det prosjektering av rehabilitering av nordre survannsnett, flytting av silomasser (farlig avfall) til godkjent deponi, samt starte overvåkning av bekker/grøfter ved </w:t>
      </w:r>
      <w:proofErr w:type="spellStart"/>
      <w:r w:rsidRPr="007C3060">
        <w:t>Fagerlivatn</w:t>
      </w:r>
      <w:proofErr w:type="spellEnd"/>
      <w:r w:rsidRPr="007C3060">
        <w:t xml:space="preserve"> som er et anbefalt tiltak i revidert tiltaksplan. I 2026 planlegges det utførelse av rehabilitering av nordre survannsnett samt fortsatt overvåkning av bekker. Det er fremdeles noe usikkerhet knyttet til tidspunkt for gjennomføring av tiltak som følge av </w:t>
      </w:r>
      <w:proofErr w:type="spellStart"/>
      <w:r w:rsidRPr="007C3060">
        <w:t>damrehabilitering</w:t>
      </w:r>
      <w:proofErr w:type="spellEnd"/>
      <w:r w:rsidRPr="007C3060">
        <w:t xml:space="preserve"> (sikkerhetstiltak på hjemfalt damanlegg) som kan påvirke miljøtilstanden i området.</w:t>
      </w:r>
    </w:p>
    <w:p w14:paraId="5116DD3A" w14:textId="77777777" w:rsidR="000A2A2B" w:rsidRPr="007C3060" w:rsidRDefault="000A2A2B" w:rsidP="007C3060">
      <w:r w:rsidRPr="007C3060">
        <w:t>På bakgrunn av dette foreslås bevilgningen redusert med 4 mill. kroner.</w:t>
      </w:r>
    </w:p>
    <w:p w14:paraId="7531E211" w14:textId="77777777" w:rsidR="000A2A2B" w:rsidRPr="007C3060" w:rsidRDefault="000A2A2B" w:rsidP="007C3060">
      <w:pPr>
        <w:pStyle w:val="b-post"/>
      </w:pPr>
      <w:r w:rsidRPr="007C3060">
        <w:t>Post 32 Miljøtiltak Folldal, kan overføres</w:t>
      </w:r>
    </w:p>
    <w:p w14:paraId="15BAAAE0" w14:textId="77777777" w:rsidR="000A2A2B" w:rsidRPr="007C3060" w:rsidRDefault="000A2A2B" w:rsidP="007C3060">
      <w:r w:rsidRPr="007C3060">
        <w:t>Oppdaterte anslag viser at bevilgningsbehovet for 2025 er lavere enn lagt til grunn i saldert budsjett for 2025. Opprinnelig bevilgningsbehov tok utgangspunkt i å gjennomføre trinn 1 av den helhetlige tiltaksplanen i to steg, i henholdsvis 2024 og 2025. Steg 1 ble gjennomført i 2024, men nytt kunnskapsgrunnlag viser at øvre gruveområde ikke bidrar like mye til forurensning av området som tidligere antatt. Dette innebærer at det er behov for overvåking og effektmåling av vannmengder knyttet til steg 1, for å tilpasse tiltak og sikre rett dimensjon for steg 2. På bakgrunn av dette forskyves noe av bevilgningsbehovet fra 2025 til 2026. Det foreslås at bevilgningen reduseres med 10 mill. kroner.</w:t>
      </w:r>
    </w:p>
    <w:p w14:paraId="353A213A" w14:textId="77777777" w:rsidR="000A2A2B" w:rsidRPr="007C3060" w:rsidRDefault="000A2A2B" w:rsidP="007C3060">
      <w:pPr>
        <w:pStyle w:val="b-budkaptit"/>
      </w:pPr>
      <w:r w:rsidRPr="007C3060">
        <w:t>Kap. 907 Norsk nukleær dekommisjonering</w:t>
      </w:r>
    </w:p>
    <w:p w14:paraId="12197D59" w14:textId="77777777" w:rsidR="000A2A2B" w:rsidRPr="007C3060" w:rsidRDefault="000A2A2B" w:rsidP="007C3060">
      <w:pPr>
        <w:pStyle w:val="b-post"/>
      </w:pPr>
      <w:r w:rsidRPr="007C3060">
        <w:t>Post 01 Driftsutgifter</w:t>
      </w:r>
    </w:p>
    <w:p w14:paraId="76EA798C" w14:textId="77777777" w:rsidR="000A2A2B" w:rsidRPr="007C3060" w:rsidRDefault="000A2A2B" w:rsidP="007C3060">
      <w:r w:rsidRPr="007C3060">
        <w:t>Staten ved Norsk nukleær dekommisjonering (NND) overtok 1. april 2025 anlegg og personell knyttet til atomreaktoren i Halden fra Institutt for energiteknikk (IFE). På denne bakgrunn foreslås det å øke bevilgningen på posten med 135,1 mill. kroner, mot en tilsvarende reduksjon på kap. 908, post 70.</w:t>
      </w:r>
    </w:p>
    <w:p w14:paraId="1C45F53C" w14:textId="77777777" w:rsidR="000A2A2B" w:rsidRPr="007C3060" w:rsidRDefault="000A2A2B" w:rsidP="007C3060">
      <w:pPr>
        <w:pStyle w:val="b-post"/>
      </w:pPr>
      <w:r w:rsidRPr="007C3060">
        <w:lastRenderedPageBreak/>
        <w:t>Post 21 Spesielle driftsutgifter, kan overføres</w:t>
      </w:r>
    </w:p>
    <w:p w14:paraId="42DDBE90" w14:textId="77777777" w:rsidR="000A2A2B" w:rsidRPr="007C3060" w:rsidRDefault="000A2A2B" w:rsidP="007C3060">
      <w:r w:rsidRPr="007C3060">
        <w:t>Bevilgningen finansierer oppryddingsprosjekter i regi av Norsk nukleær dekommisjonering (NND) og Institutt for energiteknikk (IFE). For store deler av prosjektporteføljen er det krav om å gjennomføre omfattende alternativvurderinger, utredninger og sikkerhetsvurderinger for å oppfylle krav som stilles av blant annet Direktoratet for strålevern og atomsikkerhet. Det er videre utfordringer med sikkerhetsklarering av innleide ressurser og spesialiserte anskaffelser. IFE må prioritere bruken av nøkkelressurser strengt for å komme i samsvar med krav og pålegg.</w:t>
      </w:r>
    </w:p>
    <w:p w14:paraId="4FE463E4" w14:textId="77777777" w:rsidR="000A2A2B" w:rsidRPr="007C3060" w:rsidRDefault="000A2A2B" w:rsidP="007C3060">
      <w:r w:rsidRPr="007C3060">
        <w:t>Etter gjennomgang av prosjektporteføljen og vurdering av fremdrift og prioriteringer foreslås bevilgningen redusert med 72 mill. kroner.</w:t>
      </w:r>
    </w:p>
    <w:p w14:paraId="07D909E8" w14:textId="77777777" w:rsidR="000A2A2B" w:rsidRPr="007C3060" w:rsidRDefault="000A2A2B" w:rsidP="007C3060">
      <w:pPr>
        <w:pStyle w:val="b-post"/>
      </w:pPr>
      <w:r w:rsidRPr="007C3060">
        <w:t xml:space="preserve">Post 30 Opprydding </w:t>
      </w:r>
      <w:proofErr w:type="spellStart"/>
      <w:r w:rsidRPr="007C3060">
        <w:t>Søve</w:t>
      </w:r>
      <w:proofErr w:type="spellEnd"/>
      <w:r w:rsidRPr="007C3060">
        <w:t>, kan overføres</w:t>
      </w:r>
    </w:p>
    <w:p w14:paraId="2C5DC839" w14:textId="77777777" w:rsidR="000A2A2B" w:rsidRPr="007C3060" w:rsidRDefault="000A2A2B" w:rsidP="007C3060">
      <w:r w:rsidRPr="007C3060">
        <w:t xml:space="preserve">Det foreslås å gi Norsk nukleær </w:t>
      </w:r>
      <w:proofErr w:type="spellStart"/>
      <w:r w:rsidRPr="007C3060">
        <w:t>dekommisjo-nering</w:t>
      </w:r>
      <w:proofErr w:type="spellEnd"/>
      <w:r w:rsidRPr="007C3060">
        <w:t xml:space="preserve"> fullmakt til å inngå kontrakter for inntil 40,5 mill. kroner til opprydding ved </w:t>
      </w:r>
      <w:proofErr w:type="spellStart"/>
      <w:r w:rsidRPr="007C3060">
        <w:t>Søve</w:t>
      </w:r>
      <w:proofErr w:type="spellEnd"/>
      <w:r w:rsidRPr="007C3060">
        <w:t xml:space="preserve"> gruver. Det er en økning på 4,5 mill. kroner fra saldert budsjett.»</w:t>
      </w:r>
    </w:p>
    <w:p w14:paraId="24D6FC5D" w14:textId="77777777" w:rsidR="000A2A2B" w:rsidRPr="007C3060" w:rsidRDefault="000A2A2B" w:rsidP="007C3060">
      <w:pPr>
        <w:pStyle w:val="b-post"/>
      </w:pPr>
      <w:r w:rsidRPr="007C3060">
        <w:t>Post 60 Tilskudd til kommuner</w:t>
      </w:r>
    </w:p>
    <w:p w14:paraId="669C4477" w14:textId="77777777" w:rsidR="000A2A2B" w:rsidRPr="007C3060" w:rsidRDefault="000A2A2B" w:rsidP="007C3060">
      <w:r w:rsidRPr="007C3060">
        <w:t>Tilskuddsordningen er rettet mot kommuner som er eller planlegger å bli vertskommune for atom-anlegg. Ett av tilsagnene gitt i 2024 med planlagt utbetaling i 2024, ble ikke utbetalt før i januar 2025. For å kunne opprettholde aktiviteten i 2025, foreslås det å øke bevilgningen med 1,5 mill. kroner.</w:t>
      </w:r>
    </w:p>
    <w:p w14:paraId="13FB6A6A" w14:textId="77777777" w:rsidR="000A2A2B" w:rsidRPr="007C3060" w:rsidRDefault="000A2A2B" w:rsidP="007C3060">
      <w:pPr>
        <w:pStyle w:val="b-budkaptit"/>
      </w:pPr>
      <w:r w:rsidRPr="007C3060">
        <w:t>Kap. 908 Institutt for energiteknikk</w:t>
      </w:r>
    </w:p>
    <w:p w14:paraId="2F2E2E8A" w14:textId="51559747" w:rsidR="000A2A2B" w:rsidRPr="007C3060" w:rsidRDefault="000A2A2B" w:rsidP="007C3060">
      <w:pPr>
        <w:pStyle w:val="b-post"/>
      </w:pPr>
      <w:r w:rsidRPr="007C3060">
        <w:t>Post 70 Tilskudd til drift av atomanlegg, kan nyttes under kap. 907, post 01</w:t>
      </w:r>
    </w:p>
    <w:p w14:paraId="19BC294B" w14:textId="77777777" w:rsidR="000A2A2B" w:rsidRPr="007C3060" w:rsidRDefault="000A2A2B" w:rsidP="007C3060">
      <w:r w:rsidRPr="007C3060">
        <w:t>Tilskuddet skal dekke utgiftene til drift av atom-anleggene som Institutt for energiteknikk (IFE) har ansvaret for. Det vises til omtale under kap. 907 og forslag om å flytte 135,1 mill. kroner til NND som følge av overføring av anlegg og personell knyttet til atomreaktoren i Halden.</w:t>
      </w:r>
    </w:p>
    <w:p w14:paraId="6288EED2" w14:textId="77777777" w:rsidR="000A2A2B" w:rsidRPr="007C3060" w:rsidRDefault="000A2A2B" w:rsidP="007C3060">
      <w:r w:rsidRPr="007C3060">
        <w:t>Av tilskuddet i 2024 var 22,8 mill. kroner ubenyttet. Disse midlene er overført til 2025 og reduserer årets bevilgningsbehov.</w:t>
      </w:r>
    </w:p>
    <w:p w14:paraId="3A3EE08E" w14:textId="77777777" w:rsidR="000A2A2B" w:rsidRPr="007C3060" w:rsidRDefault="000A2A2B" w:rsidP="007C3060">
      <w:r w:rsidRPr="007C3060">
        <w:t>Samlet foreslås det å redusere bevilgningen med 157,9 mill. kroner.</w:t>
      </w:r>
    </w:p>
    <w:p w14:paraId="19398181" w14:textId="77777777" w:rsidR="000A2A2B" w:rsidRPr="007C3060" w:rsidRDefault="000A2A2B" w:rsidP="007C3060">
      <w:pPr>
        <w:pStyle w:val="b-post"/>
      </w:pPr>
      <w:r w:rsidRPr="007C3060">
        <w:t>Post 71 Tilskudd til sikring av atomanlegg</w:t>
      </w:r>
    </w:p>
    <w:p w14:paraId="4E29E424" w14:textId="77777777" w:rsidR="000A2A2B" w:rsidRPr="007C3060" w:rsidRDefault="000A2A2B" w:rsidP="007C3060">
      <w:r w:rsidRPr="007C3060">
        <w:t>IFE har de siste årene gjennomført risiko- og sårbarhetsanalyser innenfor eiendom, bygg og anlegg for atomanleggene, for digital sikkerhet og organisatorisk sikkerhet. IFE har levert handlingsplaner til Direktoratet for strålevern og atomsikkerhet (DSA) med nødvendige tiltak for å følge opp ROS-analysene. I tillegg kommer nye trusselvurderinger som forsterker behovene for sikringstiltak. På denne bakgrunn foreslås bevilgningen økt med 39,4 mill. kroner.</w:t>
      </w:r>
    </w:p>
    <w:p w14:paraId="38220E59" w14:textId="77777777" w:rsidR="000A2A2B" w:rsidRPr="007C3060" w:rsidRDefault="000A2A2B" w:rsidP="007C3060">
      <w:pPr>
        <w:pStyle w:val="b-post"/>
      </w:pPr>
      <w:r w:rsidRPr="007C3060">
        <w:lastRenderedPageBreak/>
        <w:t>Post 72 Lån til flytting av laboratorier og infrastruktur</w:t>
      </w:r>
    </w:p>
    <w:p w14:paraId="0D8D3AEF" w14:textId="77777777" w:rsidR="000A2A2B" w:rsidRPr="007C3060" w:rsidRDefault="000A2A2B" w:rsidP="007C3060">
      <w:r w:rsidRPr="007C3060">
        <w:t>Det er inngått avtale mellom staten og IFE om lån på 120 mill. kroner for å finansiere flytting av laboratorier og infrastruktur ut av det konsesjons-belagte området på Kjeller. I årene 2022–2024 er det utbetalt 24 mill. kroner. I Saldert budsjett 2025 ble det bevilget 65 mill. kroner til formålet. Oppdatert fremdriftsplan tilsier at det vil bli utbetalt 35 mill. kroner i 2025. Det foreslås derfor å redusere bevilgningen med 30 mill. kroner.</w:t>
      </w:r>
    </w:p>
    <w:p w14:paraId="7E1AAB0D" w14:textId="77777777" w:rsidR="000A2A2B" w:rsidRPr="007C3060" w:rsidRDefault="000A2A2B" w:rsidP="007C3060">
      <w:pPr>
        <w:pStyle w:val="b-budkaptit"/>
      </w:pPr>
      <w:r w:rsidRPr="007C3060">
        <w:t>Kap. 5626 Renter av lån til Institutt for -energiteknikk</w:t>
      </w:r>
    </w:p>
    <w:p w14:paraId="602115D2" w14:textId="77777777" w:rsidR="000A2A2B" w:rsidRPr="007C3060" w:rsidRDefault="000A2A2B" w:rsidP="007C3060">
      <w:pPr>
        <w:pStyle w:val="b-post"/>
      </w:pPr>
      <w:r w:rsidRPr="007C3060">
        <w:t>Post 80 Renter</w:t>
      </w:r>
    </w:p>
    <w:p w14:paraId="704EFC1E" w14:textId="77777777" w:rsidR="000A2A2B" w:rsidRPr="007C3060" w:rsidRDefault="000A2A2B" w:rsidP="007C3060">
      <w:r w:rsidRPr="007C3060">
        <w:t>I 2022 ble det inngått avtale med Institutt for energi-teknikk om lån til flytting av laboratorier og infrastruktur. Renten på lånet tilsvarer gjennomsnittlig tremåneders NIBOR fra foregående år med et påslag på 1,5 prosentenheter. Lavere utbetaling av lån i 2025 innebærer at anslåtte renteinntekter blir lavere enn lagt til grunn i saldert budsjett. Det vises til omtale under kap. 908, post 72.</w:t>
      </w:r>
    </w:p>
    <w:p w14:paraId="212AFB25" w14:textId="77777777" w:rsidR="000A2A2B" w:rsidRPr="007C3060" w:rsidRDefault="000A2A2B" w:rsidP="007C3060">
      <w:r w:rsidRPr="007C3060">
        <w:t>Det foreslås å redusere bevilgningen med 2,3 mill. kroner.</w:t>
      </w:r>
    </w:p>
    <w:p w14:paraId="08F171D1" w14:textId="77777777" w:rsidR="000A2A2B" w:rsidRPr="007C3060" w:rsidRDefault="000A2A2B" w:rsidP="007C3060">
      <w:pPr>
        <w:pStyle w:val="b-budkaptit"/>
      </w:pPr>
      <w:r w:rsidRPr="007C3060">
        <w:t>Kap. 910 Sjøfartsdirektoratet</w:t>
      </w:r>
    </w:p>
    <w:p w14:paraId="31A81B52" w14:textId="77777777" w:rsidR="000A2A2B" w:rsidRPr="007C3060" w:rsidRDefault="000A2A2B" w:rsidP="007C3060">
      <w:pPr>
        <w:pStyle w:val="b-post"/>
      </w:pPr>
      <w:r w:rsidRPr="007C3060">
        <w:t>Post 01 Driftsutgifter</w:t>
      </w:r>
    </w:p>
    <w:p w14:paraId="192CDBB4" w14:textId="77777777" w:rsidR="000A2A2B" w:rsidRPr="007C3060" w:rsidRDefault="000A2A2B" w:rsidP="007C3060">
      <w:r w:rsidRPr="007C3060">
        <w:t>Utdanningsinstitusjoner og kurssentre utsteder årlig om lag 12 000 ferdighetssertifikater på vegne av Sjøfartsdirektoratet. Det foreslås at Sjøfarts-direktoratet utsteder samtlige ferdighetssertifikater fra og med 15. august 2025. Endringen sikrer at sertifikater oppbevares hos en statlig aktør med en langsiktig forvaltning, og at sertifikatene blir tilgjengelig digitalt på samme måte som andre kvalifikasjonsbevis. Endringen medfører økte gebyrinntekter. Det foreslås derfor at bevilgningen økes med 3,4 mill. kroner, mot tilsvarende økning under kap. 3910, post 02, jf. omtale.</w:t>
      </w:r>
    </w:p>
    <w:p w14:paraId="68F543BB" w14:textId="77777777" w:rsidR="000A2A2B" w:rsidRPr="007C3060" w:rsidRDefault="000A2A2B" w:rsidP="007C3060">
      <w:r w:rsidRPr="007C3060">
        <w:t>Regjeringen har besluttet at staten skal overta eierskapet og forvaltningen av kystradiotjenesten når avtalen med Telenor utløper 31. desember 2025. Sjøfartsdirektoratet vil overta oppgavene som i dag ligger i Telenor Kystradios Lisens- og sertifikatenhet, herunder lisenshåndtering, utstedelse av radiooperatørsertifikater og fagansvar for ulike kurs. Det foreslås at bevilgningen til Sjøfartsdirektoratet økes med 8,7 mill. kroner for å dekke merutgifter i 2025 knyttet til virksomhetsoverdragelsen av kystradiotjenesten.</w:t>
      </w:r>
    </w:p>
    <w:p w14:paraId="243457BE" w14:textId="77777777" w:rsidR="000A2A2B" w:rsidRPr="007C3060" w:rsidRDefault="000A2A2B" w:rsidP="007C3060">
      <w:r w:rsidRPr="007C3060">
        <w:t>Samlet foreslås bevilgningen økt med 12,1 mill. kroner.</w:t>
      </w:r>
    </w:p>
    <w:p w14:paraId="0716E2B4" w14:textId="77777777" w:rsidR="000A2A2B" w:rsidRPr="007C3060" w:rsidRDefault="000A2A2B" w:rsidP="007C3060">
      <w:pPr>
        <w:pStyle w:val="b-budkaptit"/>
      </w:pPr>
      <w:r w:rsidRPr="007C3060">
        <w:t>Kap. 3910 Sjøfartsdirektoratet</w:t>
      </w:r>
    </w:p>
    <w:p w14:paraId="1403BC3B" w14:textId="77777777" w:rsidR="000A2A2B" w:rsidRPr="007C3060" w:rsidRDefault="000A2A2B" w:rsidP="007C3060">
      <w:pPr>
        <w:pStyle w:val="b-post"/>
      </w:pPr>
      <w:r w:rsidRPr="007C3060">
        <w:t>Post 02 Maritime personellsertifikater</w:t>
      </w:r>
    </w:p>
    <w:p w14:paraId="6E58D6AF" w14:textId="77777777" w:rsidR="000A2A2B" w:rsidRPr="007C3060" w:rsidRDefault="000A2A2B" w:rsidP="007C3060">
      <w:r w:rsidRPr="007C3060">
        <w:t>Det vises til omtale under kap. 910, post 01 om utstedelse av sertifikater. Det foreslås at bevilgningen økes med 3,4 mill. kroner.</w:t>
      </w:r>
    </w:p>
    <w:p w14:paraId="6130DAB4" w14:textId="77777777" w:rsidR="000A2A2B" w:rsidRPr="007C3060" w:rsidRDefault="000A2A2B" w:rsidP="007C3060">
      <w:pPr>
        <w:pStyle w:val="b-budkaptit"/>
      </w:pPr>
      <w:r w:rsidRPr="007C3060">
        <w:lastRenderedPageBreak/>
        <w:t>Kap. 912 Klagenemndssekretariatet</w:t>
      </w:r>
    </w:p>
    <w:p w14:paraId="2A431138" w14:textId="77777777" w:rsidR="000A2A2B" w:rsidRPr="007C3060" w:rsidRDefault="000A2A2B" w:rsidP="007C3060">
      <w:pPr>
        <w:pStyle w:val="b-post"/>
      </w:pPr>
      <w:r w:rsidRPr="007C3060">
        <w:t>Post 01 Driftsutgifter</w:t>
      </w:r>
    </w:p>
    <w:p w14:paraId="69F86569" w14:textId="77777777" w:rsidR="000A2A2B" w:rsidRPr="007C3060" w:rsidRDefault="000A2A2B" w:rsidP="007C3060">
      <w:r w:rsidRPr="007C3060">
        <w:t>Det er besluttet å opprette en klagenemnd for klager på vedtak fra Direktoratet for høyere utdanning og kompetanse om godkjenning av utenlandsk utdanning og godkjenning av yrkeskvalifikasjoner på Kunnskapsdepartementets område, med virkning fra 1. januar 2026. Det er videre besluttet at nemndas sekretariat skal legges til Klagenemndssekretariatet. Bevilgningen foreslås økt med 0,5 mill. kroner for å dekke etableringskostnader for sekretariatet, mot en tilsvarende reduksjon på kap. 275, post 70, jf. omtale under denne posten.</w:t>
      </w:r>
    </w:p>
    <w:p w14:paraId="795765B3" w14:textId="77777777" w:rsidR="000A2A2B" w:rsidRPr="007C3060" w:rsidRDefault="000A2A2B" w:rsidP="007C3060">
      <w:r w:rsidRPr="007C3060">
        <w:t xml:space="preserve">Regjeringen foreslår at enkeltvedtak fattet av Reguleringsmyndigheten for energi (RME) som gjelder strømstønad eller Norgespris, kan påklages til Energiklagenemnda. Energiklagenemnda vil på denne bakgrunn </w:t>
      </w:r>
      <w:proofErr w:type="gramStart"/>
      <w:r w:rsidRPr="007C3060">
        <w:t>potensielt</w:t>
      </w:r>
      <w:proofErr w:type="gramEnd"/>
      <w:r w:rsidRPr="007C3060">
        <w:t xml:space="preserve"> få økt saksmengde og økte utgifter til å behandle flere klagesaker. Det foreslås å tilføre 1 mill. kroner til Klage-nemndssekretariatet for å bistå Energiklage-nemnda.</w:t>
      </w:r>
    </w:p>
    <w:p w14:paraId="28E58E32" w14:textId="77777777" w:rsidR="000A2A2B" w:rsidRPr="007C3060" w:rsidRDefault="000A2A2B" w:rsidP="007C3060">
      <w:r w:rsidRPr="007C3060">
        <w:t>Som følge av endringer i pengespilloven har det vært en økning i antall saker til behandling i Lotterinemnda. Det er derfor behov for økt kapasitet i nemndas sekretariat ut 2025 for å redusere etterslepet i saksbehandlingen, og saksbehandlingstiden. På bakgrunn av dette foreslås bevilgningen økt med 0,75 mill. kroner.</w:t>
      </w:r>
    </w:p>
    <w:p w14:paraId="098CEBE9" w14:textId="77777777" w:rsidR="000A2A2B" w:rsidRPr="007C3060" w:rsidRDefault="000A2A2B" w:rsidP="007C3060">
      <w:r w:rsidRPr="007C3060">
        <w:t>Samlet foreslås bevilgningen økt med 2,25 mill. kroner.</w:t>
      </w:r>
    </w:p>
    <w:p w14:paraId="7E42F1A7" w14:textId="77777777" w:rsidR="000A2A2B" w:rsidRPr="007C3060" w:rsidRDefault="000A2A2B" w:rsidP="007C3060">
      <w:r w:rsidRPr="007C3060">
        <w:t xml:space="preserve">Klagenemndssekretariatet har påbegynt en prosess for å anskaffe en ny leieavtale, som følge av at leieavtalen for sekretariatets nåværende lokaler går ut i mai 2026. Det legges opp til søk etter lokaler med noe større kapasitet enn etatens nåværende lokaler, for å ta høyde for at Klage-nemndssekretariatet kan få ansvar for å levere sekretariats tjenester til flere nemnder. Som omtalt over, er det allerede vedtatt at Klage-nemndssekretariatet vil få ansvar for å levere </w:t>
      </w:r>
      <w:proofErr w:type="spellStart"/>
      <w:r w:rsidRPr="007C3060">
        <w:t>sekretariatstjenester</w:t>
      </w:r>
      <w:proofErr w:type="spellEnd"/>
      <w:r w:rsidRPr="007C3060">
        <w:t xml:space="preserve"> til ny nemnd på Kunnskapsdepartementets område.</w:t>
      </w:r>
    </w:p>
    <w:p w14:paraId="693D93B8" w14:textId="77777777" w:rsidR="000A2A2B" w:rsidRPr="007C3060" w:rsidRDefault="000A2A2B" w:rsidP="007C3060">
      <w:pPr>
        <w:pStyle w:val="b-budkaptit"/>
      </w:pPr>
      <w:r w:rsidRPr="007C3060">
        <w:t>Kap. 916 Kystverket</w:t>
      </w:r>
    </w:p>
    <w:p w14:paraId="7A58E404" w14:textId="77777777" w:rsidR="000A2A2B" w:rsidRPr="007C3060" w:rsidRDefault="000A2A2B" w:rsidP="007C3060">
      <w:pPr>
        <w:pStyle w:val="b-post"/>
      </w:pPr>
      <w:r w:rsidRPr="007C3060">
        <w:t>Post 01 Driftsutgifter, kan nyttes under post 45</w:t>
      </w:r>
    </w:p>
    <w:p w14:paraId="3F30560E" w14:textId="77777777" w:rsidR="000A2A2B" w:rsidRPr="007C3060" w:rsidRDefault="000A2A2B" w:rsidP="007C3060">
      <w:r w:rsidRPr="007C3060">
        <w:t>Kystverket har ansvaret for den statlige slepe-beredskapen. I 2019 overtok Forsvaret det operative ansvaret for slepeberedskapen, mot at Kystverket finansierer to innleide kystvaktfartøy. Kystverket betaler i dag om lag 170 mill. kroner i året for leie og drift av de to fartøyene.</w:t>
      </w:r>
    </w:p>
    <w:p w14:paraId="3C622071" w14:textId="77777777" w:rsidR="000A2A2B" w:rsidRPr="007C3060" w:rsidRDefault="000A2A2B" w:rsidP="007C3060">
      <w:r w:rsidRPr="007C3060">
        <w:t>Utgiftene til drift av de to fartøyene har vist seg å være høyere enn beregnet da Forsvaret overtok det operative ansvaret.</w:t>
      </w:r>
    </w:p>
    <w:p w14:paraId="1B836239" w14:textId="77777777" w:rsidR="000A2A2B" w:rsidRPr="007C3060" w:rsidRDefault="000A2A2B" w:rsidP="007C3060">
      <w:r w:rsidRPr="007C3060">
        <w:t>Bevilgningen foreslås økt med 99,1 mill. kroner for å sørge for drift av de to kystvaktfartøyene Kystverket finansierer i 2025.</w:t>
      </w:r>
    </w:p>
    <w:p w14:paraId="1A5BF003" w14:textId="77777777" w:rsidR="000A2A2B" w:rsidRPr="007C3060" w:rsidRDefault="000A2A2B" w:rsidP="007C3060">
      <w:pPr>
        <w:pStyle w:val="b-post"/>
      </w:pPr>
      <w:r w:rsidRPr="007C3060">
        <w:t>Post 22 Driftsutgifter brukerfinansierte tjenester, kan overføres, kan nyttes under post 46</w:t>
      </w:r>
    </w:p>
    <w:p w14:paraId="54136B9F" w14:textId="77777777" w:rsidR="000A2A2B" w:rsidRPr="007C3060" w:rsidRDefault="000A2A2B" w:rsidP="007C3060">
      <w:r w:rsidRPr="007C3060">
        <w:t>Bevilgningen foreslås økt med 156,8 mill. kroner mot en økning i inntektsbevilgningen på kap. 5574, post 77 på 155,7 mill. kroner. Endringen skyldes økt aktivitet i lostjenesten.</w:t>
      </w:r>
    </w:p>
    <w:p w14:paraId="08148603" w14:textId="5B996E82" w:rsidR="000A2A2B" w:rsidRPr="007C3060" w:rsidRDefault="000A2A2B" w:rsidP="007C3060">
      <w:pPr>
        <w:pStyle w:val="b-post"/>
      </w:pPr>
      <w:r w:rsidRPr="007C3060">
        <w:lastRenderedPageBreak/>
        <w:t>Post 30 Nyanlegg og større vedlikehold, kan overføres</w:t>
      </w:r>
    </w:p>
    <w:p w14:paraId="1665CD00" w14:textId="77777777" w:rsidR="000A2A2B" w:rsidRPr="007C3060" w:rsidRDefault="000A2A2B" w:rsidP="007C3060">
      <w:r w:rsidRPr="007C3060">
        <w:t xml:space="preserve">Det foreslås å øke bestillingsfullmakten på posten med 545 mill. kroner, til 1 193 mill. kroner, jf. forslag til romertallsvedtak. Kystverket innehar en fullmakt om å kunne forplikte staten for fremtidige budsjettår utover gitt bevilgning på posten med inntil 648 mill. kroner. I fullmakten er det ikke forutsatt at kontrakt på entreprisen i prosjektet Vardø fiskerihavn skulle inngås i 2025. Vardø fiskerihavn skal lyses ut i 2025 i tråd med omtale i </w:t>
      </w:r>
      <w:proofErr w:type="spellStart"/>
      <w:r w:rsidRPr="007C3060">
        <w:t>Prop</w:t>
      </w:r>
      <w:proofErr w:type="spellEnd"/>
      <w:r w:rsidRPr="007C3060">
        <w:t>. 1 S (2024–2025).</w:t>
      </w:r>
    </w:p>
    <w:p w14:paraId="5A763D69" w14:textId="77777777" w:rsidR="000A2A2B" w:rsidRPr="007C3060" w:rsidRDefault="000A2A2B" w:rsidP="007C3060">
      <w:r w:rsidRPr="007C3060">
        <w:t>Det gjennomføres nå ekstern kvalitetssikring (KS2) av prosjektet innseiling Borg havn. Regjeringen vil komme tilbake til den videre oppfølgingen av prosjektet når denne prosessen er ferdig-stilt.</w:t>
      </w:r>
    </w:p>
    <w:p w14:paraId="051EB8C5" w14:textId="0B7DB2AC" w:rsidR="000A2A2B" w:rsidRPr="007C3060" w:rsidRDefault="000A2A2B" w:rsidP="007C3060">
      <w:pPr>
        <w:pStyle w:val="b-post"/>
      </w:pPr>
      <w:r w:rsidRPr="007C3060">
        <w:t>Post 46 Større utstyrsanskaffelser og bruker-finansierte tjenester, kan overføres, kan nyttes under post 22</w:t>
      </w:r>
    </w:p>
    <w:p w14:paraId="06A305F5" w14:textId="77777777" w:rsidR="000A2A2B" w:rsidRPr="007C3060" w:rsidRDefault="000A2A2B" w:rsidP="007C3060">
      <w:r w:rsidRPr="007C3060">
        <w:t>Bevilgningen skal dekke anskaffelse av datasystemer og IKT-utstyr til sjøtrafikksentraler og lostjenesten. Behovet for slike anskaffelser vil være lavere enn tidligere beregnet, og bevilgningen foreslås derfor redusert med 12,6 mill. kroner, jf. omtale under kap. 5574, post 77.</w:t>
      </w:r>
    </w:p>
    <w:p w14:paraId="372837CF" w14:textId="77777777" w:rsidR="000A2A2B" w:rsidRPr="007C3060" w:rsidRDefault="000A2A2B" w:rsidP="007C3060">
      <w:pPr>
        <w:pStyle w:val="b-post"/>
      </w:pPr>
      <w:r w:rsidRPr="007C3060">
        <w:t>Post 71 Tilskudd til effektive og miljøvennlige havner, kan overføres</w:t>
      </w:r>
    </w:p>
    <w:p w14:paraId="1CF1D5B2" w14:textId="77777777" w:rsidR="000A2A2B" w:rsidRPr="007C3060" w:rsidRDefault="000A2A2B" w:rsidP="007C3060">
      <w:r w:rsidRPr="007C3060">
        <w:t>Det er behov for å øke tilsagnsfullmakten på posten fordi Kystverkets handlingsrom til å gjennomføre utbetalinger i tråd med bevilgningen begrenses av at tilsagnsfullmakten er for lav. For å kunne forvalte ordningen effektivt må tilsagnsfullmakten tilsvare summen av inneværende års og neste års bevilgning.</w:t>
      </w:r>
    </w:p>
    <w:p w14:paraId="049FCACF" w14:textId="77777777" w:rsidR="000A2A2B" w:rsidRPr="007C3060" w:rsidRDefault="000A2A2B" w:rsidP="007C3060">
      <w:r w:rsidRPr="007C3060">
        <w:t>Det foreslås å øke tilsagnsfullmakten med 74 mill. kroner, til 250 mill. kroner, jf. forslag til romertallsvedtak.</w:t>
      </w:r>
    </w:p>
    <w:p w14:paraId="01342312" w14:textId="77777777" w:rsidR="000A2A2B" w:rsidRPr="007C3060" w:rsidRDefault="000A2A2B" w:rsidP="007C3060">
      <w:pPr>
        <w:pStyle w:val="b-budkaptit"/>
      </w:pPr>
      <w:r w:rsidRPr="007C3060">
        <w:t>Kap. 917 Fiskeridirektoratet</w:t>
      </w:r>
    </w:p>
    <w:p w14:paraId="48322209" w14:textId="77777777" w:rsidR="000A2A2B" w:rsidRPr="007C3060" w:rsidRDefault="000A2A2B" w:rsidP="007C3060">
      <w:pPr>
        <w:pStyle w:val="b-post"/>
      </w:pPr>
      <w:r w:rsidRPr="007C3060">
        <w:t>Post 01 Driftsutgifter</w:t>
      </w:r>
    </w:p>
    <w:p w14:paraId="46508B76" w14:textId="77777777" w:rsidR="000A2A2B" w:rsidRPr="007C3060" w:rsidRDefault="000A2A2B" w:rsidP="007C3060">
      <w:r w:rsidRPr="007C3060">
        <w:t xml:space="preserve">Fiskeridirektoratet deltar gjennom </w:t>
      </w:r>
      <w:proofErr w:type="spellStart"/>
      <w:r w:rsidRPr="007C3060">
        <w:t>FangstID</w:t>
      </w:r>
      <w:proofErr w:type="spellEnd"/>
      <w:r w:rsidRPr="007C3060">
        <w:t xml:space="preserve">-programmet i prosjekter med finansiering fra Norges forskningsråd og </w:t>
      </w:r>
      <w:proofErr w:type="spellStart"/>
      <w:r w:rsidRPr="007C3060">
        <w:t>Horizon</w:t>
      </w:r>
      <w:proofErr w:type="spellEnd"/>
      <w:r w:rsidRPr="007C3060">
        <w:t xml:space="preserve"> Europe. </w:t>
      </w:r>
      <w:proofErr w:type="spellStart"/>
      <w:r w:rsidRPr="007C3060">
        <w:t>FangstID</w:t>
      </w:r>
      <w:proofErr w:type="spellEnd"/>
      <w:r w:rsidRPr="007C3060">
        <w:t>-programmet har fått økt prosjektstøtte, og det foreslås å øke bevilgningen med 4 mill. kroner mot tilsvarende økning på kap. 3917, post 01.</w:t>
      </w:r>
    </w:p>
    <w:p w14:paraId="1B030B28" w14:textId="28316AC3" w:rsidR="000A2A2B" w:rsidRPr="007C3060" w:rsidRDefault="000A2A2B" w:rsidP="007C3060">
      <w:pPr>
        <w:pStyle w:val="b-post"/>
      </w:pPr>
      <w:r w:rsidRPr="007C3060">
        <w:t>Post 22 Fiskeriforskning og -overvåking, kan overføres</w:t>
      </w:r>
    </w:p>
    <w:p w14:paraId="5ECFB67A" w14:textId="77777777" w:rsidR="000A2A2B" w:rsidRPr="007C3060" w:rsidRDefault="000A2A2B" w:rsidP="007C3060">
      <w:r w:rsidRPr="007C3060">
        <w:t>Bevilgningen motsvares av inntekter fra fiskeriforskningsavgiften, jf. kap. 5574, post 74. Avgiften trekkes fra førstehåndsomsetningen til fiskerne og skal dekke deler av kostnadene ved å skaffe nødvendig kunnskapsgrunnlag for fiskeriforvaltningen, til å forebygge marin forsøpling fra fiskerinæringen og rydde tapte fiskeredskap. På bakgrunn av oppdatert anslag for inntekter fra fiskeriforskningsavgiften, foreslås bevilgningen økt med 14,9 mill. kroner.</w:t>
      </w:r>
    </w:p>
    <w:p w14:paraId="619841F5" w14:textId="77777777" w:rsidR="000A2A2B" w:rsidRPr="007C3060" w:rsidRDefault="000A2A2B" w:rsidP="007C3060">
      <w:pPr>
        <w:pStyle w:val="b-post"/>
      </w:pPr>
      <w:r w:rsidRPr="007C3060">
        <w:lastRenderedPageBreak/>
        <w:t>Post 23 Prisråd for havbruk</w:t>
      </w:r>
    </w:p>
    <w:p w14:paraId="29273377" w14:textId="77777777" w:rsidR="000A2A2B" w:rsidRPr="007C3060" w:rsidRDefault="000A2A2B" w:rsidP="007C3060">
      <w:r w:rsidRPr="007C3060">
        <w:t xml:space="preserve">Posten dekker særskilte utgifter knyttet til driften av Prisrådet for havbruk, inkludert Fiskeridirektoratets sekretariatsoppgaver og klagesaksbehandling. Det er bevilget 12,4 mill. kroner for 2025. Etter om lag ett års drift av Prisrådet og </w:t>
      </w:r>
      <w:proofErr w:type="spellStart"/>
      <w:r w:rsidRPr="007C3060">
        <w:t>sekre-tariatsfunksjonen</w:t>
      </w:r>
      <w:proofErr w:type="spellEnd"/>
      <w:r w:rsidRPr="007C3060">
        <w:t xml:space="preserve"> har Fiskeridirektoratet mer informasjon om hvilke utgifter som må forventes i 2025. IT-relaterte utgifter foreslås økt med 6,2 mill. kroner, utgifter knyttet til prisrådets medlemmer med 1 mill. kroner og utgifter til klage-saksenheten med 0,1 mill. kroner. Økte IT-relaterte kostnader knyttes i hovedsak til nødvendig utarbeidelse av automatisk rapporteringsløsning. Fiskeridirektoratets sekretariatsoppgave foreslås redusert med 0,4 mill. kroner.</w:t>
      </w:r>
    </w:p>
    <w:p w14:paraId="5FEE1F71" w14:textId="77777777" w:rsidR="000A2A2B" w:rsidRPr="007C3060" w:rsidRDefault="000A2A2B" w:rsidP="007C3060">
      <w:r w:rsidRPr="007C3060">
        <w:t>Samlet foreslås bevilgningen økt med 6,9 mill. kroner.</w:t>
      </w:r>
    </w:p>
    <w:p w14:paraId="4D390944" w14:textId="77777777" w:rsidR="000A2A2B" w:rsidRPr="007C3060" w:rsidRDefault="000A2A2B" w:rsidP="007C3060">
      <w:pPr>
        <w:pStyle w:val="b-budkaptit"/>
      </w:pPr>
      <w:r w:rsidRPr="007C3060">
        <w:t>Kap. 3917 Fiskeridirektoratet</w:t>
      </w:r>
    </w:p>
    <w:p w14:paraId="20256007" w14:textId="77777777" w:rsidR="000A2A2B" w:rsidRPr="007C3060" w:rsidRDefault="000A2A2B" w:rsidP="007C3060">
      <w:pPr>
        <w:pStyle w:val="b-post"/>
      </w:pPr>
      <w:r w:rsidRPr="007C3060">
        <w:t>Post 01 Diverse inntekter</w:t>
      </w:r>
    </w:p>
    <w:p w14:paraId="54E1BCB7" w14:textId="77777777" w:rsidR="000A2A2B" w:rsidRPr="007C3060" w:rsidRDefault="000A2A2B" w:rsidP="007C3060">
      <w:r w:rsidRPr="007C3060">
        <w:t>Det foreslås å øke bevilgningen med 4 mill. kroner, jf. omtale under kap. 917, post 01.</w:t>
      </w:r>
    </w:p>
    <w:p w14:paraId="73119FF4" w14:textId="77777777" w:rsidR="000A2A2B" w:rsidRPr="007C3060" w:rsidRDefault="000A2A2B" w:rsidP="007C3060">
      <w:pPr>
        <w:pStyle w:val="b-post"/>
      </w:pPr>
      <w:r w:rsidRPr="007C3060">
        <w:t>Post 13 (Ny) Inntekter fra salg av oppdrettstillatelser</w:t>
      </w:r>
    </w:p>
    <w:p w14:paraId="06324DED" w14:textId="77777777" w:rsidR="000A2A2B" w:rsidRPr="007C3060" w:rsidRDefault="000A2A2B" w:rsidP="007C3060">
      <w:r w:rsidRPr="007C3060">
        <w:t>Posten gjelder inntekter knyttet til salg av nye tillatelser til oppdrett av laks, ørret og regnbueørret mot vederlag. Fiskeridirektoratet har mottatt inntekter i forbindelse med konvertering av utviklingstillatelser på 65,1 mill. kroner. Det foreslås derfor å bevilge 65,1 mill. kroner på posten. Videre foreslås en merinntektsfullmakt knyttet til posten, jf. nærmere omtale under kap. 919, post 60.</w:t>
      </w:r>
    </w:p>
    <w:p w14:paraId="52E4415B" w14:textId="77777777" w:rsidR="000A2A2B" w:rsidRPr="007C3060" w:rsidRDefault="000A2A2B" w:rsidP="007C3060">
      <w:pPr>
        <w:pStyle w:val="b-budkaptit"/>
      </w:pPr>
      <w:r w:rsidRPr="007C3060">
        <w:t>Kap. 919 Diverse fiskeriformål</w:t>
      </w:r>
    </w:p>
    <w:p w14:paraId="19AC2C1C" w14:textId="77777777" w:rsidR="000A2A2B" w:rsidRPr="007C3060" w:rsidRDefault="000A2A2B" w:rsidP="007C3060">
      <w:pPr>
        <w:pStyle w:val="b-post"/>
      </w:pPr>
      <w:r w:rsidRPr="007C3060">
        <w:t>Post 60 Tilskudd til kommuner og fylkeskommuner</w:t>
      </w:r>
    </w:p>
    <w:p w14:paraId="7D24DECC" w14:textId="77777777" w:rsidR="000A2A2B" w:rsidRPr="007C3060" w:rsidRDefault="000A2A2B" w:rsidP="007C3060">
      <w:r w:rsidRPr="007C3060">
        <w:t>Posten dekker kommuner og fylkeskommuners andel av inntektene fra salg av ny tillatelseskapasitet til oppdrett, samt provenyet fra produksjons-avgiften på oppdrett av laks, ørret og regnbue-ørret. I Saldert budsjett 2025 ble det lagt til grunn et beregningsteknisk anslag på inntekter fra produksjonsavgiften på 1 244 mill. kroner. Endelige inn-</w:t>
      </w:r>
      <w:proofErr w:type="spellStart"/>
      <w:r w:rsidRPr="007C3060">
        <w:t>tekter</w:t>
      </w:r>
      <w:proofErr w:type="spellEnd"/>
      <w:r w:rsidRPr="007C3060">
        <w:t xml:space="preserve"> fra produksjonsavgiften utgjør 1 358,6 mill. kroner, hvorav 3 mill. kroner dekker Fiskeri-direktoratets forvaltning av ordningen. Videre er det mottatt inntekter fra salg av nye oppdrettstillatelser på 108,6 mill. kroner siden forrige utbetaling gjennom posten i 2024. Kommunal sektors andel av inntekter fra salg av nye oppdrettstillatelser er 55 pst. På denne bakgrunn foreslås det å øke bevilgningen med til sammen 171,3 mill. kroner.</w:t>
      </w:r>
    </w:p>
    <w:p w14:paraId="0A8433E5" w14:textId="77777777" w:rsidR="000A2A2B" w:rsidRPr="007C3060" w:rsidRDefault="000A2A2B" w:rsidP="007C3060">
      <w:r w:rsidRPr="007C3060">
        <w:t>Det pågår fremdeles noe saksbehandling knyttet til tildelingsrunden av nye tillatelser i 2024. For å legge til rette for at kommunal andel av eventuelle merinntekter utbetales raskt, foreslås en merinntektsfullmakt slik at utbetalingene tilsvarer forholdsmessig inntekter fra tildelingene, jf. forslag til romertallsvedtak.</w:t>
      </w:r>
    </w:p>
    <w:p w14:paraId="0CC78E5E" w14:textId="77777777" w:rsidR="000A2A2B" w:rsidRPr="007C3060" w:rsidRDefault="000A2A2B" w:rsidP="007C3060">
      <w:pPr>
        <w:pStyle w:val="b-post"/>
      </w:pPr>
      <w:r w:rsidRPr="007C3060">
        <w:lastRenderedPageBreak/>
        <w:t>Post 76 Tilskudd til fiskeriforskning, kan overføres</w:t>
      </w:r>
    </w:p>
    <w:p w14:paraId="5EAD6C23" w14:textId="77777777" w:rsidR="000A2A2B" w:rsidRPr="007C3060" w:rsidRDefault="000A2A2B" w:rsidP="007C3060">
      <w:r w:rsidRPr="007C3060">
        <w:t>Bevilgningen motsvares av inntekter fra fiskeriforskningsavgiften, jf. kap. 5574, post 74. Midlene går til en tilskuddsordning for å finansiere bruk av fartøy og andre ekstrakostnader ved toktbasert fiskeriforskning. På bakgrunn av oppdatert anslag foreslås bevilgningen økt med 0,8 mill. kroner.</w:t>
      </w:r>
    </w:p>
    <w:p w14:paraId="3E1A5933" w14:textId="77777777" w:rsidR="000A2A2B" w:rsidRPr="007C3060" w:rsidRDefault="000A2A2B" w:rsidP="007C3060">
      <w:pPr>
        <w:pStyle w:val="b-budkaptit"/>
      </w:pPr>
      <w:r w:rsidRPr="007C3060">
        <w:t>Kap. 920 Norges forskningsråd</w:t>
      </w:r>
    </w:p>
    <w:p w14:paraId="13DCD53E" w14:textId="0AD98625" w:rsidR="000A2A2B" w:rsidRPr="007C3060" w:rsidRDefault="000A2A2B" w:rsidP="007C3060">
      <w:pPr>
        <w:pStyle w:val="b-post"/>
      </w:pPr>
      <w:r w:rsidRPr="007C3060">
        <w:t>Post 70 Tilskudd til næringsrettet forskning, kan overføres</w:t>
      </w:r>
    </w:p>
    <w:p w14:paraId="19ED6B97" w14:textId="77777777" w:rsidR="000A2A2B" w:rsidRPr="007C3060" w:rsidRDefault="000A2A2B" w:rsidP="007C3060">
      <w:r w:rsidRPr="007C3060">
        <w:t>I 2024 lyste Forskningsrådet ut 438 mill. kroner over posten til Innovasjonsprosjekter i nærings-livet – Brukerstyrt innovasjonsarena (BIA). Ved årsslutt viser endelige vedtakstall at det ble tildelt 180 mill. kroner i 2024, som er 82,8 mill. lavere enn først estimert. Isolert sett reduserer dette inngående udekkede forpliktelser på posten (tilsagn som ikke er utbetalt, og det foreslås derfor å øke tilsagnsrammen for 2025 med 82,8 mill. kroner, for å opprettholde det planlagte tildelingsnivået fra 2024-utlysningen.</w:t>
      </w:r>
    </w:p>
    <w:p w14:paraId="44453EF2" w14:textId="77777777" w:rsidR="000A2A2B" w:rsidRPr="007C3060" w:rsidRDefault="000A2A2B" w:rsidP="007C3060">
      <w:r w:rsidRPr="007C3060">
        <w:t xml:space="preserve">Det stilles 40 mill. kroner til disposisjon for Forskningsrådet for å sikre nasjonal medfinansiering av norsk deltakelse i pilar 1 i European Chips </w:t>
      </w:r>
      <w:proofErr w:type="spellStart"/>
      <w:r w:rsidRPr="007C3060">
        <w:t>Act</w:t>
      </w:r>
      <w:proofErr w:type="spellEnd"/>
      <w:r w:rsidRPr="007C3060">
        <w:t>. Midlene ble bevilget på kap. 924 post 70 for 2025. Det foreslås at midlene overføres til kap. 920 ved at tilsagnsramme og tilsagnsfullmakt for post 70 økes med 40 mill. kroner, mens bevilgningen på kap. 924, post 70 reduseres med 40 mill. kroner. Det forventes ikke at noe av midlene utbetales i 2025, og bevilgningen på kap. 920 foreslås dermed ikke økt.</w:t>
      </w:r>
    </w:p>
    <w:p w14:paraId="2F8CA182" w14:textId="77777777" w:rsidR="000A2A2B" w:rsidRPr="007C3060" w:rsidRDefault="000A2A2B" w:rsidP="007C3060">
      <w:r w:rsidRPr="007C3060">
        <w:t xml:space="preserve">Samlet foreslås det å øke tilsagnsrammen for 2025 med 122,8 mill. kroner for å opprettholde planlagt tildelingsnivå. For å opprettholde nivået på tilsagnsfullmakten, reduseres utgående uforpliktede avsetninger i 2024 med 82,8 mill. kroner. Det forventes ikke at endringen vil påvirke estimerte utbetalinger på posten i særlig grad fordi tilsagnsrammen har vært inkludert i tidligere leverte prognosetall, og det kun er snakk om en forskyvning av tildelingstidspunkt fra siste halvår 2024 til 2025. Bevilgningen foreslås derfor beholdt uendret, og tilsagnsfullmakten endres kun med 40 mill. kroner tilknyttet Chips </w:t>
      </w:r>
      <w:proofErr w:type="spellStart"/>
      <w:r w:rsidRPr="007C3060">
        <w:t>Act</w:t>
      </w:r>
      <w:proofErr w:type="spellEnd"/>
      <w:r w:rsidRPr="007C3060">
        <w:t>, til 2 878 mill. kroner.</w:t>
      </w:r>
    </w:p>
    <w:p w14:paraId="411CB8AA" w14:textId="77777777" w:rsidR="000A2A2B" w:rsidRPr="007C3060" w:rsidRDefault="000A2A2B" w:rsidP="007C3060">
      <w:pPr>
        <w:pStyle w:val="b-post"/>
      </w:pPr>
      <w:r w:rsidRPr="007C3060">
        <w:t>Post 72 Tilskudd til marin og maritim forskning, kan overføres</w:t>
      </w:r>
    </w:p>
    <w:p w14:paraId="05E533B1" w14:textId="77777777" w:rsidR="000A2A2B" w:rsidRPr="007C3060" w:rsidRDefault="000A2A2B" w:rsidP="007C3060">
      <w:r w:rsidRPr="007C3060">
        <w:t>Det vises til omtale under kap. 900, post 21 om finansiering av Norges deltakelse i OECDs arbeid med havøkonomi gjennom prosjektet «Ocean Monitor». På denne bakgrunn foreslås bevilgningen økt med 1,4 mill. kroner.</w:t>
      </w:r>
    </w:p>
    <w:p w14:paraId="44FCD049" w14:textId="77777777" w:rsidR="000A2A2B" w:rsidRPr="007C3060" w:rsidRDefault="000A2A2B" w:rsidP="007C3060">
      <w:pPr>
        <w:pStyle w:val="b-budkaptit"/>
      </w:pPr>
      <w:r w:rsidRPr="007C3060">
        <w:t>Kap. 922 Romvirksomhet</w:t>
      </w:r>
    </w:p>
    <w:p w14:paraId="31CF6932" w14:textId="77777777" w:rsidR="000A2A2B" w:rsidRPr="007C3060" w:rsidRDefault="000A2A2B" w:rsidP="007C3060">
      <w:pPr>
        <w:pStyle w:val="b-post"/>
      </w:pPr>
      <w:r w:rsidRPr="007C3060">
        <w:t xml:space="preserve">Post 70 Kontingent i European Space </w:t>
      </w:r>
      <w:proofErr w:type="spellStart"/>
      <w:r w:rsidRPr="007C3060">
        <w:t>Agency</w:t>
      </w:r>
      <w:proofErr w:type="spellEnd"/>
      <w:r w:rsidRPr="007C3060">
        <w:t xml:space="preserve"> (ESA)</w:t>
      </w:r>
    </w:p>
    <w:p w14:paraId="7D03737C" w14:textId="77777777" w:rsidR="000A2A2B" w:rsidRPr="007C3060" w:rsidRDefault="000A2A2B" w:rsidP="007C3060">
      <w:r w:rsidRPr="007C3060">
        <w:t xml:space="preserve">Bevilgningen i saldert budsjett på 276,2 mill. kroner i kontingent til Den europeiske romorganisasjonen (European Space </w:t>
      </w:r>
      <w:proofErr w:type="spellStart"/>
      <w:r w:rsidRPr="007C3060">
        <w:t>Agency</w:t>
      </w:r>
      <w:proofErr w:type="spellEnd"/>
      <w:r w:rsidRPr="007C3060">
        <w:t xml:space="preserve">, ESA) for 2025 var basert på foreløpige plan- og budsjettdokumenter fra European Space </w:t>
      </w:r>
      <w:proofErr w:type="spellStart"/>
      <w:r w:rsidRPr="007C3060">
        <w:t>Agency</w:t>
      </w:r>
      <w:proofErr w:type="spellEnd"/>
      <w:r w:rsidRPr="007C3060">
        <w:t xml:space="preserve"> (ESA). Endelig budsjett ble vedtatt av ESA i desember 2024 og innebærer et kostnadsnivå som er 30 000 euro lavere enn det som lå til grunn for </w:t>
      </w:r>
      <w:r w:rsidRPr="007C3060">
        <w:lastRenderedPageBreak/>
        <w:t>saldert budsjett, det vil si et samlet budsjett på 24,14 mill. euro. Utviklingen i valutakurs siden statsbudsjettet for 2025 ble vedtatt tilsier derimot at bevilgningsbehovet er økt til 285,3 mill. kroner. Det foreslås å øke bevilgningen med 9,1 mill. kroner som følge av dette.</w:t>
      </w:r>
    </w:p>
    <w:p w14:paraId="08725177" w14:textId="77777777" w:rsidR="000A2A2B" w:rsidRPr="007C3060" w:rsidRDefault="000A2A2B" w:rsidP="007C3060">
      <w:pPr>
        <w:pStyle w:val="b-post"/>
      </w:pPr>
      <w:r w:rsidRPr="007C3060">
        <w:t>Post 71 Internasjonal romvirksomhet</w:t>
      </w:r>
    </w:p>
    <w:p w14:paraId="24ABE79F" w14:textId="77777777" w:rsidR="000A2A2B" w:rsidRPr="007C3060" w:rsidRDefault="000A2A2B" w:rsidP="007C3060">
      <w:r w:rsidRPr="007C3060">
        <w:t xml:space="preserve">Det er bevilget 499,5 mill. kroner til internasjonal romvirksomhet i 2025. Bevilgningen dekker ESAs industrirettede romprogrammer, </w:t>
      </w:r>
      <w:proofErr w:type="spellStart"/>
      <w:r w:rsidRPr="007C3060">
        <w:t>Esrange</w:t>
      </w:r>
      <w:proofErr w:type="spellEnd"/>
      <w:r w:rsidRPr="007C3060">
        <w:t xml:space="preserve"> Andøya Special Project (EASP)-avtalen med Tyskland, Frankrike, Sveits og Sverige og bidrag til utdanningskontoret ESERO ved Andøya Space, i tillegg til </w:t>
      </w:r>
      <w:proofErr w:type="spellStart"/>
      <w:r w:rsidRPr="007C3060">
        <w:t>Radarsat</w:t>
      </w:r>
      <w:proofErr w:type="spellEnd"/>
      <w:r w:rsidRPr="007C3060">
        <w:t>-avtalen. Midlene utbetales i hovedsak i euro og dollar. Det ble avsatt 40 mill. euro til ESAs industrirettede programmer. Etter at ESAs budsjett ble klart i desember 2024, viste det seg at estimatet var for lavt. Samtidig har Norge fått tilbakebetalt midler fra ESA som et resultat av flytting av midler mellom ulike programmer og renteinntekter fra 2023. Netto utgjør dette et redusert bevilgningsbehov på 4,5 mill. euro, som tilsvarer om lag 53,2 mill. kroner.</w:t>
      </w:r>
    </w:p>
    <w:p w14:paraId="71E18ABC" w14:textId="77777777" w:rsidR="000A2A2B" w:rsidRPr="007C3060" w:rsidRDefault="000A2A2B" w:rsidP="007C3060">
      <w:r w:rsidRPr="007C3060">
        <w:t xml:space="preserve">Resterende utbetalinger til ESA-programmene vil ut fra ovenstående utgjøre 35,5 mill. euro for 2025. Også kostnader knyttet til EASP-avtalen betales i euro og utgjør om lag 3,2 mill. euro. per år. Estimerte valutakostnader på de resterende ESA-utbetalingene og EASP-avtalen utgjør et økt bevilgningsbehov på 12,7 mill. kroner. Valutajustering knyttet til økning i dollarkursen for betaling av </w:t>
      </w:r>
      <w:proofErr w:type="spellStart"/>
      <w:r w:rsidRPr="007C3060">
        <w:t>Radarsat</w:t>
      </w:r>
      <w:proofErr w:type="spellEnd"/>
      <w:r w:rsidRPr="007C3060">
        <w:t>-avtalen for inneværende år utgjør 0,4 mill. kroner.</w:t>
      </w:r>
    </w:p>
    <w:p w14:paraId="7494558A" w14:textId="77777777" w:rsidR="000A2A2B" w:rsidRPr="007C3060" w:rsidRDefault="000A2A2B" w:rsidP="007C3060">
      <w:r w:rsidRPr="007C3060">
        <w:t>Samlet foreslås bevilgningen redusert med 31,4 mill. kroner.</w:t>
      </w:r>
    </w:p>
    <w:p w14:paraId="79A28A16" w14:textId="77777777" w:rsidR="000A2A2B" w:rsidRPr="007C3060" w:rsidRDefault="000A2A2B" w:rsidP="007C3060">
      <w:pPr>
        <w:pStyle w:val="avsnitt-undertittel"/>
      </w:pPr>
      <w:r w:rsidRPr="007C3060">
        <w:t xml:space="preserve">Forlengelse av </w:t>
      </w:r>
      <w:proofErr w:type="spellStart"/>
      <w:r w:rsidRPr="007C3060">
        <w:t>Radarsat</w:t>
      </w:r>
      <w:proofErr w:type="spellEnd"/>
      <w:r w:rsidRPr="007C3060">
        <w:t>-avtalen</w:t>
      </w:r>
    </w:p>
    <w:p w14:paraId="6B98710A" w14:textId="77777777" w:rsidR="000A2A2B" w:rsidRPr="007C3060" w:rsidRDefault="000A2A2B" w:rsidP="007C3060">
      <w:r w:rsidRPr="007C3060">
        <w:t xml:space="preserve">Norge har i en årrekke benyttet seg av bilder fra den kanadiske radarsatellitten </w:t>
      </w:r>
      <w:proofErr w:type="spellStart"/>
      <w:r w:rsidRPr="007C3060">
        <w:t>Radarsat</w:t>
      </w:r>
      <w:proofErr w:type="spellEnd"/>
      <w:r w:rsidRPr="007C3060">
        <w:t xml:space="preserve">. Fordi </w:t>
      </w:r>
      <w:proofErr w:type="spellStart"/>
      <w:r w:rsidRPr="007C3060">
        <w:t>Radarsat</w:t>
      </w:r>
      <w:proofErr w:type="spellEnd"/>
      <w:r w:rsidRPr="007C3060">
        <w:t>-avtalen gir kostnadseffektiv tilgang til satellittbilder av områder andre satellitter i begrenset grad dekker, spesielt i nordområdene, er det flere norske etater som har god nytte av bildene. Det foreslås derfor at avtalen videreføres for første halvår 2026. Den foreslåtte forlengelsen koster totalt 750 000 dollar eller om lag 8,3 mill. kroner og må betales høsten 2025. For å dekke inn merutgiftene foreslås det at departementene som representerer de største brukerbehovene, sammen finansierer forlengelsen, fordelt med 7,46 mill. kroner fra Forsvarsdepartementet og 0,83 mill. kroner fra Klima- og miljødepartementet.</w:t>
      </w:r>
    </w:p>
    <w:p w14:paraId="523580FF" w14:textId="77777777" w:rsidR="000A2A2B" w:rsidRPr="007C3060" w:rsidRDefault="000A2A2B" w:rsidP="007C3060">
      <w:pPr>
        <w:pStyle w:val="avsnitt-undertittel"/>
      </w:pPr>
      <w:r w:rsidRPr="007C3060">
        <w:t>Videreføring av EASP-avtalen for femårsperioden 2026-2030</w:t>
      </w:r>
    </w:p>
    <w:p w14:paraId="69A293EC" w14:textId="77777777" w:rsidR="000A2A2B" w:rsidRPr="007C3060" w:rsidRDefault="000A2A2B" w:rsidP="007C3060">
      <w:proofErr w:type="spellStart"/>
      <w:r w:rsidRPr="007C3060">
        <w:t>Esrange</w:t>
      </w:r>
      <w:proofErr w:type="spellEnd"/>
      <w:r w:rsidRPr="007C3060">
        <w:t xml:space="preserve"> Andøya Special Project (EASP) er en avtale mellom Tyskland, Frankrike, Sveits, Sverige og Norge, samt den mellomstatlige organisasjonen European Space </w:t>
      </w:r>
      <w:proofErr w:type="spellStart"/>
      <w:r w:rsidRPr="007C3060">
        <w:t>Agency</w:t>
      </w:r>
      <w:proofErr w:type="spellEnd"/>
      <w:r w:rsidRPr="007C3060">
        <w:t xml:space="preserve"> (ESA). Nåværende avtaleperiode løper ut 2025 og vil fornyes automatisk dersom ikke oppsigelse fra avtalepartene foreligger innen 1. juli 2025. Avtalen er et samarbeid om finansiering av forsknings- og oppskytingsfasilitetene ved Andøya Space AS i Nordland og </w:t>
      </w:r>
      <w:proofErr w:type="spellStart"/>
      <w:r w:rsidRPr="007C3060">
        <w:t>Esrange</w:t>
      </w:r>
      <w:proofErr w:type="spellEnd"/>
      <w:r w:rsidRPr="007C3060">
        <w:t xml:space="preserve"> i Kiruna. Avtalen gir medlemslandenes offentlige forskningsinstitusjoner prioritet til å bruke fasilitetene. Inntektene fra EASP er avgjørende for driften av Andøya Space og finansierer norsk og internasjonal forskning som har betydning blant annet for forståelsen av klimaendringer og for hvordan </w:t>
      </w:r>
      <w:r w:rsidRPr="007C3060">
        <w:lastRenderedPageBreak/>
        <w:t>romvær påvirker satellittnavigasjonssystemer. Det foreslås en fullmakt til å forplikte staten til EASP-avtalen for en ny femårsperiode 2026–2030, jf. forslag til romertallsvedtak.</w:t>
      </w:r>
    </w:p>
    <w:p w14:paraId="1D11A40C" w14:textId="77777777" w:rsidR="000A2A2B" w:rsidRPr="007C3060" w:rsidRDefault="000A2A2B" w:rsidP="007C3060">
      <w:pPr>
        <w:pStyle w:val="b-post"/>
      </w:pPr>
      <w:r w:rsidRPr="007C3060">
        <w:t>Post 73 EUs romprogrammer</w:t>
      </w:r>
    </w:p>
    <w:p w14:paraId="48CF15A2" w14:textId="77777777" w:rsidR="000A2A2B" w:rsidRPr="007C3060" w:rsidRDefault="000A2A2B" w:rsidP="007C3060">
      <w:r w:rsidRPr="007C3060">
        <w:t>I statsbudsjettet for 2025 ble det bevilget 579,7 mill. kroner til deltakelse i EUs romprogram. Midlene skal dekke nåværende og gamle forpliktelser, medlemskontingenten for norsk deltakelse i EUs romprogram og i EUs byrå for romprogrammet.</w:t>
      </w:r>
    </w:p>
    <w:p w14:paraId="4B7DC74F" w14:textId="77777777" w:rsidR="000A2A2B" w:rsidRPr="007C3060" w:rsidRDefault="000A2A2B" w:rsidP="007C3060">
      <w:r w:rsidRPr="007C3060">
        <w:t>Utbetalinger gjøres i august hvert år. EU sender oppdatert budsjett flere ganger i året, sist i desember 2024. Endelig budsjett vedtas i juni/juli, men det ventes ingen større endringer.</w:t>
      </w:r>
    </w:p>
    <w:p w14:paraId="33540B46" w14:textId="77777777" w:rsidR="000A2A2B" w:rsidRPr="007C3060" w:rsidRDefault="000A2A2B" w:rsidP="007C3060">
      <w:r w:rsidRPr="007C3060">
        <w:t>Det foreslås å øke bevilgningen med 22 mill. kroner.</w:t>
      </w:r>
    </w:p>
    <w:p w14:paraId="3A4153A6" w14:textId="77777777" w:rsidR="000A2A2B" w:rsidRPr="007C3060" w:rsidRDefault="000A2A2B" w:rsidP="007C3060">
      <w:pPr>
        <w:pStyle w:val="b-budkaptit"/>
      </w:pPr>
      <w:r w:rsidRPr="007C3060">
        <w:t xml:space="preserve">Kap. 923 </w:t>
      </w:r>
      <w:proofErr w:type="spellStart"/>
      <w:r w:rsidRPr="007C3060">
        <w:t>Havforsypkningsinstituttet</w:t>
      </w:r>
      <w:proofErr w:type="spellEnd"/>
    </w:p>
    <w:p w14:paraId="7732CB43" w14:textId="77777777" w:rsidR="000A2A2B" w:rsidRPr="007C3060" w:rsidRDefault="000A2A2B" w:rsidP="007C3060">
      <w:pPr>
        <w:pStyle w:val="b-post"/>
      </w:pPr>
      <w:r w:rsidRPr="007C3060">
        <w:t>Post 01 Driftsutgifter, kan nyttes under post 21</w:t>
      </w:r>
    </w:p>
    <w:p w14:paraId="72ACBFE0" w14:textId="77777777" w:rsidR="000A2A2B" w:rsidRPr="007C3060" w:rsidRDefault="000A2A2B" w:rsidP="007C3060">
      <w:r w:rsidRPr="007C3060">
        <w:t xml:space="preserve">Best mulig utnyttelse av ressursgrunnlaget i nordlige kyst- og havområder krever kunnskap om bestandene, både gjennom utvikling av metodikk for bestandsestimeringer og mer kunnskap om interaksjonen mellom ulike bestander. Det er blant annet behov for å forbedre overvåking og rådgiving av kongekrabbe og utvikling av metodikken for torsk, hyse, </w:t>
      </w:r>
      <w:proofErr w:type="spellStart"/>
      <w:r w:rsidRPr="007C3060">
        <w:t>snabeluer</w:t>
      </w:r>
      <w:proofErr w:type="spellEnd"/>
      <w:r w:rsidRPr="007C3060">
        <w:t xml:space="preserve"> og vanlig uer. Videre er det behov for mer forskning for å forstå tilbakegangen i rekrutteringen og gytebestanden til skreien, og å forske på samspillet mellom sild og lodde i Barentshavet. På denne bakgrunn foreslås det å øke bevilgningen med 10 mill. kroner, til Havforskningsinstituttets arbeid med ovennevnte.</w:t>
      </w:r>
    </w:p>
    <w:p w14:paraId="6849DC00" w14:textId="55FC01F9" w:rsidR="000A2A2B" w:rsidRPr="007C3060" w:rsidRDefault="000A2A2B" w:rsidP="007C3060">
      <w:pPr>
        <w:pStyle w:val="b-post"/>
      </w:pPr>
      <w:r w:rsidRPr="007C3060">
        <w:t>Post 22 Fiskeriforskning og -overvåking, kan overføres</w:t>
      </w:r>
    </w:p>
    <w:p w14:paraId="7489CDEE" w14:textId="77777777" w:rsidR="000A2A2B" w:rsidRPr="007C3060" w:rsidRDefault="000A2A2B" w:rsidP="007C3060">
      <w:r w:rsidRPr="007C3060">
        <w:t>Det vises til omtale under kap. 917, post 22. På grunn av endret anslag for inntektene fra fiskeriforskningsavgiften foreslås det å øke bevilgningen med 26,8 mill. kroner.</w:t>
      </w:r>
    </w:p>
    <w:p w14:paraId="65AE0CCF" w14:textId="77777777" w:rsidR="000A2A2B" w:rsidRPr="007C3060" w:rsidRDefault="000A2A2B" w:rsidP="007C3060">
      <w:pPr>
        <w:pStyle w:val="b-budkaptit"/>
      </w:pPr>
      <w:r w:rsidRPr="007C3060">
        <w:t>Kap. 3923 Havforskningsinstituttet</w:t>
      </w:r>
    </w:p>
    <w:p w14:paraId="612E4A06" w14:textId="77777777" w:rsidR="000A2A2B" w:rsidRPr="007C3060" w:rsidRDefault="000A2A2B" w:rsidP="007C3060">
      <w:pPr>
        <w:pStyle w:val="b-post"/>
      </w:pPr>
      <w:r w:rsidRPr="007C3060">
        <w:t>Post 01 Oppdragsinntekter</w:t>
      </w:r>
    </w:p>
    <w:p w14:paraId="47DAA670" w14:textId="77777777" w:rsidR="000A2A2B" w:rsidRPr="007C3060" w:rsidRDefault="000A2A2B" w:rsidP="007C3060">
      <w:r w:rsidRPr="007C3060">
        <w:t>Oppdragsinntektene til Havforskningsinstituttet motsvares av en utgiftsbevilgning på kap. 923, post 21. Bevilgningene på de to postene skal være like når det tas hensyn til merverdiavgift. Blant annet på grunn av at Norges forskningsråd fra 2025 er omfattet av nettoføringsordningen for mva. er det behov for å justere inntektsbevilgningen slik at den er i tråd med utgiftsbevilgningen.</w:t>
      </w:r>
    </w:p>
    <w:p w14:paraId="2A3003DC" w14:textId="77777777" w:rsidR="000A2A2B" w:rsidRPr="007C3060" w:rsidRDefault="000A2A2B" w:rsidP="007C3060">
      <w:r w:rsidRPr="007C3060">
        <w:t>På bakgrunn av dette foreslås bevilgningen redusert med 3 mill. kroner.</w:t>
      </w:r>
    </w:p>
    <w:p w14:paraId="0F10DB5A" w14:textId="77777777" w:rsidR="000A2A2B" w:rsidRPr="007C3060" w:rsidRDefault="000A2A2B" w:rsidP="007C3060">
      <w:pPr>
        <w:pStyle w:val="b-post"/>
      </w:pPr>
      <w:r w:rsidRPr="007C3060">
        <w:t>Post 02 Oppdragsinntekter forskningsfartøy</w:t>
      </w:r>
    </w:p>
    <w:p w14:paraId="14BBC9AA" w14:textId="77777777" w:rsidR="000A2A2B" w:rsidRPr="007C3060" w:rsidRDefault="000A2A2B" w:rsidP="007C3060">
      <w:r w:rsidRPr="007C3060">
        <w:t xml:space="preserve">Oppdragsinntektene knyttet til forskningsfartøyvirksomheten til Havforskningsinstituttet motsvares av utgiftsbevilgningen på kap. 923, post 23. Bevilgningene på de to postene skal være </w:t>
      </w:r>
      <w:r w:rsidRPr="007C3060">
        <w:lastRenderedPageBreak/>
        <w:t>like når det tas hensyn til mva. De siste årene er det inngått avtaler om drift av forskningsfartøy med virksomheter som er utenfor nettoføringsordningen, uten at bevilgningen er tilsvarende justert. Det er derfor behov for å justere inntektsbevilgningen slik at den er i tråd med utgiftsbevilgningen.</w:t>
      </w:r>
    </w:p>
    <w:p w14:paraId="03343A8E" w14:textId="77777777" w:rsidR="000A2A2B" w:rsidRPr="007C3060" w:rsidRDefault="000A2A2B" w:rsidP="007C3060">
      <w:r w:rsidRPr="007C3060">
        <w:t>På bakgrunn av dette foreslås bevilgningen økt med 2,2 mill. kroner.</w:t>
      </w:r>
    </w:p>
    <w:p w14:paraId="05B70B1E" w14:textId="10BFAE3F" w:rsidR="000A2A2B" w:rsidRPr="007C3060" w:rsidRDefault="000A2A2B" w:rsidP="007C3060">
      <w:pPr>
        <w:pStyle w:val="b-budkaptit"/>
      </w:pPr>
      <w:r w:rsidRPr="007C3060">
        <w:t>Kap. 924 Internasjonale samarbeids-programmer</w:t>
      </w:r>
    </w:p>
    <w:p w14:paraId="5A3233D9" w14:textId="77777777" w:rsidR="000A2A2B" w:rsidRPr="007C3060" w:rsidRDefault="000A2A2B" w:rsidP="007C3060">
      <w:pPr>
        <w:pStyle w:val="b-post"/>
      </w:pPr>
      <w:r w:rsidRPr="007C3060">
        <w:t>Post 70 Tilskudd</w:t>
      </w:r>
    </w:p>
    <w:p w14:paraId="52FBF446" w14:textId="77777777" w:rsidR="000A2A2B" w:rsidRPr="007C3060" w:rsidRDefault="000A2A2B" w:rsidP="007C3060">
      <w:pPr>
        <w:pStyle w:val="avsnitt-undertittel"/>
      </w:pPr>
      <w:r w:rsidRPr="007C3060">
        <w:t xml:space="preserve">Chips </w:t>
      </w:r>
      <w:proofErr w:type="spellStart"/>
      <w:r w:rsidRPr="007C3060">
        <w:t>Act</w:t>
      </w:r>
      <w:proofErr w:type="spellEnd"/>
    </w:p>
    <w:p w14:paraId="26D6F3ED" w14:textId="77777777" w:rsidR="000A2A2B" w:rsidRPr="007C3060" w:rsidRDefault="000A2A2B" w:rsidP="007C3060">
      <w:r w:rsidRPr="007C3060">
        <w:t xml:space="preserve">Det ble øremerket 40 mill. kroner til norsk deltakelse i European Chips </w:t>
      </w:r>
      <w:proofErr w:type="spellStart"/>
      <w:r w:rsidRPr="007C3060">
        <w:t>Act</w:t>
      </w:r>
      <w:proofErr w:type="spellEnd"/>
      <w:r w:rsidRPr="007C3060">
        <w:t xml:space="preserve"> på posten i saldert budsjett. Midlene er nå stilt til disposisjon for Forskningsrådet som i samråd med øvrige deler av det næringsrettede virkemiddelapparatet skal sikre at helheten av aktivitetene under pilar 1 i European Chips </w:t>
      </w:r>
      <w:proofErr w:type="spellStart"/>
      <w:r w:rsidRPr="007C3060">
        <w:t>Act</w:t>
      </w:r>
      <w:proofErr w:type="spellEnd"/>
      <w:r w:rsidRPr="007C3060">
        <w:t xml:space="preserve"> ivaretas på en god måte. Midlene foreslås derfor overført til kap. 920, post 70 der det vil være behov for å øke tilsagnsramme og tilsagnsfullmakt i 2025. Det vises til nærmere omtale under kap. 920, post 70.</w:t>
      </w:r>
    </w:p>
    <w:p w14:paraId="1F58A46A" w14:textId="77777777" w:rsidR="000A2A2B" w:rsidRPr="007C3060" w:rsidRDefault="000A2A2B" w:rsidP="007C3060">
      <w:pPr>
        <w:pStyle w:val="avsnitt-undertittel"/>
      </w:pPr>
      <w:r w:rsidRPr="007C3060">
        <w:t>Valutajustering av EU-programmer</w:t>
      </w:r>
    </w:p>
    <w:p w14:paraId="26A83DC4" w14:textId="77777777" w:rsidR="000A2A2B" w:rsidRPr="007C3060" w:rsidRDefault="000A2A2B" w:rsidP="007C3060">
      <w:r w:rsidRPr="007C3060">
        <w:t xml:space="preserve">På grunn av valutakursendringer er det behov for å øke tilskuddet til </w:t>
      </w:r>
      <w:proofErr w:type="spellStart"/>
      <w:r w:rsidRPr="007C3060">
        <w:t>InvestEU</w:t>
      </w:r>
      <w:proofErr w:type="spellEnd"/>
      <w:r w:rsidRPr="007C3060">
        <w:t xml:space="preserve">, inkludert deltakelse i </w:t>
      </w:r>
      <w:proofErr w:type="spellStart"/>
      <w:r w:rsidRPr="007C3060">
        <w:t>InvestEU</w:t>
      </w:r>
      <w:proofErr w:type="spellEnd"/>
      <w:r w:rsidRPr="007C3060">
        <w:t xml:space="preserve">-portalen, og til EUs indre marked. Tilskudd til programmene er i Saldert budsjett 2025 estimert til henholdsvis 24,3 og 6,2 mill. euro, til sammen 30,5 mill. euro. Bevilgningen var basert på valutakurs per 3. juni 2024, som ga et bevilgningsbehov på om lag 347,9 mill. kroner. Basert på valutakurs per 5. mars 2025 vil bevilgnings-behovet eksklusive Chips </w:t>
      </w:r>
      <w:proofErr w:type="spellStart"/>
      <w:r w:rsidRPr="007C3060">
        <w:t>Act</w:t>
      </w:r>
      <w:proofErr w:type="spellEnd"/>
      <w:r w:rsidRPr="007C3060">
        <w:t xml:space="preserve"> øke til 360,5 mill. kroner. Det foreslås å øke bevilgningen med 12,6 mill. kroner.</w:t>
      </w:r>
    </w:p>
    <w:p w14:paraId="1F565814" w14:textId="77777777" w:rsidR="000A2A2B" w:rsidRPr="007C3060" w:rsidRDefault="000A2A2B" w:rsidP="007C3060">
      <w:r w:rsidRPr="007C3060">
        <w:t>Samlet foreslås bevilgningen redusert med 27,4 mill. kroner.</w:t>
      </w:r>
    </w:p>
    <w:p w14:paraId="4E7DC2DE" w14:textId="77777777" w:rsidR="000A2A2B" w:rsidRPr="007C3060" w:rsidRDefault="000A2A2B" w:rsidP="007C3060">
      <w:r w:rsidRPr="007C3060">
        <w:t xml:space="preserve">Tilsagnsfullmakten knyttet til </w:t>
      </w:r>
      <w:proofErr w:type="spellStart"/>
      <w:r w:rsidRPr="007C3060">
        <w:t>InvestEU</w:t>
      </w:r>
      <w:proofErr w:type="spellEnd"/>
      <w:r w:rsidRPr="007C3060">
        <w:t xml:space="preserve"> var basert på at det ved utgangen av 2025 gjensto å betale 85,952 mill. euro i tapsavsetning i programperioden. Med valutakurs per 3. juni 2024 ga det en tilsagnsfullmakt på 978,9 mill. kroner. Basert på valutakurs per 5. mars 2025 er det behov for å øke fullmakten til 1 016 mill. kroner, en økning på 37,1 mill. kroner, jf. forslag til romertallsvedtak.</w:t>
      </w:r>
    </w:p>
    <w:p w14:paraId="49A9A30D" w14:textId="77777777" w:rsidR="000A2A2B" w:rsidRPr="007C3060" w:rsidRDefault="000A2A2B" w:rsidP="007C3060">
      <w:pPr>
        <w:pStyle w:val="b-budkaptit"/>
      </w:pPr>
      <w:r w:rsidRPr="007C3060">
        <w:t>Kap. 928 Annen marin forskning og utvikling</w:t>
      </w:r>
    </w:p>
    <w:p w14:paraId="0BE112DA" w14:textId="77777777" w:rsidR="000A2A2B" w:rsidRPr="007C3060" w:rsidRDefault="000A2A2B" w:rsidP="007C3060">
      <w:pPr>
        <w:pStyle w:val="b-post"/>
      </w:pPr>
      <w:r w:rsidRPr="007C3060">
        <w:t>Post 21 Spesielle driftsutgifter, kan overføres</w:t>
      </w:r>
    </w:p>
    <w:p w14:paraId="549CE29A" w14:textId="77777777" w:rsidR="000A2A2B" w:rsidRPr="007C3060" w:rsidRDefault="000A2A2B" w:rsidP="007C3060">
      <w:r w:rsidRPr="007C3060">
        <w:t>I perioden 2022–2024 er det gitt til sammen 45,6 mill. kroner i tilskudd til polarforskningsprogrammet Go North. I forbindelse med overgang til bruttobudsjettering av Norges forskningsråd ble midler som ikke har blitt utbetalt, 10,5 mill. kroner, tilbakeført til statskassen ved slutten av 2024. For å dekke gjenstående utbetalinger knyttet til programmet, foreslås det å øke bevilgningen med 10,5 mill. kroner.</w:t>
      </w:r>
    </w:p>
    <w:p w14:paraId="21AE0AA2" w14:textId="77777777" w:rsidR="000A2A2B" w:rsidRPr="007C3060" w:rsidRDefault="000A2A2B" w:rsidP="007C3060">
      <w:pPr>
        <w:pStyle w:val="b-budkaptit"/>
      </w:pPr>
      <w:r w:rsidRPr="007C3060">
        <w:lastRenderedPageBreak/>
        <w:t>Kap. 3950 Forvaltning av statlig eierskap</w:t>
      </w:r>
    </w:p>
    <w:p w14:paraId="2CDAB6C7" w14:textId="77777777" w:rsidR="000A2A2B" w:rsidRPr="007C3060" w:rsidRDefault="000A2A2B" w:rsidP="007C3060">
      <w:pPr>
        <w:pStyle w:val="b-post"/>
      </w:pPr>
      <w:r w:rsidRPr="007C3060">
        <w:t>Post 96 Salg av aksjer</w:t>
      </w:r>
    </w:p>
    <w:p w14:paraId="5DA2C689" w14:textId="77777777" w:rsidR="000A2A2B" w:rsidRPr="007C3060" w:rsidRDefault="000A2A2B" w:rsidP="007C3060">
      <w:pPr>
        <w:pStyle w:val="avsnitt-undertittel"/>
      </w:pPr>
      <w:r w:rsidRPr="007C3060">
        <w:t>Salg av aksjene i Aker Solutions ASA</w:t>
      </w:r>
    </w:p>
    <w:p w14:paraId="48A7523B" w14:textId="77777777" w:rsidR="000A2A2B" w:rsidRPr="007C3060" w:rsidRDefault="000A2A2B" w:rsidP="007C3060">
      <w:r w:rsidRPr="007C3060">
        <w:t>Nærings- og fiskeridepartementet solgte i januar 2025 statens 30 092 943 aksjer i Aker Solutions ASA etter fullmakt fra Stortinget til å kunne redusere eierskapet helt eller delvis. Salget ble gjennomført som en auksjonsprosess mot institusjonelle investorer og ga et samlet salgsproveny på om lag 963 mill. kroner. Det tilsvarer 32 kroner per aksje. Nærings- og fiskeridepartementet har med dette solgt seg helt ut av Aker Solutions ASA.</w:t>
      </w:r>
    </w:p>
    <w:p w14:paraId="560A80D1" w14:textId="77777777" w:rsidR="000A2A2B" w:rsidRPr="007C3060" w:rsidRDefault="000A2A2B" w:rsidP="007C3060">
      <w:pPr>
        <w:pStyle w:val="avsnitt-undertittel"/>
      </w:pPr>
      <w:r w:rsidRPr="007C3060">
        <w:t>Salg av aksjene i Eksportfinans ASA</w:t>
      </w:r>
    </w:p>
    <w:p w14:paraId="6BFCB487" w14:textId="77777777" w:rsidR="000A2A2B" w:rsidRPr="007C3060" w:rsidRDefault="000A2A2B" w:rsidP="007C3060">
      <w:r w:rsidRPr="007C3060">
        <w:t>Eksportfinans ASA ble etablert i 1962 for å tilby langsiktig finansiering av norske eksport-kontrakter. Eksportfinans har ikke gitt nye utlån siden 2012, da Eksportkreditt Norge AS (nå Eksport-finansiering Norge) overtok ansvaret for å yte nye statlig støttede eksportkreditter. Eksportfinans’ virksomhet går i dag ut på å forvalte en eksisterende portefølje av eiendeler, gjeld og forpliktelser i samsvar med inngåtte avtaler. Selskapet arbeider med en planmessig og kontrollert nedbygging av eiendeler og gjeld.</w:t>
      </w:r>
    </w:p>
    <w:p w14:paraId="58A6A0BE" w14:textId="77777777" w:rsidR="000A2A2B" w:rsidRPr="007C3060" w:rsidRDefault="000A2A2B" w:rsidP="007C3060">
      <w:r w:rsidRPr="007C3060">
        <w:t>Staten eier 15 pst. av aksjene i Eksportfinans. Staten ervervet sin eierandel gjennom en rettet emisjon i 2001. Foruten staten er de største eierne DNB Bank ASA med 40 pst., Nordea Bank AB Norway Branch med 23 pst., Danske Bank med 8 pst. og Sparebanken Øst med 5 pst. Eksport-finans holder til i Oslo og hadde 19 ansatte per utgangen av 2024.</w:t>
      </w:r>
    </w:p>
    <w:p w14:paraId="0B71830D" w14:textId="77777777" w:rsidR="000A2A2B" w:rsidRPr="007C3060" w:rsidRDefault="000A2A2B" w:rsidP="007C3060">
      <w:r w:rsidRPr="007C3060">
        <w:t>DNB Bank ASA (DNB) har tilbudt å kjøpe alle aksjene i selskapet som eies av alle øvrige eiere for 18 940 kroner per aksje. Dette verdsetter egenkapitalen i selskapet til 4 999 mill. kroner, tilsvarende 100 pst. av bokført egenkapital per 31. desember 2024. Totalt vil staten motta 750 mill. kroner for aksjene ved aksept av dette tilbudet.</w:t>
      </w:r>
    </w:p>
    <w:p w14:paraId="1CBD3E06" w14:textId="77777777" w:rsidR="000A2A2B" w:rsidRPr="007C3060" w:rsidRDefault="000A2A2B" w:rsidP="007C3060">
      <w:r w:rsidRPr="007C3060">
        <w:t xml:space="preserve">Som det </w:t>
      </w:r>
      <w:proofErr w:type="gramStart"/>
      <w:r w:rsidRPr="007C3060">
        <w:t>fremgår</w:t>
      </w:r>
      <w:proofErr w:type="gramEnd"/>
      <w:r w:rsidRPr="007C3060">
        <w:t xml:space="preserve"> av eierskapsmeldingen Meld. St. 6 (2022–2023), har staten ingen særskilt begrunnelse for å være eier i Eksportfinans, og statens mål som eier er høyest mulig avkastning over tid innenfor bærekraftige rammer.</w:t>
      </w:r>
    </w:p>
    <w:p w14:paraId="23013DC7" w14:textId="77777777" w:rsidR="000A2A2B" w:rsidRPr="007C3060" w:rsidRDefault="000A2A2B" w:rsidP="007C3060">
      <w:r w:rsidRPr="007C3060">
        <w:t>Styret har vurdert tilbudet fra DNB og anbefaler aksjonærene å akseptere tilbudet. I sin vurdering har styret blant annet lagt vekt på at tilbuds-kursen tilsvarer bokført egenkapital per 31. desember 2024, noe som etter styrets oppfatning er rimelig («fair») for aksjonærene fra et finansielt perspektiv. Styret anser det ikke som sannsynlig at det vil fremsettes andre tilbud på selskapets aksjer enn tilbudet DNB har fremsatt, slik at det reelle alternativet for aksjonærene slik styret ser det, er å beholde aksjene gjennom selskapets nedbyggingsfase. I denne perioden forventer styret fortsatt lav egenkapitalavkastning og økende operasjonell risiko. Dette vil etter styrets oppfatning være et mindre attraktivt alternativ for aksjonærene enn å akseptere tilbudet.</w:t>
      </w:r>
    </w:p>
    <w:p w14:paraId="01ABCDB8" w14:textId="77777777" w:rsidR="000A2A2B" w:rsidRPr="007C3060" w:rsidRDefault="000A2A2B" w:rsidP="007C3060">
      <w:r w:rsidRPr="007C3060">
        <w:t xml:space="preserve">ABG Sundal Collier ASA har bistått Nærings- og fiskeridepartementet i vurderingen av tilbudet. De har, basert på en analyse av finansielle prognoser, verdsettelse av statens eierpost og en </w:t>
      </w:r>
      <w:r w:rsidRPr="007C3060">
        <w:lastRenderedPageBreak/>
        <w:t>vurdering av mulige synergier for kjøper (DNB) og dennes betalingsevne, konkludert med at tilbudet og prisen som er tilbudt vurderes å være rimelig («fair») fra et finansielt perspektiv.</w:t>
      </w:r>
    </w:p>
    <w:p w14:paraId="36FFB7D4" w14:textId="77777777" w:rsidR="000A2A2B" w:rsidRPr="007C3060" w:rsidRDefault="000A2A2B" w:rsidP="007C3060">
      <w:r w:rsidRPr="007C3060">
        <w:t>Samtlige øvrige aksjonærer har akseptert tilbudet.</w:t>
      </w:r>
    </w:p>
    <w:p w14:paraId="0B3C0B66" w14:textId="77777777" w:rsidR="000A2A2B" w:rsidRPr="007C3060" w:rsidRDefault="000A2A2B" w:rsidP="007C3060">
      <w:r w:rsidRPr="007C3060">
        <w:t xml:space="preserve">Regjeringen legger vekt på at staten ikke har en særskilt begrunnelse for eierskapet i Eksport-finans, og at selskapets virksomhet </w:t>
      </w:r>
      <w:proofErr w:type="gramStart"/>
      <w:r w:rsidRPr="007C3060">
        <w:t>genererer</w:t>
      </w:r>
      <w:proofErr w:type="gramEnd"/>
      <w:r w:rsidRPr="007C3060">
        <w:t xml:space="preserve"> lav avkastning på egenkapitalen (om lag 2 pst. årlig). Nåverdien av statens eierandel i selskapet bestemmes i praksis i stor grad av hvor raskt egenkapitalen som er bundet opp i selskapet, kan deles ut til eierne. Det krever i praksis enten en avvikling eller en løsning der en av eierne overtar selskapet. Regjeringen kan ikke se at det finnes andre løsninger som kan forventes å gi større verdi for staten som eier enn å akseptere </w:t>
      </w:r>
      <w:proofErr w:type="spellStart"/>
      <w:r w:rsidRPr="007C3060">
        <w:t>DNBs</w:t>
      </w:r>
      <w:proofErr w:type="spellEnd"/>
      <w:r w:rsidRPr="007C3060">
        <w:t xml:space="preserve"> tilbud. </w:t>
      </w:r>
      <w:proofErr w:type="spellStart"/>
      <w:r w:rsidRPr="007C3060">
        <w:t>DNBs</w:t>
      </w:r>
      <w:proofErr w:type="spellEnd"/>
      <w:r w:rsidRPr="007C3060">
        <w:t xml:space="preserve"> tilbud synes å være det alternativet som best bidrar til statens mål med eierskapet.</w:t>
      </w:r>
    </w:p>
    <w:p w14:paraId="198E0832" w14:textId="77777777" w:rsidR="000A2A2B" w:rsidRPr="007C3060" w:rsidRDefault="000A2A2B" w:rsidP="007C3060">
      <w:r w:rsidRPr="007C3060">
        <w:t>Et salg av statens aksjer vil gi et salgsvederlag på 750 mill. kroner.</w:t>
      </w:r>
    </w:p>
    <w:p w14:paraId="78DD2C38" w14:textId="77777777" w:rsidR="000A2A2B" w:rsidRPr="007C3060" w:rsidRDefault="000A2A2B" w:rsidP="007C3060">
      <w:r w:rsidRPr="007C3060">
        <w:t>På dette grunnlag foreslås bevilgningen økt med til sammen 1 688 mill. kroner. I tillegg foreslås en fullmakt fra Stortinget om salg av statens aksjer i Eksportfinans ASA, jf. forslag til romertallsvedtak.</w:t>
      </w:r>
    </w:p>
    <w:p w14:paraId="57F65A2D" w14:textId="77777777" w:rsidR="000A2A2B" w:rsidRPr="007C3060" w:rsidRDefault="000A2A2B" w:rsidP="007C3060">
      <w:pPr>
        <w:pStyle w:val="b-budkaptit"/>
      </w:pPr>
      <w:r w:rsidRPr="007C3060">
        <w:t>Kap. 951 Store Norske Spitsbergen -Kulkompani AS</w:t>
      </w:r>
    </w:p>
    <w:p w14:paraId="20EE57AD" w14:textId="77777777" w:rsidR="000A2A2B" w:rsidRPr="007C3060" w:rsidRDefault="000A2A2B" w:rsidP="007C3060">
      <w:pPr>
        <w:pStyle w:val="b-post"/>
      </w:pPr>
      <w:r w:rsidRPr="007C3060">
        <w:t>Post 71 (Ny) Tilskudd til energitiltak</w:t>
      </w:r>
    </w:p>
    <w:p w14:paraId="72A64DD4" w14:textId="77777777" w:rsidR="000A2A2B" w:rsidRPr="007C3060" w:rsidRDefault="000A2A2B" w:rsidP="007C3060">
      <w:r w:rsidRPr="007C3060">
        <w:t>Nærings- og fiskeridepartementet og Justis- og beredskapsdepartementet ga i mars 2024 Store Norske Spitsbergen Kulkompani AS (Store Norske) i oppdrag å gjennomføre en konsept-valg-utredning av ulike alternativer for fremtidig energiforsyning i Longyearbyen og en tilstandsvurdering av eksisterende infrastruktur med tilhørende kapitalbehov. I etterkant har Nærings- og fiskeridepartementet søkt om og fått unntak fra KVU og KS1 for videre utredning energiinfrastrukturen på kort sikt fordi det ikke foreligger relevante konseptuelle alternative. Finansdepartementet forutsetter imidlertid at det gjennomføres KVU og KS1 for utredning av langsiktig energi-løsning.</w:t>
      </w:r>
    </w:p>
    <w:p w14:paraId="7104B0E1" w14:textId="77777777" w:rsidR="000A2A2B" w:rsidRPr="007C3060" w:rsidRDefault="000A2A2B" w:rsidP="007C3060">
      <w:r w:rsidRPr="007C3060">
        <w:t xml:space="preserve">Svalbard Energi AS (SEAS) har i dag ansvaret for energiforsyningen i Longyearbyen. SEAS er 100 pst. eid av Longyearbyen lokalstyre. I etterkant av at Store Norske fikk nevnte oppdrag har regjeringen fremlagt Meld. St. 26 (2023–2024) Svalbard, der det blant annet </w:t>
      </w:r>
      <w:proofErr w:type="gramStart"/>
      <w:r w:rsidRPr="007C3060">
        <w:t>fremgår</w:t>
      </w:r>
      <w:proofErr w:type="gramEnd"/>
      <w:r w:rsidRPr="007C3060">
        <w:t xml:space="preserve"> at regjeringen har som intensjon at staten skal ta et større ansvar for energiforsyningen i Longyearbyen, for eksempel gjennom Store Norske, og avklare ansvaret for energiforsyningen så snart som mulig. Longyearbyen lokalstyre har også vedtatt å gå i dialog med staten for å avklare ansvaret for energiforsyningen med intensjon om at ansvaret så raskt som mulig skal overføres til staten.</w:t>
      </w:r>
    </w:p>
    <w:p w14:paraId="5C02931C" w14:textId="77777777" w:rsidR="000A2A2B" w:rsidRPr="007C3060" w:rsidRDefault="000A2A2B" w:rsidP="007C3060">
      <w:r w:rsidRPr="007C3060">
        <w:t xml:space="preserve">Store Norske har identifisert flere forhold ved dagens energisystem som tilsier at det er behov for å iverksette tiltak for å etablere en forsvarlig og sikker energiforsyning i Longyearbyen. Det er også påpekt et betydelig vedlikeholdsetterslep på distribusjonsnettet for strøm og fjernvarme. Med bakgrunn i dette, og for å kunne beregne tilhørende kapitalbehov, har Store Norske utarbeidet et styringsdokument og kostnadsanslag for de identifiserte tiltakene og den tekniske oppgraderingen. Dette gjennomgår nå en ekstern kvalitetssikring (KS2) i tråd med kravene i </w:t>
      </w:r>
      <w:r w:rsidRPr="007C3060">
        <w:lastRenderedPageBreak/>
        <w:t>statens prosjektmodell. Regjeringen vil komme tilbake til Stortinget når kvalitetssikringen er sluttført.</w:t>
      </w:r>
    </w:p>
    <w:p w14:paraId="69D27E3F" w14:textId="77777777" w:rsidR="000A2A2B" w:rsidRPr="007C3060" w:rsidRDefault="000A2A2B" w:rsidP="007C3060">
      <w:r w:rsidRPr="007C3060">
        <w:t>Store Norske viser til at oppgraderingen av dagens energiforsyning anses som tidskritisk og at arbeidet bør påbegynnes så tidlig som mulig. Styret tilrår derfor at det i 2025 settes i gang prosjekter som blant annet innebærer oppstart av arbeidet med prosjektering og regulering. Dette vil kreve bruk av eksterne rådgivere i tillegg til ansatte i Store Norske. Det vil også være behov for å involvere SEAS i dette arbeidet. Forprosjektene er anslått å koste 12 mill. kroner. Store Norske har ikke midler til selv å finansiere dette, og styret har derfor anmodet Nærings- og fiskeri-departementet om 12 mill. kroner i tilskudd til å dekke kostnader relatert til dette.</w:t>
      </w:r>
    </w:p>
    <w:p w14:paraId="4B42385D" w14:textId="77777777" w:rsidR="000A2A2B" w:rsidRPr="007C3060" w:rsidRDefault="000A2A2B" w:rsidP="007C3060">
      <w:r w:rsidRPr="007C3060">
        <w:t>For å opprettholde nødvendig fremdrift i arbeidet med å etablere en forsvarlig og sikker energiforsyning i Longyearbyen er det Nærings- og fiskeridepartementets vurdering at Store Norske må settes i stand til å gjennomføre de ovennevnte tiltakene. Dersom staten ikke kompenserer kostnadene vil konsekvensen være at de nevnte planlagte aktiviteter ikke gjennomføres.</w:t>
      </w:r>
    </w:p>
    <w:p w14:paraId="46791CD4" w14:textId="77777777" w:rsidR="000A2A2B" w:rsidRPr="007C3060" w:rsidRDefault="000A2A2B" w:rsidP="007C3060">
      <w:r w:rsidRPr="007C3060">
        <w:t>Det foreslås derfor å bevilge 12 mill. kroner i tilskudd til Store Norske for å dekke kostnader til forprosjekter for oppgraderingen av energi-forsyningen i Longyearbyen</w:t>
      </w:r>
    </w:p>
    <w:p w14:paraId="2F53D113" w14:textId="77777777" w:rsidR="000A2A2B" w:rsidRPr="007C3060" w:rsidRDefault="000A2A2B" w:rsidP="007C3060">
      <w:pPr>
        <w:pStyle w:val="b-budkaptit"/>
      </w:pPr>
      <w:r w:rsidRPr="007C3060">
        <w:t xml:space="preserve">Kap. 952 </w:t>
      </w:r>
      <w:proofErr w:type="spellStart"/>
      <w:r w:rsidRPr="007C3060">
        <w:t>Investinor</w:t>
      </w:r>
      <w:proofErr w:type="spellEnd"/>
      <w:r w:rsidRPr="007C3060">
        <w:t xml:space="preserve"> AS</w:t>
      </w:r>
    </w:p>
    <w:p w14:paraId="3D889A7F" w14:textId="77777777" w:rsidR="000A2A2B" w:rsidRPr="007C3060" w:rsidRDefault="000A2A2B" w:rsidP="007C3060">
      <w:pPr>
        <w:pStyle w:val="b-post"/>
      </w:pPr>
      <w:r w:rsidRPr="007C3060">
        <w:t>Post 51 (Ny) Tapsfond såkornkapital</w:t>
      </w:r>
    </w:p>
    <w:p w14:paraId="3C9BD6C0" w14:textId="77777777" w:rsidR="000A2A2B" w:rsidRPr="007C3060" w:rsidRDefault="000A2A2B" w:rsidP="007C3060">
      <w:r w:rsidRPr="007C3060">
        <w:t xml:space="preserve">Det vises til nærmere omtale av de ulike årganger og ordninger med såkornfond under Resultatrapport 2021 i </w:t>
      </w:r>
      <w:proofErr w:type="spellStart"/>
      <w:r w:rsidRPr="007C3060">
        <w:t>Prop</w:t>
      </w:r>
      <w:proofErr w:type="spellEnd"/>
      <w:r w:rsidRPr="007C3060">
        <w:t xml:space="preserve">. 1 S (2022–2023) Nærings- og fiskeridepartementet. Høsten 2024 og våren 2025 gikk de to siste, av opprinnelig åtte fond ut av ordningene med fond etablert i perioden 2006–2008. Til sammen fire landsdekkende og fire </w:t>
      </w:r>
      <w:proofErr w:type="spellStart"/>
      <w:r w:rsidRPr="007C3060">
        <w:t>distriktsrettede</w:t>
      </w:r>
      <w:proofErr w:type="spellEnd"/>
      <w:r w:rsidRPr="007C3060">
        <w:t xml:space="preserve"> såkornfond med privat og offentlig kapital ble etablert under ordningene, som også benevnes som bølge II. Bølge II-ordningene ble etablert på bakgrunn av behandlingen av statsbudsjettet for 2003 og 2005. Ordningene skulle opprinnelig være avsluttet i 2023, men jf. </w:t>
      </w:r>
      <w:proofErr w:type="spellStart"/>
      <w:r w:rsidRPr="007C3060">
        <w:t>Innst</w:t>
      </w:r>
      <w:proofErr w:type="spellEnd"/>
      <w:r w:rsidRPr="007C3060">
        <w:t xml:space="preserve">. 391 S og </w:t>
      </w:r>
      <w:proofErr w:type="spellStart"/>
      <w:r w:rsidRPr="007C3060">
        <w:t>Prop</w:t>
      </w:r>
      <w:proofErr w:type="spellEnd"/>
      <w:r w:rsidRPr="007C3060">
        <w:t xml:space="preserve">. 114 S (2018–2019) og omtale i </w:t>
      </w:r>
      <w:proofErr w:type="spellStart"/>
      <w:r w:rsidRPr="007C3060">
        <w:t>Prop</w:t>
      </w:r>
      <w:proofErr w:type="spellEnd"/>
      <w:r w:rsidRPr="007C3060">
        <w:t xml:space="preserve">. 117 S (2019–2020) har </w:t>
      </w:r>
      <w:proofErr w:type="spellStart"/>
      <w:r w:rsidRPr="007C3060">
        <w:t>Investinor</w:t>
      </w:r>
      <w:proofErr w:type="spellEnd"/>
      <w:r w:rsidRPr="007C3060">
        <w:t xml:space="preserve"> fått fullmakt til å inngå avtaler med eierne av fondene om tiltak for å ivareta verdier i fondene, herunder å utsette datoen for avslutning av fondene. Se nærmere omtale i </w:t>
      </w:r>
      <w:proofErr w:type="spellStart"/>
      <w:r w:rsidRPr="007C3060">
        <w:t>Prop</w:t>
      </w:r>
      <w:proofErr w:type="spellEnd"/>
      <w:r w:rsidRPr="007C3060">
        <w:t>. 25 S (2023–2024) av fond som har gått ut av ordningene tidligere.</w:t>
      </w:r>
    </w:p>
    <w:p w14:paraId="418A4AB5" w14:textId="77777777" w:rsidR="000A2A2B" w:rsidRPr="007C3060" w:rsidRDefault="000A2A2B" w:rsidP="007C3060">
      <w:r w:rsidRPr="007C3060">
        <w:t>Det langsiktige målet med den landsdekkende såkornkapitalordningen var å støtte etablering av innovative, konkurransedyktige vekstforetak gjennom å øke tilgangen på kompetent kapital og kompetanse. Målgruppen for de landsdekkende såkornfondene er innovative prosjekter, herunder prosjekter fra universiteter og høyskoler i hele landet.</w:t>
      </w:r>
    </w:p>
    <w:p w14:paraId="7160DC1D" w14:textId="77777777" w:rsidR="000A2A2B" w:rsidRPr="007C3060" w:rsidRDefault="000A2A2B" w:rsidP="007C3060">
      <w:r w:rsidRPr="007C3060">
        <w:t xml:space="preserve">Det langsiktige målet med den </w:t>
      </w:r>
      <w:proofErr w:type="spellStart"/>
      <w:r w:rsidRPr="007C3060">
        <w:t>distriktsrettede</w:t>
      </w:r>
      <w:proofErr w:type="spellEnd"/>
      <w:r w:rsidRPr="007C3060">
        <w:t xml:space="preserve"> såkornordningen var å tilføre kunnskapsbedrifter lokalisert i næringssvake områder med stort vekstpotensial en blanding av tålmodig egenkapital og relevant kompetanse. Statens midler til fondene skulle </w:t>
      </w:r>
      <w:proofErr w:type="spellStart"/>
      <w:r w:rsidRPr="007C3060">
        <w:t>risikoavlaste</w:t>
      </w:r>
      <w:proofErr w:type="spellEnd"/>
      <w:r w:rsidRPr="007C3060">
        <w:t xml:space="preserve"> og utløse privat kapital og kompetanse. Målgruppen for de </w:t>
      </w:r>
      <w:proofErr w:type="spellStart"/>
      <w:r w:rsidRPr="007C3060">
        <w:t>distriktsrettede</w:t>
      </w:r>
      <w:proofErr w:type="spellEnd"/>
      <w:r w:rsidRPr="007C3060">
        <w:t xml:space="preserve"> såkornfondene var bedrifter lokalisert i de mest næringssvake områdene som er truet med avfolkning. Fondene var derfor geografisk begrenset til å investere innenfor det til enhver tid definerte distriktspolitiske virkeområdet.</w:t>
      </w:r>
    </w:p>
    <w:p w14:paraId="2BE946FD" w14:textId="77777777" w:rsidR="000A2A2B" w:rsidRDefault="000A2A2B" w:rsidP="007C3060">
      <w:r w:rsidRPr="007C3060">
        <w:t xml:space="preserve">Det var private investorer som eide fondene, og staten deltok gjennom å gi ansvarlige lån. Samlet ble det lånt ut 1 256 mill. kroner av en samlet låneramme på 1 309,7 mill. kroner og bevilget </w:t>
      </w:r>
      <w:r w:rsidRPr="007C3060">
        <w:lastRenderedPageBreak/>
        <w:t>337,5 mill. kroner til tapsfond til å dekke eventuelle tap på lånene. Rentene på lånene var satt til 6-måneders NIBOR + 2,09 prosentenheter (landsdekkende) og 6-måneders NIBOR + 0,59 prosent-enheter (</w:t>
      </w:r>
      <w:proofErr w:type="spellStart"/>
      <w:r w:rsidRPr="007C3060">
        <w:t>distriktsrettet</w:t>
      </w:r>
      <w:proofErr w:type="spellEnd"/>
      <w:r w:rsidRPr="007C3060">
        <w:t>).</w:t>
      </w:r>
    </w:p>
    <w:p w14:paraId="17648A17" w14:textId="1296D387" w:rsidR="00AC1986" w:rsidRPr="007C3060" w:rsidRDefault="00AC1986" w:rsidP="00530C99">
      <w:pPr>
        <w:pStyle w:val="tabell-tittel"/>
      </w:pPr>
      <w:r w:rsidRPr="007C3060">
        <w:t>Oversikt over fondene</w:t>
      </w:r>
    </w:p>
    <w:p w14:paraId="2F551487" w14:textId="77777777" w:rsidR="000A2A2B" w:rsidRPr="007C3060" w:rsidRDefault="000A2A2B" w:rsidP="007C3060">
      <w:pPr>
        <w:pStyle w:val="Tabellnavn"/>
      </w:pPr>
      <w:r w:rsidRPr="007C3060">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4B729E" w:rsidRPr="007C3060" w14:paraId="5306E984"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B30559" w14:textId="77777777" w:rsidR="000A2A2B" w:rsidRPr="007C3060" w:rsidRDefault="000A2A2B" w:rsidP="007C3060">
            <w:r w:rsidRPr="007C3060">
              <w:t>Fond (etablert)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E0F26A" w14:textId="77777777" w:rsidR="000A2A2B" w:rsidRPr="007C3060" w:rsidRDefault="000A2A2B" w:rsidP="007C3060">
            <w:r w:rsidRPr="007C3060">
              <w:t xml:space="preserve">Størrelse </w:t>
            </w:r>
            <w:r w:rsidRPr="007C3060">
              <w:br/>
              <w:t>(mill. kroner)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C08021" w14:textId="77777777" w:rsidR="000A2A2B" w:rsidRPr="007C3060" w:rsidRDefault="000A2A2B" w:rsidP="007C3060">
            <w:r w:rsidRPr="007C3060">
              <w:t>Antall -investeringer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0077F5" w14:textId="77777777" w:rsidR="000A2A2B" w:rsidRPr="007C3060" w:rsidRDefault="000A2A2B" w:rsidP="007C3060">
            <w:r w:rsidRPr="007C3060">
              <w:t>Avkastning</w:t>
            </w:r>
            <w:r w:rsidRPr="007C3060">
              <w:rPr>
                <w:rStyle w:val="skrift-hevet"/>
              </w:rPr>
              <w:t>1</w:t>
            </w:r>
          </w:p>
        </w:tc>
      </w:tr>
      <w:tr w:rsidR="004B729E" w:rsidRPr="007C3060" w14:paraId="1B58CAED"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4B393BED" w14:textId="77777777" w:rsidR="000A2A2B" w:rsidRPr="007C3060" w:rsidRDefault="000A2A2B" w:rsidP="007C3060">
            <w:r w:rsidRPr="007C3060">
              <w:rPr>
                <w:rStyle w:val="kursiv"/>
              </w:rPr>
              <w:t>Landsdekkende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BCDE2B" w14:textId="77777777" w:rsidR="000A2A2B" w:rsidRPr="007C3060" w:rsidRDefault="000A2A2B" w:rsidP="007C3060"/>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1A4071E" w14:textId="77777777" w:rsidR="000A2A2B" w:rsidRPr="007C3060" w:rsidRDefault="000A2A2B" w:rsidP="007C3060"/>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CB1C82B" w14:textId="77777777" w:rsidR="000A2A2B" w:rsidRPr="007C3060" w:rsidRDefault="000A2A2B" w:rsidP="007C3060"/>
        </w:tc>
      </w:tr>
      <w:tr w:rsidR="004B729E" w:rsidRPr="007C3060" w14:paraId="33E68B0F" w14:textId="77777777">
        <w:trPr>
          <w:trHeight w:val="380"/>
        </w:trPr>
        <w:tc>
          <w:tcPr>
            <w:tcW w:w="5320" w:type="dxa"/>
            <w:tcBorders>
              <w:top w:val="nil"/>
              <w:left w:val="nil"/>
              <w:bottom w:val="nil"/>
              <w:right w:val="nil"/>
            </w:tcBorders>
            <w:tcMar>
              <w:top w:w="128" w:type="dxa"/>
              <w:left w:w="43" w:type="dxa"/>
              <w:bottom w:w="43" w:type="dxa"/>
              <w:right w:w="43" w:type="dxa"/>
            </w:tcMar>
          </w:tcPr>
          <w:p w14:paraId="386DB902" w14:textId="77777777" w:rsidR="000A2A2B" w:rsidRPr="007C3060" w:rsidRDefault="000A2A2B" w:rsidP="007C3060">
            <w:proofErr w:type="spellStart"/>
            <w:r w:rsidRPr="007C3060">
              <w:t>Sarsia</w:t>
            </w:r>
            <w:proofErr w:type="spellEnd"/>
            <w:r w:rsidRPr="007C3060">
              <w:t xml:space="preserve"> Seed i Bergen (2006)</w:t>
            </w:r>
          </w:p>
        </w:tc>
        <w:tc>
          <w:tcPr>
            <w:tcW w:w="1400" w:type="dxa"/>
            <w:tcBorders>
              <w:top w:val="nil"/>
              <w:left w:val="nil"/>
              <w:bottom w:val="nil"/>
              <w:right w:val="nil"/>
            </w:tcBorders>
            <w:tcMar>
              <w:top w:w="128" w:type="dxa"/>
              <w:left w:w="43" w:type="dxa"/>
              <w:bottom w:w="43" w:type="dxa"/>
              <w:right w:w="43" w:type="dxa"/>
            </w:tcMar>
            <w:vAlign w:val="bottom"/>
          </w:tcPr>
          <w:p w14:paraId="645F47D2" w14:textId="77777777" w:rsidR="000A2A2B" w:rsidRPr="007C3060" w:rsidRDefault="000A2A2B" w:rsidP="007C3060">
            <w:r w:rsidRPr="007C3060">
              <w:t>367</w:t>
            </w:r>
          </w:p>
        </w:tc>
        <w:tc>
          <w:tcPr>
            <w:tcW w:w="1400" w:type="dxa"/>
            <w:tcBorders>
              <w:top w:val="nil"/>
              <w:left w:val="nil"/>
              <w:bottom w:val="nil"/>
              <w:right w:val="nil"/>
            </w:tcBorders>
            <w:tcMar>
              <w:top w:w="128" w:type="dxa"/>
              <w:left w:w="43" w:type="dxa"/>
              <w:bottom w:w="43" w:type="dxa"/>
              <w:right w:w="43" w:type="dxa"/>
            </w:tcMar>
            <w:vAlign w:val="bottom"/>
          </w:tcPr>
          <w:p w14:paraId="36532D63" w14:textId="77777777" w:rsidR="000A2A2B" w:rsidRPr="007C3060" w:rsidRDefault="000A2A2B" w:rsidP="007C3060">
            <w:r w:rsidRPr="007C3060">
              <w:t>22</w:t>
            </w:r>
          </w:p>
        </w:tc>
        <w:tc>
          <w:tcPr>
            <w:tcW w:w="1400" w:type="dxa"/>
            <w:tcBorders>
              <w:top w:val="nil"/>
              <w:left w:val="nil"/>
              <w:bottom w:val="nil"/>
              <w:right w:val="nil"/>
            </w:tcBorders>
            <w:tcMar>
              <w:top w:w="128" w:type="dxa"/>
              <w:left w:w="43" w:type="dxa"/>
              <w:bottom w:w="43" w:type="dxa"/>
              <w:right w:w="43" w:type="dxa"/>
            </w:tcMar>
            <w:vAlign w:val="bottom"/>
          </w:tcPr>
          <w:p w14:paraId="30011099" w14:textId="77777777" w:rsidR="000A2A2B" w:rsidRPr="007C3060" w:rsidRDefault="000A2A2B" w:rsidP="007C3060">
            <w:r w:rsidRPr="007C3060">
              <w:t>Positiv</w:t>
            </w:r>
          </w:p>
        </w:tc>
      </w:tr>
      <w:tr w:rsidR="004B729E" w:rsidRPr="007C3060" w14:paraId="6E88546C" w14:textId="77777777">
        <w:trPr>
          <w:trHeight w:val="380"/>
        </w:trPr>
        <w:tc>
          <w:tcPr>
            <w:tcW w:w="5320" w:type="dxa"/>
            <w:tcBorders>
              <w:top w:val="nil"/>
              <w:left w:val="nil"/>
              <w:bottom w:val="nil"/>
              <w:right w:val="nil"/>
            </w:tcBorders>
            <w:tcMar>
              <w:top w:w="128" w:type="dxa"/>
              <w:left w:w="43" w:type="dxa"/>
              <w:bottom w:w="43" w:type="dxa"/>
              <w:right w:w="43" w:type="dxa"/>
            </w:tcMar>
          </w:tcPr>
          <w:p w14:paraId="2E71913F" w14:textId="77777777" w:rsidR="000A2A2B" w:rsidRPr="007C3060" w:rsidRDefault="000A2A2B" w:rsidP="007C3060">
            <w:proofErr w:type="spellStart"/>
            <w:r w:rsidRPr="007C3060">
              <w:t>SåkorninVest</w:t>
            </w:r>
            <w:proofErr w:type="spellEnd"/>
            <w:r w:rsidRPr="007C3060">
              <w:t xml:space="preserve"> II i Stavanger (2006)</w:t>
            </w:r>
          </w:p>
        </w:tc>
        <w:tc>
          <w:tcPr>
            <w:tcW w:w="1400" w:type="dxa"/>
            <w:tcBorders>
              <w:top w:val="nil"/>
              <w:left w:val="nil"/>
              <w:bottom w:val="nil"/>
              <w:right w:val="nil"/>
            </w:tcBorders>
            <w:tcMar>
              <w:top w:w="128" w:type="dxa"/>
              <w:left w:w="43" w:type="dxa"/>
              <w:bottom w:w="43" w:type="dxa"/>
              <w:right w:w="43" w:type="dxa"/>
            </w:tcMar>
            <w:vAlign w:val="bottom"/>
          </w:tcPr>
          <w:p w14:paraId="55DDECB6" w14:textId="77777777" w:rsidR="000A2A2B" w:rsidRPr="007C3060" w:rsidRDefault="000A2A2B" w:rsidP="007C3060">
            <w:r w:rsidRPr="007C3060">
              <w:t>374</w:t>
            </w:r>
          </w:p>
        </w:tc>
        <w:tc>
          <w:tcPr>
            <w:tcW w:w="1400" w:type="dxa"/>
            <w:tcBorders>
              <w:top w:val="nil"/>
              <w:left w:val="nil"/>
              <w:bottom w:val="nil"/>
              <w:right w:val="nil"/>
            </w:tcBorders>
            <w:tcMar>
              <w:top w:w="128" w:type="dxa"/>
              <w:left w:w="43" w:type="dxa"/>
              <w:bottom w:w="43" w:type="dxa"/>
              <w:right w:w="43" w:type="dxa"/>
            </w:tcMar>
            <w:vAlign w:val="bottom"/>
          </w:tcPr>
          <w:p w14:paraId="3DCEDF41" w14:textId="77777777" w:rsidR="000A2A2B" w:rsidRPr="007C3060" w:rsidRDefault="000A2A2B" w:rsidP="007C3060">
            <w:r w:rsidRPr="007C3060">
              <w:t>13</w:t>
            </w:r>
          </w:p>
        </w:tc>
        <w:tc>
          <w:tcPr>
            <w:tcW w:w="1400" w:type="dxa"/>
            <w:tcBorders>
              <w:top w:val="nil"/>
              <w:left w:val="nil"/>
              <w:bottom w:val="nil"/>
              <w:right w:val="nil"/>
            </w:tcBorders>
            <w:tcMar>
              <w:top w:w="128" w:type="dxa"/>
              <w:left w:w="43" w:type="dxa"/>
              <w:bottom w:w="43" w:type="dxa"/>
              <w:right w:w="43" w:type="dxa"/>
            </w:tcMar>
            <w:vAlign w:val="bottom"/>
          </w:tcPr>
          <w:p w14:paraId="445791FC" w14:textId="77777777" w:rsidR="000A2A2B" w:rsidRPr="007C3060" w:rsidRDefault="000A2A2B" w:rsidP="007C3060">
            <w:r w:rsidRPr="007C3060">
              <w:t>Negativ</w:t>
            </w:r>
          </w:p>
        </w:tc>
      </w:tr>
      <w:tr w:rsidR="004B729E" w:rsidRPr="007C3060" w14:paraId="4E40F603" w14:textId="77777777">
        <w:trPr>
          <w:trHeight w:val="380"/>
        </w:trPr>
        <w:tc>
          <w:tcPr>
            <w:tcW w:w="5320" w:type="dxa"/>
            <w:tcBorders>
              <w:top w:val="nil"/>
              <w:left w:val="nil"/>
              <w:bottom w:val="nil"/>
              <w:right w:val="nil"/>
            </w:tcBorders>
            <w:tcMar>
              <w:top w:w="128" w:type="dxa"/>
              <w:left w:w="43" w:type="dxa"/>
              <w:bottom w:w="43" w:type="dxa"/>
              <w:right w:w="43" w:type="dxa"/>
            </w:tcMar>
          </w:tcPr>
          <w:p w14:paraId="7F1BB84E" w14:textId="77777777" w:rsidR="000A2A2B" w:rsidRPr="007C3060" w:rsidRDefault="000A2A2B" w:rsidP="007C3060">
            <w:proofErr w:type="spellStart"/>
            <w:r w:rsidRPr="007C3060">
              <w:t>ProVenture</w:t>
            </w:r>
            <w:proofErr w:type="spellEnd"/>
            <w:r w:rsidRPr="007C3060">
              <w:t xml:space="preserve"> Seed i Trondheim (2006)</w:t>
            </w:r>
          </w:p>
        </w:tc>
        <w:tc>
          <w:tcPr>
            <w:tcW w:w="1400" w:type="dxa"/>
            <w:tcBorders>
              <w:top w:val="nil"/>
              <w:left w:val="nil"/>
              <w:bottom w:val="nil"/>
              <w:right w:val="nil"/>
            </w:tcBorders>
            <w:tcMar>
              <w:top w:w="128" w:type="dxa"/>
              <w:left w:w="43" w:type="dxa"/>
              <w:bottom w:w="43" w:type="dxa"/>
              <w:right w:w="43" w:type="dxa"/>
            </w:tcMar>
            <w:vAlign w:val="bottom"/>
          </w:tcPr>
          <w:p w14:paraId="657A78F4" w14:textId="77777777" w:rsidR="000A2A2B" w:rsidRPr="007C3060" w:rsidRDefault="000A2A2B" w:rsidP="007C3060">
            <w:r w:rsidRPr="007C3060">
              <w:t>300</w:t>
            </w:r>
          </w:p>
        </w:tc>
        <w:tc>
          <w:tcPr>
            <w:tcW w:w="1400" w:type="dxa"/>
            <w:tcBorders>
              <w:top w:val="nil"/>
              <w:left w:val="nil"/>
              <w:bottom w:val="nil"/>
              <w:right w:val="nil"/>
            </w:tcBorders>
            <w:tcMar>
              <w:top w:w="128" w:type="dxa"/>
              <w:left w:w="43" w:type="dxa"/>
              <w:bottom w:w="43" w:type="dxa"/>
              <w:right w:w="43" w:type="dxa"/>
            </w:tcMar>
            <w:vAlign w:val="bottom"/>
          </w:tcPr>
          <w:p w14:paraId="267F02C8" w14:textId="77777777" w:rsidR="000A2A2B" w:rsidRPr="007C3060" w:rsidRDefault="000A2A2B" w:rsidP="007C3060">
            <w:r w:rsidRPr="007C3060">
              <w:t>19</w:t>
            </w:r>
          </w:p>
        </w:tc>
        <w:tc>
          <w:tcPr>
            <w:tcW w:w="1400" w:type="dxa"/>
            <w:tcBorders>
              <w:top w:val="nil"/>
              <w:left w:val="nil"/>
              <w:bottom w:val="nil"/>
              <w:right w:val="nil"/>
            </w:tcBorders>
            <w:tcMar>
              <w:top w:w="128" w:type="dxa"/>
              <w:left w:w="43" w:type="dxa"/>
              <w:bottom w:w="43" w:type="dxa"/>
              <w:right w:w="43" w:type="dxa"/>
            </w:tcMar>
            <w:vAlign w:val="bottom"/>
          </w:tcPr>
          <w:p w14:paraId="719A79D6" w14:textId="77777777" w:rsidR="000A2A2B" w:rsidRPr="007C3060" w:rsidRDefault="000A2A2B" w:rsidP="007C3060">
            <w:r w:rsidRPr="007C3060">
              <w:t>Negativ</w:t>
            </w:r>
          </w:p>
        </w:tc>
      </w:tr>
      <w:tr w:rsidR="004B729E" w:rsidRPr="007C3060" w14:paraId="577EE18E" w14:textId="77777777">
        <w:trPr>
          <w:trHeight w:val="380"/>
        </w:trPr>
        <w:tc>
          <w:tcPr>
            <w:tcW w:w="5320" w:type="dxa"/>
            <w:tcBorders>
              <w:top w:val="nil"/>
              <w:left w:val="nil"/>
              <w:bottom w:val="nil"/>
              <w:right w:val="nil"/>
            </w:tcBorders>
            <w:tcMar>
              <w:top w:w="128" w:type="dxa"/>
              <w:left w:w="43" w:type="dxa"/>
              <w:bottom w:w="43" w:type="dxa"/>
              <w:right w:w="43" w:type="dxa"/>
            </w:tcMar>
          </w:tcPr>
          <w:p w14:paraId="2D2AA0E4" w14:textId="77777777" w:rsidR="000A2A2B" w:rsidRPr="007C3060" w:rsidRDefault="000A2A2B" w:rsidP="007C3060">
            <w:r w:rsidRPr="007C3060">
              <w:t>Alliance Venture Polaris i Oslo (2006)</w:t>
            </w:r>
          </w:p>
        </w:tc>
        <w:tc>
          <w:tcPr>
            <w:tcW w:w="1400" w:type="dxa"/>
            <w:tcBorders>
              <w:top w:val="nil"/>
              <w:left w:val="nil"/>
              <w:bottom w:val="nil"/>
              <w:right w:val="nil"/>
            </w:tcBorders>
            <w:tcMar>
              <w:top w:w="128" w:type="dxa"/>
              <w:left w:w="43" w:type="dxa"/>
              <w:bottom w:w="43" w:type="dxa"/>
              <w:right w:w="43" w:type="dxa"/>
            </w:tcMar>
            <w:vAlign w:val="bottom"/>
          </w:tcPr>
          <w:p w14:paraId="576B0F76" w14:textId="77777777" w:rsidR="000A2A2B" w:rsidRPr="007C3060" w:rsidRDefault="000A2A2B" w:rsidP="007C3060">
            <w:r w:rsidRPr="007C3060">
              <w:t>339</w:t>
            </w:r>
          </w:p>
        </w:tc>
        <w:tc>
          <w:tcPr>
            <w:tcW w:w="1400" w:type="dxa"/>
            <w:tcBorders>
              <w:top w:val="nil"/>
              <w:left w:val="nil"/>
              <w:bottom w:val="nil"/>
              <w:right w:val="nil"/>
            </w:tcBorders>
            <w:tcMar>
              <w:top w:w="128" w:type="dxa"/>
              <w:left w:w="43" w:type="dxa"/>
              <w:bottom w:w="43" w:type="dxa"/>
              <w:right w:w="43" w:type="dxa"/>
            </w:tcMar>
            <w:vAlign w:val="bottom"/>
          </w:tcPr>
          <w:p w14:paraId="413D0A64" w14:textId="77777777" w:rsidR="000A2A2B" w:rsidRPr="007C3060" w:rsidRDefault="000A2A2B" w:rsidP="007C3060">
            <w:r w:rsidRPr="007C3060">
              <w:t>16</w:t>
            </w:r>
          </w:p>
        </w:tc>
        <w:tc>
          <w:tcPr>
            <w:tcW w:w="1400" w:type="dxa"/>
            <w:tcBorders>
              <w:top w:val="nil"/>
              <w:left w:val="nil"/>
              <w:bottom w:val="nil"/>
              <w:right w:val="nil"/>
            </w:tcBorders>
            <w:tcMar>
              <w:top w:w="128" w:type="dxa"/>
              <w:left w:w="43" w:type="dxa"/>
              <w:bottom w:w="43" w:type="dxa"/>
              <w:right w:w="43" w:type="dxa"/>
            </w:tcMar>
            <w:vAlign w:val="bottom"/>
          </w:tcPr>
          <w:p w14:paraId="5DC48714" w14:textId="77777777" w:rsidR="000A2A2B" w:rsidRPr="007C3060" w:rsidRDefault="000A2A2B" w:rsidP="007C3060">
            <w:r w:rsidRPr="007C3060">
              <w:t>Negativ</w:t>
            </w:r>
          </w:p>
        </w:tc>
      </w:tr>
      <w:tr w:rsidR="004B729E" w:rsidRPr="007C3060" w14:paraId="551E132E" w14:textId="77777777">
        <w:trPr>
          <w:trHeight w:val="380"/>
        </w:trPr>
        <w:tc>
          <w:tcPr>
            <w:tcW w:w="5320" w:type="dxa"/>
            <w:tcBorders>
              <w:top w:val="nil"/>
              <w:left w:val="nil"/>
              <w:bottom w:val="nil"/>
              <w:right w:val="nil"/>
            </w:tcBorders>
            <w:tcMar>
              <w:top w:w="128" w:type="dxa"/>
              <w:left w:w="43" w:type="dxa"/>
              <w:bottom w:w="43" w:type="dxa"/>
              <w:right w:w="43" w:type="dxa"/>
            </w:tcMar>
          </w:tcPr>
          <w:p w14:paraId="399FF5E1" w14:textId="77777777" w:rsidR="000A2A2B" w:rsidRPr="007C3060" w:rsidRDefault="000A2A2B" w:rsidP="007C3060">
            <w:proofErr w:type="spellStart"/>
            <w:r w:rsidRPr="007C3060">
              <w:rPr>
                <w:rStyle w:val="kursiv"/>
              </w:rPr>
              <w:t>Distriktsrettet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48A884CA" w14:textId="77777777" w:rsidR="000A2A2B" w:rsidRPr="007C3060" w:rsidRDefault="000A2A2B" w:rsidP="007C3060"/>
        </w:tc>
        <w:tc>
          <w:tcPr>
            <w:tcW w:w="1400" w:type="dxa"/>
            <w:tcBorders>
              <w:top w:val="nil"/>
              <w:left w:val="nil"/>
              <w:bottom w:val="nil"/>
              <w:right w:val="nil"/>
            </w:tcBorders>
            <w:tcMar>
              <w:top w:w="128" w:type="dxa"/>
              <w:left w:w="43" w:type="dxa"/>
              <w:bottom w:w="43" w:type="dxa"/>
              <w:right w:w="43" w:type="dxa"/>
            </w:tcMar>
            <w:vAlign w:val="bottom"/>
          </w:tcPr>
          <w:p w14:paraId="03FB213D" w14:textId="77777777" w:rsidR="000A2A2B" w:rsidRPr="007C3060" w:rsidRDefault="000A2A2B" w:rsidP="007C3060"/>
        </w:tc>
        <w:tc>
          <w:tcPr>
            <w:tcW w:w="1400" w:type="dxa"/>
            <w:tcBorders>
              <w:top w:val="nil"/>
              <w:left w:val="nil"/>
              <w:bottom w:val="nil"/>
              <w:right w:val="nil"/>
            </w:tcBorders>
            <w:tcMar>
              <w:top w:w="128" w:type="dxa"/>
              <w:left w:w="43" w:type="dxa"/>
              <w:bottom w:w="43" w:type="dxa"/>
              <w:right w:w="43" w:type="dxa"/>
            </w:tcMar>
            <w:vAlign w:val="bottom"/>
          </w:tcPr>
          <w:p w14:paraId="5436CB32" w14:textId="77777777" w:rsidR="000A2A2B" w:rsidRPr="007C3060" w:rsidRDefault="000A2A2B" w:rsidP="007C3060"/>
        </w:tc>
      </w:tr>
      <w:tr w:rsidR="004B729E" w:rsidRPr="007C3060" w14:paraId="16F77C7C" w14:textId="77777777">
        <w:trPr>
          <w:trHeight w:val="380"/>
        </w:trPr>
        <w:tc>
          <w:tcPr>
            <w:tcW w:w="5320" w:type="dxa"/>
            <w:tcBorders>
              <w:top w:val="nil"/>
              <w:left w:val="nil"/>
              <w:bottom w:val="nil"/>
              <w:right w:val="nil"/>
            </w:tcBorders>
            <w:tcMar>
              <w:top w:w="128" w:type="dxa"/>
              <w:left w:w="43" w:type="dxa"/>
              <w:bottom w:w="43" w:type="dxa"/>
              <w:right w:w="43" w:type="dxa"/>
            </w:tcMar>
          </w:tcPr>
          <w:p w14:paraId="7DD2B9A1" w14:textId="77777777" w:rsidR="000A2A2B" w:rsidRPr="007C3060" w:rsidRDefault="000A2A2B" w:rsidP="007C3060">
            <w:proofErr w:type="spellStart"/>
            <w:r w:rsidRPr="007C3060">
              <w:t>KapNord</w:t>
            </w:r>
            <w:proofErr w:type="spellEnd"/>
            <w:r w:rsidRPr="007C3060">
              <w:t xml:space="preserve"> Fond i Bodø (2006)</w:t>
            </w:r>
          </w:p>
        </w:tc>
        <w:tc>
          <w:tcPr>
            <w:tcW w:w="1400" w:type="dxa"/>
            <w:tcBorders>
              <w:top w:val="nil"/>
              <w:left w:val="nil"/>
              <w:bottom w:val="nil"/>
              <w:right w:val="nil"/>
            </w:tcBorders>
            <w:tcMar>
              <w:top w:w="128" w:type="dxa"/>
              <w:left w:w="43" w:type="dxa"/>
              <w:bottom w:w="43" w:type="dxa"/>
              <w:right w:w="43" w:type="dxa"/>
            </w:tcMar>
            <w:vAlign w:val="bottom"/>
          </w:tcPr>
          <w:p w14:paraId="1828413D" w14:textId="77777777" w:rsidR="000A2A2B" w:rsidRPr="007C3060" w:rsidRDefault="000A2A2B" w:rsidP="007C3060">
            <w:r w:rsidRPr="007C3060">
              <w:t>255</w:t>
            </w:r>
          </w:p>
        </w:tc>
        <w:tc>
          <w:tcPr>
            <w:tcW w:w="1400" w:type="dxa"/>
            <w:tcBorders>
              <w:top w:val="nil"/>
              <w:left w:val="nil"/>
              <w:bottom w:val="nil"/>
              <w:right w:val="nil"/>
            </w:tcBorders>
            <w:tcMar>
              <w:top w:w="128" w:type="dxa"/>
              <w:left w:w="43" w:type="dxa"/>
              <w:bottom w:w="43" w:type="dxa"/>
              <w:right w:w="43" w:type="dxa"/>
            </w:tcMar>
            <w:vAlign w:val="bottom"/>
          </w:tcPr>
          <w:p w14:paraId="5B5B7C6D" w14:textId="77777777" w:rsidR="000A2A2B" w:rsidRPr="007C3060" w:rsidRDefault="000A2A2B" w:rsidP="007C3060">
            <w:r w:rsidRPr="007C3060">
              <w:t>25</w:t>
            </w:r>
          </w:p>
        </w:tc>
        <w:tc>
          <w:tcPr>
            <w:tcW w:w="1400" w:type="dxa"/>
            <w:tcBorders>
              <w:top w:val="nil"/>
              <w:left w:val="nil"/>
              <w:bottom w:val="nil"/>
              <w:right w:val="nil"/>
            </w:tcBorders>
            <w:tcMar>
              <w:top w:w="128" w:type="dxa"/>
              <w:left w:w="43" w:type="dxa"/>
              <w:bottom w:w="43" w:type="dxa"/>
              <w:right w:w="43" w:type="dxa"/>
            </w:tcMar>
            <w:vAlign w:val="bottom"/>
          </w:tcPr>
          <w:p w14:paraId="5FC1556F" w14:textId="77777777" w:rsidR="000A2A2B" w:rsidRPr="007C3060" w:rsidRDefault="000A2A2B" w:rsidP="007C3060">
            <w:r w:rsidRPr="007C3060">
              <w:t>Positiv</w:t>
            </w:r>
          </w:p>
        </w:tc>
      </w:tr>
      <w:tr w:rsidR="004B729E" w:rsidRPr="007C3060" w14:paraId="7C4D4BC7" w14:textId="77777777">
        <w:trPr>
          <w:trHeight w:val="380"/>
        </w:trPr>
        <w:tc>
          <w:tcPr>
            <w:tcW w:w="5320" w:type="dxa"/>
            <w:tcBorders>
              <w:top w:val="nil"/>
              <w:left w:val="nil"/>
              <w:bottom w:val="nil"/>
              <w:right w:val="nil"/>
            </w:tcBorders>
            <w:tcMar>
              <w:top w:w="128" w:type="dxa"/>
              <w:left w:w="43" w:type="dxa"/>
              <w:bottom w:w="43" w:type="dxa"/>
              <w:right w:w="43" w:type="dxa"/>
            </w:tcMar>
          </w:tcPr>
          <w:p w14:paraId="2F6F6FDF" w14:textId="77777777" w:rsidR="000A2A2B" w:rsidRPr="007C3060" w:rsidRDefault="000A2A2B" w:rsidP="007C3060">
            <w:r w:rsidRPr="007C3060">
              <w:t xml:space="preserve">Fjord </w:t>
            </w:r>
            <w:proofErr w:type="spellStart"/>
            <w:r w:rsidRPr="007C3060">
              <w:t>Invest</w:t>
            </w:r>
            <w:proofErr w:type="spellEnd"/>
            <w:r w:rsidRPr="007C3060">
              <w:t xml:space="preserve"> </w:t>
            </w:r>
            <w:proofErr w:type="spellStart"/>
            <w:r w:rsidRPr="007C3060">
              <w:t>SørVest</w:t>
            </w:r>
            <w:proofErr w:type="spellEnd"/>
            <w:r w:rsidRPr="007C3060">
              <w:t xml:space="preserve"> i Førde (2007)</w:t>
            </w:r>
          </w:p>
        </w:tc>
        <w:tc>
          <w:tcPr>
            <w:tcW w:w="1400" w:type="dxa"/>
            <w:tcBorders>
              <w:top w:val="nil"/>
              <w:left w:val="nil"/>
              <w:bottom w:val="nil"/>
              <w:right w:val="nil"/>
            </w:tcBorders>
            <w:tcMar>
              <w:top w:w="128" w:type="dxa"/>
              <w:left w:w="43" w:type="dxa"/>
              <w:bottom w:w="43" w:type="dxa"/>
              <w:right w:w="43" w:type="dxa"/>
            </w:tcMar>
            <w:vAlign w:val="bottom"/>
          </w:tcPr>
          <w:p w14:paraId="61239B25" w14:textId="77777777" w:rsidR="000A2A2B" w:rsidRPr="007C3060" w:rsidRDefault="000A2A2B" w:rsidP="007C3060">
            <w:r w:rsidRPr="007C3060">
              <w:t>216</w:t>
            </w:r>
          </w:p>
        </w:tc>
        <w:tc>
          <w:tcPr>
            <w:tcW w:w="1400" w:type="dxa"/>
            <w:tcBorders>
              <w:top w:val="nil"/>
              <w:left w:val="nil"/>
              <w:bottom w:val="nil"/>
              <w:right w:val="nil"/>
            </w:tcBorders>
            <w:tcMar>
              <w:top w:w="128" w:type="dxa"/>
              <w:left w:w="43" w:type="dxa"/>
              <w:bottom w:w="43" w:type="dxa"/>
              <w:right w:w="43" w:type="dxa"/>
            </w:tcMar>
            <w:vAlign w:val="bottom"/>
          </w:tcPr>
          <w:p w14:paraId="2E03D22E" w14:textId="77777777" w:rsidR="000A2A2B" w:rsidRPr="007C3060" w:rsidRDefault="000A2A2B" w:rsidP="007C3060">
            <w:r w:rsidRPr="007C3060">
              <w:t>11</w:t>
            </w:r>
          </w:p>
        </w:tc>
        <w:tc>
          <w:tcPr>
            <w:tcW w:w="1400" w:type="dxa"/>
            <w:tcBorders>
              <w:top w:val="nil"/>
              <w:left w:val="nil"/>
              <w:bottom w:val="nil"/>
              <w:right w:val="nil"/>
            </w:tcBorders>
            <w:tcMar>
              <w:top w:w="128" w:type="dxa"/>
              <w:left w:w="43" w:type="dxa"/>
              <w:bottom w:w="43" w:type="dxa"/>
              <w:right w:w="43" w:type="dxa"/>
            </w:tcMar>
            <w:vAlign w:val="bottom"/>
          </w:tcPr>
          <w:p w14:paraId="63A2EC3A" w14:textId="77777777" w:rsidR="000A2A2B" w:rsidRPr="007C3060" w:rsidRDefault="000A2A2B" w:rsidP="007C3060">
            <w:r w:rsidRPr="007C3060">
              <w:t>Negativ</w:t>
            </w:r>
          </w:p>
        </w:tc>
      </w:tr>
      <w:tr w:rsidR="004B729E" w:rsidRPr="007C3060" w14:paraId="71A0C392" w14:textId="77777777">
        <w:trPr>
          <w:trHeight w:val="380"/>
        </w:trPr>
        <w:tc>
          <w:tcPr>
            <w:tcW w:w="5320" w:type="dxa"/>
            <w:tcBorders>
              <w:top w:val="nil"/>
              <w:left w:val="nil"/>
              <w:bottom w:val="nil"/>
              <w:right w:val="nil"/>
            </w:tcBorders>
            <w:tcMar>
              <w:top w:w="128" w:type="dxa"/>
              <w:left w:w="43" w:type="dxa"/>
              <w:bottom w:w="43" w:type="dxa"/>
              <w:right w:w="43" w:type="dxa"/>
            </w:tcMar>
          </w:tcPr>
          <w:p w14:paraId="3C6101E9" w14:textId="77777777" w:rsidR="000A2A2B" w:rsidRPr="007C3060" w:rsidRDefault="000A2A2B" w:rsidP="007C3060">
            <w:proofErr w:type="spellStart"/>
            <w:r w:rsidRPr="007C3060">
              <w:t>NorInnova</w:t>
            </w:r>
            <w:proofErr w:type="spellEnd"/>
            <w:r w:rsidRPr="007C3060">
              <w:t xml:space="preserve"> </w:t>
            </w:r>
            <w:proofErr w:type="spellStart"/>
            <w:r w:rsidRPr="007C3060">
              <w:t>Invest</w:t>
            </w:r>
            <w:proofErr w:type="spellEnd"/>
            <w:r w:rsidRPr="007C3060">
              <w:t xml:space="preserve"> i Tromsø (2007)</w:t>
            </w:r>
          </w:p>
        </w:tc>
        <w:tc>
          <w:tcPr>
            <w:tcW w:w="1400" w:type="dxa"/>
            <w:tcBorders>
              <w:top w:val="nil"/>
              <w:left w:val="nil"/>
              <w:bottom w:val="nil"/>
              <w:right w:val="nil"/>
            </w:tcBorders>
            <w:tcMar>
              <w:top w:w="128" w:type="dxa"/>
              <w:left w:w="43" w:type="dxa"/>
              <w:bottom w:w="43" w:type="dxa"/>
              <w:right w:w="43" w:type="dxa"/>
            </w:tcMar>
            <w:vAlign w:val="bottom"/>
          </w:tcPr>
          <w:p w14:paraId="709321C8" w14:textId="77777777" w:rsidR="000A2A2B" w:rsidRPr="007C3060" w:rsidRDefault="000A2A2B" w:rsidP="007C3060">
            <w:r w:rsidRPr="007C3060">
              <w:t>272</w:t>
            </w:r>
          </w:p>
        </w:tc>
        <w:tc>
          <w:tcPr>
            <w:tcW w:w="1400" w:type="dxa"/>
            <w:tcBorders>
              <w:top w:val="nil"/>
              <w:left w:val="nil"/>
              <w:bottom w:val="nil"/>
              <w:right w:val="nil"/>
            </w:tcBorders>
            <w:tcMar>
              <w:top w:w="128" w:type="dxa"/>
              <w:left w:w="43" w:type="dxa"/>
              <w:bottom w:w="43" w:type="dxa"/>
              <w:right w:w="43" w:type="dxa"/>
            </w:tcMar>
            <w:vAlign w:val="bottom"/>
          </w:tcPr>
          <w:p w14:paraId="5783E333" w14:textId="77777777" w:rsidR="000A2A2B" w:rsidRPr="007C3060" w:rsidRDefault="000A2A2B" w:rsidP="007C3060">
            <w:r w:rsidRPr="007C3060">
              <w:t>21</w:t>
            </w:r>
          </w:p>
        </w:tc>
        <w:tc>
          <w:tcPr>
            <w:tcW w:w="1400" w:type="dxa"/>
            <w:tcBorders>
              <w:top w:val="nil"/>
              <w:left w:val="nil"/>
              <w:bottom w:val="nil"/>
              <w:right w:val="nil"/>
            </w:tcBorders>
            <w:tcMar>
              <w:top w:w="128" w:type="dxa"/>
              <w:left w:w="43" w:type="dxa"/>
              <w:bottom w:w="43" w:type="dxa"/>
              <w:right w:w="43" w:type="dxa"/>
            </w:tcMar>
            <w:vAlign w:val="bottom"/>
          </w:tcPr>
          <w:p w14:paraId="79B00AF1" w14:textId="77777777" w:rsidR="000A2A2B" w:rsidRPr="007C3060" w:rsidRDefault="000A2A2B" w:rsidP="007C3060">
            <w:r w:rsidRPr="007C3060">
              <w:t>Negativ</w:t>
            </w:r>
          </w:p>
        </w:tc>
      </w:tr>
      <w:tr w:rsidR="004B729E" w:rsidRPr="007C3060" w14:paraId="6F1A89D9"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3F7BBA57" w14:textId="77777777" w:rsidR="000A2A2B" w:rsidRPr="007C3060" w:rsidRDefault="000A2A2B" w:rsidP="007C3060">
            <w:proofErr w:type="spellStart"/>
            <w:r w:rsidRPr="007C3060">
              <w:t>Midvest</w:t>
            </w:r>
            <w:proofErr w:type="spellEnd"/>
            <w:r w:rsidRPr="007C3060">
              <w:t xml:space="preserve"> 1 og 2 i Ålesund og Namsos (2008)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A870A7" w14:textId="77777777" w:rsidR="000A2A2B" w:rsidRPr="007C3060" w:rsidRDefault="000A2A2B" w:rsidP="007C3060">
            <w:r w:rsidRPr="007C3060">
              <w:t>221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F6705D" w14:textId="77777777" w:rsidR="000A2A2B" w:rsidRPr="007C3060" w:rsidRDefault="000A2A2B" w:rsidP="007C3060">
            <w:r w:rsidRPr="007C3060">
              <w:t>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9417461" w14:textId="77777777" w:rsidR="000A2A2B" w:rsidRPr="007C3060" w:rsidRDefault="000A2A2B" w:rsidP="007C3060">
            <w:r w:rsidRPr="007C3060">
              <w:t>Positiv</w:t>
            </w:r>
          </w:p>
        </w:tc>
      </w:tr>
      <w:tr w:rsidR="004B729E" w:rsidRPr="007C3060" w14:paraId="11C9AE57"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68273726" w14:textId="77777777" w:rsidR="000A2A2B" w:rsidRPr="007C3060" w:rsidRDefault="000A2A2B" w:rsidP="007C3060">
            <w:r w:rsidRPr="007C3060">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7BAD9B" w14:textId="77777777" w:rsidR="000A2A2B" w:rsidRPr="007C3060" w:rsidRDefault="000A2A2B" w:rsidP="007C3060">
            <w:r w:rsidRPr="007C3060">
              <w:t>2 345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BFF65C" w14:textId="77777777" w:rsidR="000A2A2B" w:rsidRPr="007C3060" w:rsidRDefault="000A2A2B" w:rsidP="007C3060">
            <w:r w:rsidRPr="007C3060">
              <w:t>148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5B2C92" w14:textId="77777777" w:rsidR="000A2A2B" w:rsidRPr="007C3060" w:rsidRDefault="000A2A2B" w:rsidP="007C3060">
            <w:r w:rsidRPr="007C3060">
              <w:t>Positiv</w:t>
            </w:r>
          </w:p>
        </w:tc>
      </w:tr>
    </w:tbl>
    <w:p w14:paraId="74BD18FF" w14:textId="77777777" w:rsidR="000A2A2B" w:rsidRPr="007C3060" w:rsidRDefault="000A2A2B" w:rsidP="007C3060">
      <w:pPr>
        <w:pStyle w:val="tabell-noter"/>
      </w:pPr>
      <w:r w:rsidRPr="007C3060">
        <w:rPr>
          <w:rStyle w:val="skrift-hevet"/>
        </w:rPr>
        <w:t>1</w:t>
      </w:r>
      <w:r w:rsidRPr="007C3060">
        <w:rPr>
          <w:rStyle w:val="skrift-hevet"/>
        </w:rPr>
        <w:tab/>
      </w:r>
      <w:r w:rsidRPr="007C3060">
        <w:t>Det oppgis om de private investorene har fått positiv eller negativ avkastning.</w:t>
      </w:r>
    </w:p>
    <w:p w14:paraId="1574DEE2" w14:textId="77777777" w:rsidR="000A2A2B" w:rsidRPr="007C3060" w:rsidRDefault="000A2A2B" w:rsidP="007C3060">
      <w:r w:rsidRPr="007C3060">
        <w:t xml:space="preserve">Samlet har fondene investert i 137 enkeltbedrifter. Bedriftene har fått tilført 1,25 mrd. kroner med offentlig såkornkapital og 8,4 mrd. kroner fra de private investorene i fondene og andre private investorer. Samlet hadde bedriftene over 1 700 ansatte målt på tidspunktet bedriftene ble solgt av såkornfondene. Over halvparten var ansatt i bedrifter under den </w:t>
      </w:r>
      <w:proofErr w:type="spellStart"/>
      <w:r w:rsidRPr="007C3060">
        <w:t>distriktsrettede</w:t>
      </w:r>
      <w:proofErr w:type="spellEnd"/>
      <w:r w:rsidRPr="007C3060">
        <w:t xml:space="preserve"> ordningen. 11 av bedriftene har hatt flere enn 50 ansatte. Fire av de åtte forvalterne under ordningene har klart å etablere nye tidligfasefond. </w:t>
      </w:r>
      <w:proofErr w:type="spellStart"/>
      <w:r w:rsidRPr="007C3060">
        <w:t>Investinors</w:t>
      </w:r>
      <w:proofErr w:type="spellEnd"/>
      <w:r w:rsidRPr="007C3060">
        <w:t xml:space="preserve"> sluttrapport for ordningene konkluderer med at ordningen har vært samfunnsøkonomisk lønnsom. Dette er også i tråd med en evaluering av </w:t>
      </w:r>
      <w:proofErr w:type="spellStart"/>
      <w:r w:rsidRPr="007C3060">
        <w:t>Investinor</w:t>
      </w:r>
      <w:proofErr w:type="spellEnd"/>
      <w:r w:rsidRPr="007C3060">
        <w:t xml:space="preserve"> fra 2022 og vurderingene til uavhengige eksperter som har gått gjennom. Medregnet tapsfondet hadde avkastingen vært 1,04 pst. siden starten av ordningene. På grunn av innretningen på ordningene får staten kun renter på lånene fra fondene som har positiv avkastning. Samtidig har alle fondene kunnet belaste staten for deler av tap i enkelttransaksjoner, </w:t>
      </w:r>
      <w:r w:rsidRPr="007C3060">
        <w:lastRenderedPageBreak/>
        <w:t xml:space="preserve">og staten har blitt påført tap i den grad fondene ikke har kunnet betale tilbake hovedstolen. Ved utgangen av 2024 var det kun fondene </w:t>
      </w:r>
      <w:proofErr w:type="spellStart"/>
      <w:r w:rsidRPr="007C3060">
        <w:t>Midvest</w:t>
      </w:r>
      <w:proofErr w:type="spellEnd"/>
      <w:r w:rsidRPr="007C3060">
        <w:t xml:space="preserve"> 1 og 2 som ikke var gått ut av ordningen. Dette har medført at 1 120,5 mill. kroner av lånene er gjort opp, hvorav 766,5 mill. kroner er tilbakebetalt fra fondene, 295 mill. kroner er ført mot tapsfond og 59 mill. kroner er dekket gjennom særskilte bevilgninger til tap utover tapsfond tidligere. Gjenstående lån knyttet til de to siste såkornfondene, som ble avsluttet i februar 2025, var på 31 mill. kroner. I tillegg gjenstår det lån på 105 mill. kroner knyttet til tilfeller hvor fond tidligere ikke har kunnet innfri lånene, og hvor </w:t>
      </w:r>
      <w:proofErr w:type="spellStart"/>
      <w:r w:rsidRPr="007C3060">
        <w:t>Investinor</w:t>
      </w:r>
      <w:proofErr w:type="spellEnd"/>
      <w:r w:rsidRPr="007C3060">
        <w:t xml:space="preserve"> har vurdert det hensiktsmessig å sikre statens verdier ved å overta eierandeler i åtte porteføljeselskaper.</w:t>
      </w:r>
    </w:p>
    <w:p w14:paraId="3F9746DD" w14:textId="77777777" w:rsidR="000A2A2B" w:rsidRPr="007C3060" w:rsidRDefault="000A2A2B" w:rsidP="007C3060">
      <w:r w:rsidRPr="007C3060">
        <w:t xml:space="preserve">Midvestfondene som gjøres opp i 2025, har ikke tilgjengelig likviditet til å tilbakebetale lånene nå, men fondene, som tidligere er slått sammen til ett fond, sitter på aksjeposter som kan muliggjøre tilbakebetaling av lån og renter senere. </w:t>
      </w:r>
      <w:proofErr w:type="spellStart"/>
      <w:r w:rsidRPr="007C3060">
        <w:t>Investinor</w:t>
      </w:r>
      <w:proofErr w:type="spellEnd"/>
      <w:r w:rsidRPr="007C3060">
        <w:t xml:space="preserve"> har tatt pant i disse aksjene. Det er dermed uoppgjorte renter knyttet til såkornfondene som avsluttes i 2025. I tillegg er det uoppgjorte renter fra det ene såkornfondet som ble avsluttet i 2024, jf. omtale i </w:t>
      </w:r>
      <w:proofErr w:type="spellStart"/>
      <w:r w:rsidRPr="007C3060">
        <w:t>Prop</w:t>
      </w:r>
      <w:proofErr w:type="spellEnd"/>
      <w:r w:rsidRPr="007C3060">
        <w:t xml:space="preserve">. 27 S (2024–2025) </w:t>
      </w:r>
      <w:proofErr w:type="spellStart"/>
      <w:r w:rsidRPr="007C3060">
        <w:rPr>
          <w:rStyle w:val="kursiv"/>
        </w:rPr>
        <w:t>Endringar</w:t>
      </w:r>
      <w:proofErr w:type="spellEnd"/>
      <w:r w:rsidRPr="007C3060">
        <w:rPr>
          <w:rStyle w:val="kursiv"/>
        </w:rPr>
        <w:t xml:space="preserve"> i statsbudsjettet 2024 under Nærings- og fiskeridepartementet</w:t>
      </w:r>
      <w:r w:rsidRPr="007C3060">
        <w:t>.</w:t>
      </w:r>
    </w:p>
    <w:p w14:paraId="2986600F" w14:textId="77777777" w:rsidR="000A2A2B" w:rsidRPr="007C3060" w:rsidRDefault="000A2A2B" w:rsidP="007C3060">
      <w:r w:rsidRPr="007C3060">
        <w:t>Samlet beløper de uoppgjorte rentene under ordningen seg til om lag 88 mill. kroner.</w:t>
      </w:r>
    </w:p>
    <w:p w14:paraId="231FD5C6" w14:textId="77777777" w:rsidR="000A2A2B" w:rsidRPr="007C3060" w:rsidRDefault="000A2A2B" w:rsidP="007C3060">
      <w:r w:rsidRPr="007C3060">
        <w:t>Når det gjelder det gjenstående lånet på 105 mill. kroner, er det nylig konstatert tap i to selskaper som gjør at til sammen 35 mill. kroner ikke kan ventes tilbakebetalt. I tillegg er det estimerte verdiendringer i de øvrige selskapene på minus 25 mill. kroner.</w:t>
      </w:r>
    </w:p>
    <w:p w14:paraId="1758DADC" w14:textId="77777777" w:rsidR="000A2A2B" w:rsidRPr="007C3060" w:rsidRDefault="000A2A2B" w:rsidP="007C3060">
      <w:r w:rsidRPr="007C3060">
        <w:t xml:space="preserve">Ved oppgjør av den første bølgen med såkornfond valgte staten å nedskrive hele det gjenstående lånet under ordningen da ordningen ble avsluttet, jf. </w:t>
      </w:r>
      <w:proofErr w:type="spellStart"/>
      <w:r w:rsidRPr="007C3060">
        <w:t>Prop</w:t>
      </w:r>
      <w:proofErr w:type="spellEnd"/>
      <w:r w:rsidRPr="007C3060">
        <w:t xml:space="preserve">. 93 S (2013–2014) </w:t>
      </w:r>
      <w:r w:rsidRPr="007C3060">
        <w:rPr>
          <w:rStyle w:val="kursiv"/>
        </w:rPr>
        <w:t>Tilleggsbevilgninger og omprioriteringer i statsbudsjettet for 2014</w:t>
      </w:r>
      <w:r w:rsidRPr="007C3060">
        <w:t xml:space="preserve">. Samtidig ble det overtatt eierandeler i selskaper hvor Innovasjon Norge, som tidligere forvaltet såkornordningene, og </w:t>
      </w:r>
      <w:proofErr w:type="spellStart"/>
      <w:r w:rsidRPr="007C3060">
        <w:t>Investinor</w:t>
      </w:r>
      <w:proofErr w:type="spellEnd"/>
      <w:r w:rsidRPr="007C3060">
        <w:t xml:space="preserve"> til nå har gjenvunnet deler av disse verdiene for staten. Ved tidligere oppgjør av bølge II-fond er det også overtatt eierandeler i enkelte selskaper, men til forskjell fra tidligere har staten ikke nedskrevet gjelden for denne uoppgjorte andelen av lånene.</w:t>
      </w:r>
    </w:p>
    <w:p w14:paraId="46D0D9CD" w14:textId="77777777" w:rsidR="000A2A2B" w:rsidRPr="007C3060" w:rsidRDefault="000A2A2B" w:rsidP="007C3060">
      <w:r w:rsidRPr="007C3060">
        <w:t>Det foreslås å følge praksis fra oppgjøret av bølge I ved avslutningen av bølge II-ordningen. Det vil si at hele den gjenstående hovedstolen under ordningen nedskrives. Dette tilsvarer 136 mill. kroner og avskrives renter for 88 mill. kroner. Samtidig gjenstår det 58 mill. kroner i tidligere bevilget tapsfond under ordningen, jf. forslag til inntektsbevilgning under kap. 3952, post 51. Samlet tilsier dette en bevilgning på 166 mill. kroner til å dekke tap på lån utover tapsfond.</w:t>
      </w:r>
    </w:p>
    <w:p w14:paraId="554069EF" w14:textId="77777777" w:rsidR="000A2A2B" w:rsidRPr="007C3060" w:rsidRDefault="000A2A2B" w:rsidP="007C3060">
      <w:r w:rsidRPr="007C3060">
        <w:t xml:space="preserve">Dersom </w:t>
      </w:r>
      <w:proofErr w:type="spellStart"/>
      <w:r w:rsidRPr="007C3060">
        <w:t>Investinor</w:t>
      </w:r>
      <w:proofErr w:type="spellEnd"/>
      <w:r w:rsidRPr="007C3060">
        <w:t xml:space="preserve"> realiserer verdier i de gjenstående selskapene som </w:t>
      </w:r>
      <w:proofErr w:type="spellStart"/>
      <w:r w:rsidRPr="007C3060">
        <w:t>Investinor</w:t>
      </w:r>
      <w:proofErr w:type="spellEnd"/>
      <w:r w:rsidRPr="007C3060">
        <w:t xml:space="preserve"> har overtatt eierandeler i, skal inntektene tilbakeføres til staten.</w:t>
      </w:r>
    </w:p>
    <w:p w14:paraId="232CD536" w14:textId="77777777" w:rsidR="000A2A2B" w:rsidRPr="007C3060" w:rsidRDefault="000A2A2B" w:rsidP="007C3060">
      <w:pPr>
        <w:pStyle w:val="b-budkaptit"/>
      </w:pPr>
      <w:r w:rsidRPr="007C3060">
        <w:t xml:space="preserve">Kap. 3952 </w:t>
      </w:r>
      <w:proofErr w:type="spellStart"/>
      <w:r w:rsidRPr="007C3060">
        <w:t>Investinor</w:t>
      </w:r>
      <w:proofErr w:type="spellEnd"/>
      <w:r w:rsidRPr="007C3060">
        <w:t xml:space="preserve"> AS</w:t>
      </w:r>
    </w:p>
    <w:p w14:paraId="09FC34DD" w14:textId="77777777" w:rsidR="000A2A2B" w:rsidRPr="007C3060" w:rsidRDefault="000A2A2B" w:rsidP="007C3060">
      <w:pPr>
        <w:pStyle w:val="b-post"/>
      </w:pPr>
      <w:r w:rsidRPr="007C3060">
        <w:t>Post 90 (Ny) Tilbakeført kapital, såkornfond</w:t>
      </w:r>
    </w:p>
    <w:p w14:paraId="2B84B743" w14:textId="77777777" w:rsidR="000A2A2B" w:rsidRPr="007C3060" w:rsidRDefault="000A2A2B" w:rsidP="007C3060">
      <w:r w:rsidRPr="007C3060">
        <w:t>Det vises til omtale under kap. 952, post 51. Det foreslås en bevilgning på 136 mill. kroner knyttet til tilbakeført kapital fra resterende såkornfond i bølge II.</w:t>
      </w:r>
    </w:p>
    <w:p w14:paraId="1D7748ED" w14:textId="77777777" w:rsidR="000A2A2B" w:rsidRPr="007C3060" w:rsidRDefault="000A2A2B" w:rsidP="007C3060">
      <w:pPr>
        <w:pStyle w:val="b-budkaptit"/>
      </w:pPr>
      <w:r w:rsidRPr="007C3060">
        <w:lastRenderedPageBreak/>
        <w:t xml:space="preserve">Kap. 5628 (Nytt) Renter fra </w:t>
      </w:r>
      <w:proofErr w:type="spellStart"/>
      <w:r w:rsidRPr="007C3060">
        <w:t>Investinor</w:t>
      </w:r>
      <w:proofErr w:type="spellEnd"/>
      <w:r w:rsidRPr="007C3060">
        <w:t xml:space="preserve"> AS</w:t>
      </w:r>
    </w:p>
    <w:p w14:paraId="04357FCC" w14:textId="77777777" w:rsidR="000A2A2B" w:rsidRPr="007C3060" w:rsidRDefault="000A2A2B" w:rsidP="007C3060">
      <w:pPr>
        <w:pStyle w:val="b-post"/>
      </w:pPr>
      <w:r w:rsidRPr="007C3060">
        <w:t>Post 80 Renter fra såkornfond</w:t>
      </w:r>
    </w:p>
    <w:p w14:paraId="13746478" w14:textId="77777777" w:rsidR="000A2A2B" w:rsidRPr="007C3060" w:rsidRDefault="000A2A2B" w:rsidP="007C3060">
      <w:r w:rsidRPr="007C3060">
        <w:t>Det vises til omtale under kap. 952, post 51 om avvikling av resterende såkornfond i bølge II. Samlet beløper de uoppgjorte rentene under ordningen seg til om lag 88 mill. kroner.</w:t>
      </w:r>
    </w:p>
    <w:p w14:paraId="733EFB46" w14:textId="77777777" w:rsidR="000A2A2B" w:rsidRPr="007C3060" w:rsidRDefault="000A2A2B" w:rsidP="007C3060">
      <w:r w:rsidRPr="007C3060">
        <w:t>Det foreslås en bevilgning på 88 mill. kroner knyttet til utestående renter på gjenstående såkornfond i bølge II.</w:t>
      </w:r>
    </w:p>
    <w:p w14:paraId="523AA8A9" w14:textId="77777777" w:rsidR="000A2A2B" w:rsidRPr="007C3060" w:rsidRDefault="000A2A2B" w:rsidP="007C3060">
      <w:pPr>
        <w:pStyle w:val="b-budkaptit"/>
      </w:pPr>
      <w:r w:rsidRPr="007C3060">
        <w:t xml:space="preserve">Kap. 954 </w:t>
      </w:r>
      <w:proofErr w:type="spellStart"/>
      <w:r w:rsidRPr="007C3060">
        <w:t>Petoro</w:t>
      </w:r>
      <w:proofErr w:type="spellEnd"/>
      <w:r w:rsidRPr="007C3060">
        <w:t xml:space="preserve"> AS</w:t>
      </w:r>
    </w:p>
    <w:p w14:paraId="2F653B87" w14:textId="77777777" w:rsidR="000A2A2B" w:rsidRPr="007C3060" w:rsidRDefault="000A2A2B" w:rsidP="007C3060">
      <w:pPr>
        <w:pStyle w:val="b-post"/>
      </w:pPr>
      <w:r w:rsidRPr="007C3060">
        <w:t>Post 70 Tilskudd til administrasjon</w:t>
      </w:r>
    </w:p>
    <w:p w14:paraId="59A9859B" w14:textId="77777777" w:rsidR="000A2A2B" w:rsidRPr="007C3060" w:rsidRDefault="000A2A2B" w:rsidP="007C3060">
      <w:r w:rsidRPr="007C3060">
        <w:t xml:space="preserve">Staten gjennomførte i desember 2024 kjøp av deltakerandeler i sentral gassinfrastruktur. Transaksjonen innebar at staten ble eneeier i </w:t>
      </w:r>
      <w:proofErr w:type="spellStart"/>
      <w:r w:rsidRPr="007C3060">
        <w:t>Gassled</w:t>
      </w:r>
      <w:proofErr w:type="spellEnd"/>
      <w:r w:rsidRPr="007C3060">
        <w:t xml:space="preserve"> og har en eierandel på henholdsvis 81,3 pst. og 90 pst. i </w:t>
      </w:r>
      <w:proofErr w:type="spellStart"/>
      <w:r w:rsidRPr="007C3060">
        <w:t>Nyhamna</w:t>
      </w:r>
      <w:proofErr w:type="spellEnd"/>
      <w:r w:rsidRPr="007C3060">
        <w:t xml:space="preserve"> og </w:t>
      </w:r>
      <w:proofErr w:type="spellStart"/>
      <w:r w:rsidRPr="007C3060">
        <w:t>Polarled</w:t>
      </w:r>
      <w:proofErr w:type="spellEnd"/>
      <w:r w:rsidRPr="007C3060">
        <w:t xml:space="preserve">. Det økte statlige eierskapet i sentral gassinfrastruktur er lagt til SDØE-ordningen, med </w:t>
      </w:r>
      <w:proofErr w:type="spellStart"/>
      <w:r w:rsidRPr="007C3060">
        <w:t>Petoro</w:t>
      </w:r>
      <w:proofErr w:type="spellEnd"/>
      <w:r w:rsidRPr="007C3060">
        <w:t xml:space="preserve"> AS som forvalter og rettighetshaver.</w:t>
      </w:r>
    </w:p>
    <w:p w14:paraId="577763CC" w14:textId="77777777" w:rsidR="000A2A2B" w:rsidRPr="007C3060" w:rsidRDefault="000A2A2B" w:rsidP="007C3060">
      <w:r w:rsidRPr="007C3060">
        <w:t xml:space="preserve">Bevilgningen for 2025 ble økt med 23 mill. kroner for å sette </w:t>
      </w:r>
      <w:proofErr w:type="spellStart"/>
      <w:r w:rsidRPr="007C3060">
        <w:t>Petoro</w:t>
      </w:r>
      <w:proofErr w:type="spellEnd"/>
      <w:r w:rsidRPr="007C3060">
        <w:t xml:space="preserve"> i stand til å ivareta de nye oppgavene knyttet til forvaltning av eierskapet i den sentrale gassinfrastrukturen på en forsvarlig måte. Statens kjøp anses som en virksomhetsoverdragelse i henhold til arbeidsmiljøloven, og ansatte i selgerselskapene, med tilstrekkelig tilknytning til den overførte del av virksomheten, hadde dermed rett til å bli ansatt i </w:t>
      </w:r>
      <w:proofErr w:type="spellStart"/>
      <w:r w:rsidRPr="007C3060">
        <w:t>Petoro</w:t>
      </w:r>
      <w:proofErr w:type="spellEnd"/>
      <w:r w:rsidRPr="007C3060">
        <w:t xml:space="preserve"> med samme lønnsvilkår som tidligere. I </w:t>
      </w:r>
      <w:proofErr w:type="spellStart"/>
      <w:r w:rsidRPr="007C3060">
        <w:t>Prop</w:t>
      </w:r>
      <w:proofErr w:type="spellEnd"/>
      <w:r w:rsidRPr="007C3060">
        <w:t xml:space="preserve">. 27 S (2024–2025) orienterte departementet om risikoen forbundet med virksomhetsoverdragelse. Det ble lagt vekt på at </w:t>
      </w:r>
      <w:proofErr w:type="spellStart"/>
      <w:r w:rsidRPr="007C3060">
        <w:t>Petoro</w:t>
      </w:r>
      <w:proofErr w:type="spellEnd"/>
      <w:r w:rsidRPr="007C3060">
        <w:t xml:space="preserve"> har en liten organisasjon med relativt få ansatte, og at det ville være krevende for </w:t>
      </w:r>
      <w:proofErr w:type="spellStart"/>
      <w:r w:rsidRPr="007C3060">
        <w:t>Petoro</w:t>
      </w:r>
      <w:proofErr w:type="spellEnd"/>
      <w:r w:rsidRPr="007C3060">
        <w:t xml:space="preserve"> å håndtere dette innenfor gjeldende bevilgning. Det ble derfor varslet at regjeringen vil komme tilbake til Stortinget med eventuelle budsjettmessige konsekvenser ved en overføring av ansatte til </w:t>
      </w:r>
      <w:proofErr w:type="spellStart"/>
      <w:r w:rsidRPr="007C3060">
        <w:t>Petoro</w:t>
      </w:r>
      <w:proofErr w:type="spellEnd"/>
      <w:r w:rsidRPr="007C3060">
        <w:t xml:space="preserve">. Flere ansatte fra selgerselskapene har valgt å ikke utøve </w:t>
      </w:r>
      <w:proofErr w:type="spellStart"/>
      <w:r w:rsidRPr="007C3060">
        <w:t>reserva-sjonsretten</w:t>
      </w:r>
      <w:proofErr w:type="spellEnd"/>
      <w:r w:rsidRPr="007C3060">
        <w:t xml:space="preserve"> og har derfor fått overført sitt arbeidsforhold til </w:t>
      </w:r>
      <w:proofErr w:type="spellStart"/>
      <w:r w:rsidRPr="007C3060">
        <w:t>Petoro</w:t>
      </w:r>
      <w:proofErr w:type="spellEnd"/>
      <w:r w:rsidRPr="007C3060">
        <w:t xml:space="preserve">. Dette innebærer at </w:t>
      </w:r>
      <w:proofErr w:type="spellStart"/>
      <w:r w:rsidRPr="007C3060">
        <w:t>Petoros</w:t>
      </w:r>
      <w:proofErr w:type="spellEnd"/>
      <w:r w:rsidRPr="007C3060">
        <w:t xml:space="preserve"> bevilgning for 2025 ikke lenger er tilstrekkelig. Underdekning i administrasjonstilskuddet anslås til 17,8 mill. kroner.</w:t>
      </w:r>
    </w:p>
    <w:p w14:paraId="1A3C76CF" w14:textId="77777777" w:rsidR="000A2A2B" w:rsidRDefault="000A2A2B" w:rsidP="007C3060">
      <w:r w:rsidRPr="007C3060">
        <w:t>Bevilgningen foreslås derfor økt med 17,8 mill. kroner.</w:t>
      </w:r>
    </w:p>
    <w:p w14:paraId="76968478" w14:textId="6DCE4E2E" w:rsidR="00AC1986" w:rsidRPr="007C3060" w:rsidRDefault="00AC1986" w:rsidP="00530C99">
      <w:pPr>
        <w:pStyle w:val="tabell-tittel"/>
      </w:pPr>
      <w:r w:rsidRPr="007C3060">
        <w:t>Bevilgning fordelt på enkeltordninger</w:t>
      </w:r>
    </w:p>
    <w:p w14:paraId="1CA693AE" w14:textId="77777777" w:rsidR="000A2A2B" w:rsidRPr="007C3060" w:rsidRDefault="000A2A2B" w:rsidP="007C3060">
      <w:pPr>
        <w:pStyle w:val="Tabellnavn"/>
      </w:pPr>
      <w:r w:rsidRPr="007C3060">
        <w:t>02J1xt1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4B729E" w:rsidRPr="007C3060" w14:paraId="40D80AE8"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CFCCDE" w14:textId="77777777" w:rsidR="000A2A2B" w:rsidRPr="007C3060" w:rsidRDefault="000A2A2B" w:rsidP="007C3060">
            <w:r w:rsidRPr="007C3060">
              <w:t>Ordning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F3462D" w14:textId="77777777" w:rsidR="000A2A2B" w:rsidRPr="007C3060" w:rsidRDefault="000A2A2B" w:rsidP="007C3060">
            <w:r w:rsidRPr="007C3060">
              <w:t>(i 1000 kroner)</w:t>
            </w:r>
          </w:p>
        </w:tc>
      </w:tr>
      <w:tr w:rsidR="004B729E" w:rsidRPr="007C3060" w14:paraId="08929751" w14:textId="77777777">
        <w:trPr>
          <w:trHeight w:val="640"/>
        </w:trPr>
        <w:tc>
          <w:tcPr>
            <w:tcW w:w="3160" w:type="dxa"/>
            <w:tcBorders>
              <w:top w:val="single" w:sz="4" w:space="0" w:color="000000"/>
              <w:left w:val="nil"/>
              <w:bottom w:val="nil"/>
              <w:right w:val="nil"/>
            </w:tcBorders>
            <w:tcMar>
              <w:top w:w="128" w:type="dxa"/>
              <w:left w:w="43" w:type="dxa"/>
              <w:bottom w:w="43" w:type="dxa"/>
              <w:right w:w="43" w:type="dxa"/>
            </w:tcMar>
          </w:tcPr>
          <w:p w14:paraId="3B2748F6" w14:textId="77777777" w:rsidR="000A2A2B" w:rsidRPr="007C3060" w:rsidRDefault="000A2A2B" w:rsidP="007C3060">
            <w:r w:rsidRPr="007C3060">
              <w:t>Ekstraordinært innovasjons-tilskudd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26E7AC" w14:textId="77777777" w:rsidR="000A2A2B" w:rsidRPr="007C3060" w:rsidRDefault="000A2A2B" w:rsidP="007C3060">
            <w:r w:rsidRPr="007C3060">
              <w:t>68 000</w:t>
            </w:r>
          </w:p>
        </w:tc>
      </w:tr>
      <w:tr w:rsidR="004B729E" w:rsidRPr="007C3060" w14:paraId="354456B5" w14:textId="77777777">
        <w:trPr>
          <w:trHeight w:val="640"/>
        </w:trPr>
        <w:tc>
          <w:tcPr>
            <w:tcW w:w="3160" w:type="dxa"/>
            <w:tcBorders>
              <w:top w:val="nil"/>
              <w:left w:val="nil"/>
              <w:bottom w:val="nil"/>
              <w:right w:val="nil"/>
            </w:tcBorders>
            <w:tcMar>
              <w:top w:w="128" w:type="dxa"/>
              <w:left w:w="43" w:type="dxa"/>
              <w:bottom w:w="43" w:type="dxa"/>
              <w:right w:w="43" w:type="dxa"/>
            </w:tcMar>
          </w:tcPr>
          <w:p w14:paraId="7AC3AC34" w14:textId="226BF114" w:rsidR="000A2A2B" w:rsidRPr="007C3060" w:rsidRDefault="000A2A2B" w:rsidP="007C3060">
            <w:r w:rsidRPr="007C3060">
              <w:t xml:space="preserve">Omstillingstilskudd til reiselivs- og </w:t>
            </w:r>
            <w:proofErr w:type="spellStart"/>
            <w:r w:rsidRPr="007C3060">
              <w:t>eventbransjen</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FB2466B" w14:textId="77777777" w:rsidR="000A2A2B" w:rsidRPr="007C3060" w:rsidRDefault="000A2A2B" w:rsidP="007C3060">
            <w:r w:rsidRPr="007C3060">
              <w:t>3 500</w:t>
            </w:r>
          </w:p>
        </w:tc>
      </w:tr>
      <w:tr w:rsidR="004B729E" w:rsidRPr="007C3060" w14:paraId="556C0F60" w14:textId="77777777">
        <w:trPr>
          <w:trHeight w:val="380"/>
        </w:trPr>
        <w:tc>
          <w:tcPr>
            <w:tcW w:w="3160" w:type="dxa"/>
            <w:tcBorders>
              <w:top w:val="nil"/>
              <w:left w:val="nil"/>
              <w:bottom w:val="nil"/>
              <w:right w:val="nil"/>
            </w:tcBorders>
            <w:tcMar>
              <w:top w:w="128" w:type="dxa"/>
              <w:left w:w="43" w:type="dxa"/>
              <w:bottom w:w="43" w:type="dxa"/>
              <w:right w:w="43" w:type="dxa"/>
            </w:tcMar>
          </w:tcPr>
          <w:p w14:paraId="19BF1D72" w14:textId="77777777" w:rsidR="000A2A2B" w:rsidRPr="007C3060" w:rsidRDefault="000A2A2B" w:rsidP="007C3060">
            <w:r w:rsidRPr="007C3060">
              <w:lastRenderedPageBreak/>
              <w:t>Ekstraordinært mentortilskudd</w:t>
            </w:r>
          </w:p>
        </w:tc>
        <w:tc>
          <w:tcPr>
            <w:tcW w:w="1400" w:type="dxa"/>
            <w:tcBorders>
              <w:top w:val="nil"/>
              <w:left w:val="nil"/>
              <w:bottom w:val="nil"/>
              <w:right w:val="nil"/>
            </w:tcBorders>
            <w:tcMar>
              <w:top w:w="128" w:type="dxa"/>
              <w:left w:w="43" w:type="dxa"/>
              <w:bottom w:w="43" w:type="dxa"/>
              <w:right w:w="43" w:type="dxa"/>
            </w:tcMar>
            <w:vAlign w:val="bottom"/>
          </w:tcPr>
          <w:p w14:paraId="53D96106" w14:textId="77777777" w:rsidR="000A2A2B" w:rsidRPr="007C3060" w:rsidRDefault="000A2A2B" w:rsidP="007C3060">
            <w:r w:rsidRPr="007C3060">
              <w:t>350</w:t>
            </w:r>
          </w:p>
        </w:tc>
      </w:tr>
      <w:tr w:rsidR="004B729E" w:rsidRPr="007C3060" w14:paraId="4E1CD660" w14:textId="77777777">
        <w:trPr>
          <w:trHeight w:val="640"/>
        </w:trPr>
        <w:tc>
          <w:tcPr>
            <w:tcW w:w="3160" w:type="dxa"/>
            <w:tcBorders>
              <w:top w:val="nil"/>
              <w:left w:val="nil"/>
              <w:bottom w:val="nil"/>
              <w:right w:val="nil"/>
            </w:tcBorders>
            <w:tcMar>
              <w:top w:w="128" w:type="dxa"/>
              <w:left w:w="43" w:type="dxa"/>
              <w:bottom w:w="43" w:type="dxa"/>
              <w:right w:w="43" w:type="dxa"/>
            </w:tcMar>
          </w:tcPr>
          <w:p w14:paraId="2D96BACE" w14:textId="77777777" w:rsidR="000A2A2B" w:rsidRPr="007C3060" w:rsidRDefault="000A2A2B" w:rsidP="007C3060">
            <w:r w:rsidRPr="007C3060">
              <w:t>Ekstraordinært kommersialiseringstilskudd</w:t>
            </w:r>
          </w:p>
        </w:tc>
        <w:tc>
          <w:tcPr>
            <w:tcW w:w="1400" w:type="dxa"/>
            <w:tcBorders>
              <w:top w:val="nil"/>
              <w:left w:val="nil"/>
              <w:bottom w:val="nil"/>
              <w:right w:val="nil"/>
            </w:tcBorders>
            <w:tcMar>
              <w:top w:w="128" w:type="dxa"/>
              <w:left w:w="43" w:type="dxa"/>
              <w:bottom w:w="43" w:type="dxa"/>
              <w:right w:w="43" w:type="dxa"/>
            </w:tcMar>
            <w:vAlign w:val="bottom"/>
          </w:tcPr>
          <w:p w14:paraId="0A893E04" w14:textId="77777777" w:rsidR="000A2A2B" w:rsidRPr="007C3060" w:rsidRDefault="000A2A2B" w:rsidP="007C3060">
            <w:r w:rsidRPr="007C3060">
              <w:t>1 300</w:t>
            </w:r>
          </w:p>
        </w:tc>
      </w:tr>
      <w:tr w:rsidR="004B729E" w:rsidRPr="007C3060" w14:paraId="7B67B393" w14:textId="77777777">
        <w:trPr>
          <w:trHeight w:val="640"/>
        </w:trPr>
        <w:tc>
          <w:tcPr>
            <w:tcW w:w="3160" w:type="dxa"/>
            <w:tcBorders>
              <w:top w:val="nil"/>
              <w:left w:val="nil"/>
              <w:bottom w:val="single" w:sz="4" w:space="0" w:color="000000"/>
              <w:right w:val="nil"/>
            </w:tcBorders>
            <w:tcMar>
              <w:top w:w="128" w:type="dxa"/>
              <w:left w:w="43" w:type="dxa"/>
              <w:bottom w:w="43" w:type="dxa"/>
              <w:right w:w="43" w:type="dxa"/>
            </w:tcMar>
          </w:tcPr>
          <w:p w14:paraId="4359002F" w14:textId="77777777" w:rsidR="000A2A2B" w:rsidRPr="007C3060" w:rsidRDefault="000A2A2B" w:rsidP="007C3060">
            <w:r w:rsidRPr="007C3060">
              <w:t>Ekstraordinært markeds-avklaringsstilskudd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68E6B6" w14:textId="77777777" w:rsidR="000A2A2B" w:rsidRPr="007C3060" w:rsidRDefault="000A2A2B" w:rsidP="007C3060">
            <w:r w:rsidRPr="007C3060">
              <w:t>700</w:t>
            </w:r>
          </w:p>
        </w:tc>
      </w:tr>
      <w:tr w:rsidR="004B729E" w:rsidRPr="007C3060" w14:paraId="13686877"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5460F7FA" w14:textId="77777777" w:rsidR="000A2A2B" w:rsidRPr="007C3060" w:rsidRDefault="000A2A2B" w:rsidP="007C3060">
            <w:r w:rsidRPr="007C3060">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16091D" w14:textId="77777777" w:rsidR="000A2A2B" w:rsidRPr="007C3060" w:rsidRDefault="000A2A2B" w:rsidP="007C3060">
            <w:r w:rsidRPr="007C3060">
              <w:t>73 850</w:t>
            </w:r>
          </w:p>
        </w:tc>
      </w:tr>
    </w:tbl>
    <w:p w14:paraId="6ADFD701" w14:textId="77777777" w:rsidR="000A2A2B" w:rsidRPr="007C3060" w:rsidRDefault="000A2A2B" w:rsidP="007C3060">
      <w:pPr>
        <w:pStyle w:val="b-budkaptit"/>
      </w:pPr>
      <w:r w:rsidRPr="007C3060">
        <w:t>Kap. 2421 Innovasjon Norge</w:t>
      </w:r>
    </w:p>
    <w:p w14:paraId="28483820" w14:textId="77777777" w:rsidR="000A2A2B" w:rsidRPr="007C3060" w:rsidRDefault="000A2A2B" w:rsidP="007C3060">
      <w:pPr>
        <w:pStyle w:val="b-post"/>
      </w:pPr>
      <w:r w:rsidRPr="007C3060">
        <w:t>Post 76 Miljøteknologi, kan overføres</w:t>
      </w:r>
    </w:p>
    <w:p w14:paraId="759DF9B7" w14:textId="77777777" w:rsidR="000A2A2B" w:rsidRPr="007C3060" w:rsidRDefault="000A2A2B" w:rsidP="007C3060">
      <w:r w:rsidRPr="007C3060">
        <w:t>I Saldert budsjett 2025 er det bevilget 126,3 mill. kroner og gitt en tilsagnsfullmakt på 423,8 mill. kroner til Innovasjon Norge til dette formålet. Ved utgangen av 2024 var tilsagnsfullmakten under ordningen bundet opp med 594,3 mill. kroner i tilsagn. Innovasjon Norges siste utbetalingsprognoser viser at det er risiko for at bevilgningen for 2025, samt overført midler fra 2024 ikke vil være tilstrekkelig til å dekke de utbetalingene som forventes å komme i 2025. Det foreslås derfor å øke bevilgningen med 10 mill. kroner og samtidig redusere tilsagnsfullmakten med samme beløp. Tilsagnsfullmakt for 2025 vil da bli redusert til 645 mill. kroner, jf. forslag til romertallsvedtak.</w:t>
      </w:r>
    </w:p>
    <w:p w14:paraId="4881D65E" w14:textId="77777777" w:rsidR="000A2A2B" w:rsidRPr="007C3060" w:rsidRDefault="000A2A2B" w:rsidP="007C3060">
      <w:pPr>
        <w:pStyle w:val="b-budkaptit"/>
      </w:pPr>
      <w:r w:rsidRPr="007C3060">
        <w:t>Kap. 5325 Innovasjon Norge</w:t>
      </w:r>
    </w:p>
    <w:p w14:paraId="3809BBC6" w14:textId="77777777" w:rsidR="000A2A2B" w:rsidRPr="007C3060" w:rsidRDefault="000A2A2B" w:rsidP="007C3060">
      <w:pPr>
        <w:pStyle w:val="b-post"/>
      </w:pPr>
      <w:r w:rsidRPr="007C3060">
        <w:t>Post 53 (Ny) Tilbakeføring av ubrukte tiltakspakkemidler</w:t>
      </w:r>
    </w:p>
    <w:p w14:paraId="68757CC9" w14:textId="77777777" w:rsidR="000A2A2B" w:rsidRPr="007C3060" w:rsidRDefault="000A2A2B" w:rsidP="007C3060">
      <w:r w:rsidRPr="007C3060">
        <w:t>Innovasjon Norge skal tilbakebetale til statskassen midler tilsvarende annullerte tilsagn i 2024 på en rekke koronatiltak finansiert over kap. 2421, post 50 i 2020 og 2021.</w:t>
      </w:r>
    </w:p>
    <w:p w14:paraId="7E410D66" w14:textId="77777777" w:rsidR="000A2A2B" w:rsidRPr="007C3060" w:rsidRDefault="000A2A2B" w:rsidP="007C3060">
      <w:r w:rsidRPr="007C3060">
        <w:t>Noen av disse midlene holdes tilbake for å dekke kostnader knyttet til oppfølging av gjenværende, ikke utbetalte tilsagn om ekstraordinært innovasjonstilskudd, omstillingstilskudd til reiselivsnæringen mv.</w:t>
      </w:r>
    </w:p>
    <w:p w14:paraId="20ABEEDA" w14:textId="77777777" w:rsidR="000A2A2B" w:rsidRPr="007C3060" w:rsidRDefault="000A2A2B" w:rsidP="007C3060">
      <w:r w:rsidRPr="007C3060">
        <w:t>Det foreslås en bevilgning på 73,85 mill. kroner som fordeler seg på de ulike koronaordningene som vist i tabellen under.</w:t>
      </w:r>
    </w:p>
    <w:p w14:paraId="7EF6F124" w14:textId="77777777" w:rsidR="000A2A2B" w:rsidRPr="007C3060" w:rsidRDefault="000A2A2B" w:rsidP="007C3060">
      <w:pPr>
        <w:pStyle w:val="b-post"/>
      </w:pPr>
      <w:r w:rsidRPr="007C3060">
        <w:t>Post 70 Låneprovisjoner</w:t>
      </w:r>
    </w:p>
    <w:p w14:paraId="628DEB03" w14:textId="77777777" w:rsidR="000A2A2B" w:rsidRPr="007C3060" w:rsidRDefault="000A2A2B" w:rsidP="007C3060">
      <w:r w:rsidRPr="007C3060">
        <w:t>Innovasjon Norge tok opp mindre nye innlån i statskassen i 2024 enn anslått. Låneprovisjonen i 2024 utgjorde i underkant av 67,3 mill. kroner. Dette skal innbetales til staten i 2025. På denne bakgrunn foreslås bevilgningen redusert med 2,7 mill. kroner.</w:t>
      </w:r>
    </w:p>
    <w:p w14:paraId="797DB285" w14:textId="77777777" w:rsidR="000A2A2B" w:rsidRPr="007C3060" w:rsidRDefault="000A2A2B" w:rsidP="007C3060">
      <w:pPr>
        <w:pStyle w:val="b-budkaptit"/>
      </w:pPr>
      <w:r w:rsidRPr="007C3060">
        <w:lastRenderedPageBreak/>
        <w:t>Kap. 5625 Renter og utbytte fra Innovasjon Norge</w:t>
      </w:r>
    </w:p>
    <w:p w14:paraId="66368FC0" w14:textId="77777777" w:rsidR="000A2A2B" w:rsidRPr="007C3060" w:rsidRDefault="000A2A2B" w:rsidP="007C3060">
      <w:pPr>
        <w:pStyle w:val="b-post"/>
      </w:pPr>
      <w:r w:rsidRPr="007C3060">
        <w:t>Post 80 Renter på lån fra statskassen</w:t>
      </w:r>
    </w:p>
    <w:p w14:paraId="5635A745" w14:textId="77777777" w:rsidR="000A2A2B" w:rsidRPr="007C3060" w:rsidRDefault="000A2A2B" w:rsidP="007C3060">
      <w:r w:rsidRPr="007C3060">
        <w:t>Som følge av reviderte renteanslag og estimater for Innovasjon Norges innlånsportefølje for 2025 foreslås det å øke bevilgningen med 30 mill. kroner.</w:t>
      </w:r>
    </w:p>
    <w:p w14:paraId="635ED8D5" w14:textId="77777777" w:rsidR="000A2A2B" w:rsidRPr="007C3060" w:rsidRDefault="000A2A2B" w:rsidP="007C3060">
      <w:pPr>
        <w:pStyle w:val="b-post"/>
      </w:pPr>
      <w:r w:rsidRPr="007C3060">
        <w:t>Post 81 Rentemargin, innovasjonslåneordningen</w:t>
      </w:r>
    </w:p>
    <w:p w14:paraId="48B14A41" w14:textId="77777777" w:rsidR="000A2A2B" w:rsidRPr="007C3060" w:rsidRDefault="000A2A2B" w:rsidP="007C3060">
      <w:r w:rsidRPr="007C3060">
        <w:t>Innovasjon Norges innovasjonslåneordning finansieres med innlån fra statskassen hvor renten følger statspapirer med tilsvarende løpetid. Ordningens administrasjonskostnader dekkes av rentemarginen mellom innlån og utlån. Nettobeløpet etter at administrasjonskostnadene er dekket, skal tilbakeføres statskassen i påfølgende år. Netto rentemargin for regnskapsåret 2024, som skal innbetales i 2025, er budsjettert til 23 mill. kroner. Det faktiske beløpet ble knapt 15,1 mill. kroner. Bevilgningen foreslås derfor redusert med 7,9 mill. kroner.</w:t>
      </w:r>
    </w:p>
    <w:p w14:paraId="547A8883" w14:textId="77777777" w:rsidR="000A2A2B" w:rsidRPr="007C3060" w:rsidRDefault="000A2A2B" w:rsidP="007C3060">
      <w:pPr>
        <w:pStyle w:val="b-post"/>
      </w:pPr>
      <w:r w:rsidRPr="007C3060">
        <w:t>Post 85 Utbytte, lavrisikolåneordningen</w:t>
      </w:r>
    </w:p>
    <w:p w14:paraId="7BD3EED1" w14:textId="77777777" w:rsidR="000A2A2B" w:rsidRPr="007C3060" w:rsidRDefault="000A2A2B" w:rsidP="007C3060">
      <w:r w:rsidRPr="007C3060">
        <w:t>Det er satt et krav om at Innovasjon Norges egenkapitalandel for lavrisikolåneordningen skal være på 10,5 pst. Alt overskytende overskudd når egenkapitaldekning på 10,5 pst. er nådd, skal tilbakeføres til staten. Overskuddet for 2024, som skal innbetales i 2025, ble budsjettert til 70 mill. kroner, mens årsregnskapet viser et overskudd på om lag 254 mill. kroner. Økningen skyldes i hovedsak lavere rentekostnader enn budsjettert.</w:t>
      </w:r>
    </w:p>
    <w:p w14:paraId="0C7DB0FB" w14:textId="77777777" w:rsidR="000A2A2B" w:rsidRPr="007C3060" w:rsidRDefault="000A2A2B" w:rsidP="007C3060">
      <w:r w:rsidRPr="007C3060">
        <w:t>Bevilgningen foreslås økt med 184 mill. kroner.</w:t>
      </w:r>
    </w:p>
    <w:p w14:paraId="4CFB33C5" w14:textId="77777777" w:rsidR="000A2A2B" w:rsidRPr="007C3060" w:rsidRDefault="000A2A2B" w:rsidP="007C3060">
      <w:pPr>
        <w:pStyle w:val="b-budkaptit"/>
      </w:pPr>
      <w:r w:rsidRPr="007C3060">
        <w:t>Kap. 2440 Statens direkte økonomiske -engasjement i petroleumsvirksomheten</w:t>
      </w:r>
    </w:p>
    <w:p w14:paraId="5BFDFB4F" w14:textId="77777777" w:rsidR="000A2A2B" w:rsidRPr="007C3060" w:rsidRDefault="000A2A2B" w:rsidP="007C3060">
      <w:pPr>
        <w:pStyle w:val="b-post"/>
      </w:pPr>
      <w:r w:rsidRPr="007C3060">
        <w:t>Post 30 Investeringer</w:t>
      </w:r>
    </w:p>
    <w:p w14:paraId="399EF15F" w14:textId="77777777" w:rsidR="000A2A2B" w:rsidRPr="007C3060" w:rsidRDefault="000A2A2B" w:rsidP="007C3060">
      <w:r w:rsidRPr="007C3060">
        <w:t>Bevilgningen foreslås økt med 5 400 mill. kroner. Økningen skyldes hovedsakelig høyere utbyggings- og driftsinvesteringer relatert til økt eierandel i gassinfrastruktur samt utbyggingsinvesteringer på Snøhvit og økt produksjonsboring på flere felt.</w:t>
      </w:r>
    </w:p>
    <w:p w14:paraId="219EA407" w14:textId="77777777" w:rsidR="000A2A2B" w:rsidRPr="007C3060" w:rsidRDefault="000A2A2B" w:rsidP="007C3060">
      <w:pPr>
        <w:pStyle w:val="b-post"/>
      </w:pPr>
      <w:r w:rsidRPr="007C3060">
        <w:t>Post 31 (Ny) Kjøp av eierandeler</w:t>
      </w:r>
    </w:p>
    <w:p w14:paraId="5E076434" w14:textId="77777777" w:rsidR="000A2A2B" w:rsidRPr="007C3060" w:rsidRDefault="000A2A2B" w:rsidP="007C3060">
      <w:r w:rsidRPr="007C3060">
        <w:t xml:space="preserve">I 2024 ble det utbetalt om lag 13 129 mill. kroner på denne posten til kjøp av eierandeler i gasstransportsystemet fra norsk sokkel, jf. omtale i </w:t>
      </w:r>
      <w:proofErr w:type="spellStart"/>
      <w:r w:rsidRPr="007C3060">
        <w:t>Prop</w:t>
      </w:r>
      <w:proofErr w:type="spellEnd"/>
      <w:r w:rsidRPr="007C3060">
        <w:t xml:space="preserve">. 27 S (2024–2025). Endringer i statsbudsjettet 2024 under Nærings- og fiskeridepartementet. Det </w:t>
      </w:r>
      <w:proofErr w:type="gramStart"/>
      <w:r w:rsidRPr="007C3060">
        <w:t>fremgår</w:t>
      </w:r>
      <w:proofErr w:type="gramEnd"/>
      <w:r w:rsidRPr="007C3060">
        <w:t xml:space="preserve"> av proposisjonen at sluttføring av transaksjonene med et pro et contra-oppgjør for kontantstrømmene for månedene november og desember 2024 ville bli gjort så snart de var klare i 2025 og regnskapsført på kap. 2440. Transaksjonene er ferdigstilt, og det er blitt innbetalt om lag 2 046 mill. kroner i 2025. Bevilgningen foreslås som følge av dette budsjettert med -2 046 mill. kroner. Totalt utgjorde statens oppkjøp av eierandeler om lag 11 082 mill. kroner.</w:t>
      </w:r>
    </w:p>
    <w:p w14:paraId="5C9BF98D" w14:textId="77777777" w:rsidR="000A2A2B" w:rsidRPr="007C3060" w:rsidRDefault="000A2A2B" w:rsidP="007C3060">
      <w:pPr>
        <w:pStyle w:val="b-budkaptit"/>
      </w:pPr>
      <w:r w:rsidRPr="007C3060">
        <w:lastRenderedPageBreak/>
        <w:t>Kap. 5440 Statens direkte økonomiske -engasjement i petroleumsvirksomheten</w:t>
      </w:r>
    </w:p>
    <w:p w14:paraId="66C18E2E" w14:textId="77777777" w:rsidR="000A2A2B" w:rsidRPr="007C3060" w:rsidRDefault="000A2A2B" w:rsidP="007C3060">
      <w:pPr>
        <w:pStyle w:val="b-post"/>
      </w:pPr>
      <w:r w:rsidRPr="007C3060">
        <w:t>Post 24 Driftsresultat</w:t>
      </w:r>
    </w:p>
    <w:p w14:paraId="2A78737F" w14:textId="77777777" w:rsidR="000A2A2B" w:rsidRPr="007C3060" w:rsidRDefault="000A2A2B" w:rsidP="007C3060">
      <w:r w:rsidRPr="007C3060">
        <w:t>Anslaget på underpost 24.1 Driftsinntekter foreslås økt med 32 590 mill. kroner. Økningen skyldes høyere gassprisforutsetninger og økte tariff-inntekter som følge av økt eierandel i gassinfrastruktur.</w:t>
      </w:r>
    </w:p>
    <w:p w14:paraId="69F3A17B" w14:textId="77777777" w:rsidR="000A2A2B" w:rsidRPr="007C3060" w:rsidRDefault="000A2A2B" w:rsidP="007C3060">
      <w:r w:rsidRPr="007C3060">
        <w:t>Anslaget på underpost 24.2 Driftsutgifter foreslås økt med 600 mill. kroner. Økningen skyldes hovedsakelig økte produksjonskostnader relatert til økt eierskap i gassinfrastrukturen, som delvis motvirkes av lavere tariffutgifter som følge av eliminering og reduserte kostnader knyttet til kjøp av tredjepartsgass som følge av lavere tredjepartsvolum.</w:t>
      </w:r>
    </w:p>
    <w:p w14:paraId="4286DD6D" w14:textId="77777777" w:rsidR="000A2A2B" w:rsidRPr="007C3060" w:rsidRDefault="000A2A2B" w:rsidP="007C3060">
      <w:r w:rsidRPr="007C3060">
        <w:t xml:space="preserve">Anslaget på underpost 24.3 Lete- og feltutviklingskostnader foreslås økt med 100 mill. kroner. Økningen skyldes modning av </w:t>
      </w:r>
      <w:proofErr w:type="spellStart"/>
      <w:r w:rsidRPr="007C3060">
        <w:t>leteplaner</w:t>
      </w:r>
      <w:proofErr w:type="spellEnd"/>
      <w:r w:rsidRPr="007C3060">
        <w:t xml:space="preserve"> fra operatør.</w:t>
      </w:r>
    </w:p>
    <w:p w14:paraId="4AE96E19" w14:textId="77777777" w:rsidR="000A2A2B" w:rsidRPr="007C3060" w:rsidRDefault="000A2A2B" w:rsidP="007C3060">
      <w:r w:rsidRPr="007C3060">
        <w:t>Anslaget på underpost 24.4 Avskrivinger foreslås økt med 1 400 mill. kroner. Økningen er relatert til økt eierandel i gassinfrastruktur.</w:t>
      </w:r>
    </w:p>
    <w:p w14:paraId="78318434" w14:textId="77777777" w:rsidR="000A2A2B" w:rsidRPr="007C3060" w:rsidRDefault="000A2A2B" w:rsidP="007C3060">
      <w:r w:rsidRPr="007C3060">
        <w:t>Anslaget på underpost 24.5 Renter av statens kapital foreslås økt med 100 mill. kroner.</w:t>
      </w:r>
    </w:p>
    <w:p w14:paraId="1EA9B7E7" w14:textId="77777777" w:rsidR="000A2A2B" w:rsidRPr="007C3060" w:rsidRDefault="000A2A2B" w:rsidP="007C3060">
      <w:r w:rsidRPr="007C3060">
        <w:t xml:space="preserve">Ovennevnte endringer i underposter medfører at </w:t>
      </w:r>
      <w:proofErr w:type="spellStart"/>
      <w:r w:rsidRPr="007C3060">
        <w:t>SDØEs</w:t>
      </w:r>
      <w:proofErr w:type="spellEnd"/>
      <w:r w:rsidRPr="007C3060">
        <w:t xml:space="preserve"> anslåtte driftsresultat økes med 30 390 mill. kroner.</w:t>
      </w:r>
    </w:p>
    <w:p w14:paraId="7000D9E1" w14:textId="77777777" w:rsidR="000A2A2B" w:rsidRPr="007C3060" w:rsidRDefault="000A2A2B" w:rsidP="007C3060">
      <w:pPr>
        <w:pStyle w:val="b-post"/>
      </w:pPr>
      <w:r w:rsidRPr="007C3060">
        <w:t>Post 30 Avskrivninger</w:t>
      </w:r>
    </w:p>
    <w:p w14:paraId="6BB37915" w14:textId="77777777" w:rsidR="000A2A2B" w:rsidRPr="007C3060" w:rsidRDefault="000A2A2B" w:rsidP="007C3060">
      <w:r w:rsidRPr="007C3060">
        <w:t>Bevilgningen foreslås økt med 1 400 mill. kroner.</w:t>
      </w:r>
    </w:p>
    <w:p w14:paraId="5F390DA4" w14:textId="77777777" w:rsidR="000A2A2B" w:rsidRPr="007C3060" w:rsidRDefault="000A2A2B" w:rsidP="007C3060">
      <w:r w:rsidRPr="007C3060">
        <w:t>Forslagene på kap. 2440 og 5440 innebærer at netto kontantstrøm fra SDØE øker med 28 490 mill. kroner, til 254 600 mill. kroner.</w:t>
      </w:r>
    </w:p>
    <w:p w14:paraId="2ACD45E3" w14:textId="77777777" w:rsidR="000A2A2B" w:rsidRPr="007C3060" w:rsidRDefault="000A2A2B" w:rsidP="007C3060">
      <w:pPr>
        <w:pStyle w:val="b-budkaptit"/>
      </w:pPr>
      <w:r w:rsidRPr="007C3060">
        <w:t>Kap. 2460 Eksportfinansiering Norge</w:t>
      </w:r>
    </w:p>
    <w:p w14:paraId="1FFEF23A" w14:textId="77777777" w:rsidR="000A2A2B" w:rsidRPr="007C3060" w:rsidRDefault="000A2A2B" w:rsidP="007C3060">
      <w:pPr>
        <w:pStyle w:val="b-post"/>
      </w:pPr>
      <w:r w:rsidRPr="007C3060">
        <w:t>Post 24 Driftsresultat</w:t>
      </w:r>
    </w:p>
    <w:p w14:paraId="129F6FF8" w14:textId="77777777" w:rsidR="000A2A2B" w:rsidRPr="007C3060" w:rsidRDefault="000A2A2B" w:rsidP="007C3060">
      <w:r w:rsidRPr="007C3060">
        <w:t>Eksportfinansiering Norge (Eksfin) fikk en forskyvning av 3,1 mill. kroner fra 2024 til 2025 som følge av at lønnsoppgjøret i staten for 2024 ble avklart sent på året og merutgiftene derfor ikke kom til utbetaling før i 2025. Av merutgiftene gjelder 2,1 mill. kroner forvaltning av garantiordningene, som også øker driftsinntektene fra ordningene tilsvarende, og 1 mill. kroner forvaltning av eksportkredittordningen.</w:t>
      </w:r>
    </w:p>
    <w:p w14:paraId="099728DB" w14:textId="77777777" w:rsidR="000A2A2B" w:rsidRPr="007C3060" w:rsidRDefault="000A2A2B" w:rsidP="007C3060">
      <w:r w:rsidRPr="007C3060">
        <w:t>På denne bakgrunn foreslås driftsresultat under post 24 økt med netto 1 mill. kroner til 106,771 mill. kroner.</w:t>
      </w:r>
    </w:p>
    <w:p w14:paraId="07071009" w14:textId="77777777" w:rsidR="000A2A2B" w:rsidRPr="007C3060" w:rsidRDefault="000A2A2B" w:rsidP="007C3060">
      <w:pPr>
        <w:pStyle w:val="b-budkaptit"/>
      </w:pPr>
      <w:r w:rsidRPr="007C3060">
        <w:t>Kap. 5460 Eksportfinansiering Norge</w:t>
      </w:r>
    </w:p>
    <w:p w14:paraId="34FEDEC5" w14:textId="77777777" w:rsidR="000A2A2B" w:rsidRPr="007C3060" w:rsidRDefault="000A2A2B" w:rsidP="007C3060">
      <w:pPr>
        <w:pStyle w:val="b-post"/>
      </w:pPr>
      <w:r w:rsidRPr="007C3060">
        <w:t>Post 71 Tilbakeføring fra avviklede garantiordninger</w:t>
      </w:r>
    </w:p>
    <w:p w14:paraId="30B4F991" w14:textId="77777777" w:rsidR="000A2A2B" w:rsidRPr="007C3060" w:rsidRDefault="000A2A2B" w:rsidP="007C3060">
      <w:r w:rsidRPr="007C3060">
        <w:t xml:space="preserve">Det er vedtatt at Eksfin skal overføre overskuddslikviditet for gammel alminnelig ordning og gammel særordning for 2023 på til sammen 28,8 mill. kroner. Fra 2025 har Nærings- og </w:t>
      </w:r>
      <w:r w:rsidRPr="007C3060">
        <w:lastRenderedPageBreak/>
        <w:t>fiskeridepartementet lagt om praksis slik at all tilgjengelig overskuddslikviditet skal overføres de enkelte årene. Eksfin har anslått at tilgjengelig overskuddslikviditet for 2024 og 2025 er 25 mill. kroner. Det foreslås på denne bakgrunn å øke bevilgningen med 25 mill. kroner.</w:t>
      </w:r>
    </w:p>
    <w:p w14:paraId="29D70CE3" w14:textId="77777777" w:rsidR="000A2A2B" w:rsidRPr="007C3060" w:rsidRDefault="000A2A2B" w:rsidP="007C3060">
      <w:pPr>
        <w:pStyle w:val="b-post"/>
      </w:pPr>
      <w:r w:rsidRPr="007C3060">
        <w:t>Post 85 Inntekter fra avviklede midlertidige ordninger</w:t>
      </w:r>
    </w:p>
    <w:p w14:paraId="3A1638CE" w14:textId="77777777" w:rsidR="000A2A2B" w:rsidRDefault="000A2A2B" w:rsidP="007C3060">
      <w:r w:rsidRPr="007C3060">
        <w:t>På posten føres inntekter fra avviklede midlertidige ordninger. Bevilgningen foreslås økt med 463,2 mill. kroner, se tabellen under for oversikt over endringer under ulike ordninger. Det vises til Meld. St. 3 (2024–2025) for utestående garanti-ansvar per 31.12.2024 for de ulike ordningene.</w:t>
      </w:r>
    </w:p>
    <w:p w14:paraId="76390FBB" w14:textId="35CEE7EB" w:rsidR="00AC1986" w:rsidRPr="007C3060" w:rsidRDefault="00AC1986" w:rsidP="00530C99">
      <w:pPr>
        <w:pStyle w:val="tabell-tittel"/>
      </w:pPr>
      <w:r w:rsidRPr="007C3060">
        <w:t>Inntekter fra avviklede midlertidige ordninger</w:t>
      </w:r>
    </w:p>
    <w:p w14:paraId="018E1699" w14:textId="77777777" w:rsidR="000A2A2B" w:rsidRPr="007C3060" w:rsidRDefault="000A2A2B" w:rsidP="007C3060">
      <w:pPr>
        <w:pStyle w:val="Tabellnavn"/>
      </w:pPr>
      <w:r w:rsidRPr="007C3060">
        <w:t>02J1xt1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4B729E" w:rsidRPr="007C3060" w14:paraId="245A600C"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1E8276" w14:textId="77777777" w:rsidR="000A2A2B" w:rsidRPr="007C3060" w:rsidRDefault="000A2A2B" w:rsidP="007C3060">
            <w:r w:rsidRPr="007C3060">
              <w:t>Ordning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7FC94D" w14:textId="77777777" w:rsidR="000A2A2B" w:rsidRPr="007C3060" w:rsidRDefault="000A2A2B" w:rsidP="007C3060">
            <w:r w:rsidRPr="007C3060">
              <w:t>(i 1000 kroner)</w:t>
            </w:r>
          </w:p>
        </w:tc>
      </w:tr>
      <w:tr w:rsidR="004B729E" w:rsidRPr="007C3060" w14:paraId="4F631FF0"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3A23745E" w14:textId="77777777" w:rsidR="000A2A2B" w:rsidRPr="007C3060" w:rsidRDefault="000A2A2B" w:rsidP="007C3060">
            <w:r w:rsidRPr="007C3060">
              <w:t>Luftgarantiordningen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D3402FA" w14:textId="77777777" w:rsidR="000A2A2B" w:rsidRPr="007C3060" w:rsidRDefault="000A2A2B" w:rsidP="007C3060">
            <w:r w:rsidRPr="007C3060">
              <w:t>10 700</w:t>
            </w:r>
          </w:p>
        </w:tc>
      </w:tr>
      <w:tr w:rsidR="004B729E" w:rsidRPr="007C3060" w14:paraId="0FAADC61" w14:textId="77777777">
        <w:trPr>
          <w:trHeight w:val="380"/>
        </w:trPr>
        <w:tc>
          <w:tcPr>
            <w:tcW w:w="3160" w:type="dxa"/>
            <w:tcBorders>
              <w:top w:val="nil"/>
              <w:left w:val="nil"/>
              <w:bottom w:val="nil"/>
              <w:right w:val="nil"/>
            </w:tcBorders>
            <w:tcMar>
              <w:top w:w="128" w:type="dxa"/>
              <w:left w:w="43" w:type="dxa"/>
              <w:bottom w:w="43" w:type="dxa"/>
              <w:right w:w="43" w:type="dxa"/>
            </w:tcMar>
          </w:tcPr>
          <w:p w14:paraId="28CD226A" w14:textId="77777777" w:rsidR="000A2A2B" w:rsidRPr="007C3060" w:rsidRDefault="000A2A2B" w:rsidP="007C3060">
            <w:r w:rsidRPr="007C3060">
              <w:t>Lånegarantiordningen for SMB</w:t>
            </w:r>
          </w:p>
        </w:tc>
        <w:tc>
          <w:tcPr>
            <w:tcW w:w="1400" w:type="dxa"/>
            <w:tcBorders>
              <w:top w:val="nil"/>
              <w:left w:val="nil"/>
              <w:bottom w:val="nil"/>
              <w:right w:val="nil"/>
            </w:tcBorders>
            <w:tcMar>
              <w:top w:w="128" w:type="dxa"/>
              <w:left w:w="43" w:type="dxa"/>
              <w:bottom w:w="43" w:type="dxa"/>
              <w:right w:w="43" w:type="dxa"/>
            </w:tcMar>
            <w:vAlign w:val="bottom"/>
          </w:tcPr>
          <w:p w14:paraId="60AE0962" w14:textId="77777777" w:rsidR="000A2A2B" w:rsidRPr="007C3060" w:rsidRDefault="000A2A2B" w:rsidP="007C3060">
            <w:r w:rsidRPr="007C3060">
              <w:t>420 700</w:t>
            </w:r>
          </w:p>
        </w:tc>
      </w:tr>
      <w:tr w:rsidR="004B729E" w:rsidRPr="007C3060" w14:paraId="6E60D185" w14:textId="77777777">
        <w:trPr>
          <w:trHeight w:val="640"/>
        </w:trPr>
        <w:tc>
          <w:tcPr>
            <w:tcW w:w="3160" w:type="dxa"/>
            <w:tcBorders>
              <w:top w:val="nil"/>
              <w:left w:val="nil"/>
              <w:bottom w:val="nil"/>
              <w:right w:val="nil"/>
            </w:tcBorders>
            <w:tcMar>
              <w:top w:w="128" w:type="dxa"/>
              <w:left w:w="43" w:type="dxa"/>
              <w:bottom w:w="43" w:type="dxa"/>
              <w:right w:w="43" w:type="dxa"/>
            </w:tcMar>
          </w:tcPr>
          <w:p w14:paraId="28D53EAB" w14:textId="6C399BCA" w:rsidR="000A2A2B" w:rsidRPr="007C3060" w:rsidRDefault="000A2A2B" w:rsidP="007C3060">
            <w:r w:rsidRPr="007C3060">
              <w:t>Re-forsikring av kortsiktig-kredittforsikring</w:t>
            </w:r>
          </w:p>
        </w:tc>
        <w:tc>
          <w:tcPr>
            <w:tcW w:w="1400" w:type="dxa"/>
            <w:tcBorders>
              <w:top w:val="nil"/>
              <w:left w:val="nil"/>
              <w:bottom w:val="nil"/>
              <w:right w:val="nil"/>
            </w:tcBorders>
            <w:tcMar>
              <w:top w:w="128" w:type="dxa"/>
              <w:left w:w="43" w:type="dxa"/>
              <w:bottom w:w="43" w:type="dxa"/>
              <w:right w:w="43" w:type="dxa"/>
            </w:tcMar>
            <w:vAlign w:val="bottom"/>
          </w:tcPr>
          <w:p w14:paraId="17D20043" w14:textId="77777777" w:rsidR="000A2A2B" w:rsidRPr="007C3060" w:rsidRDefault="000A2A2B" w:rsidP="007C3060">
            <w:r w:rsidRPr="007C3060">
              <w:t>21 600</w:t>
            </w:r>
          </w:p>
        </w:tc>
      </w:tr>
      <w:tr w:rsidR="004B729E" w:rsidRPr="007C3060" w14:paraId="35087DE2" w14:textId="77777777">
        <w:trPr>
          <w:trHeight w:val="380"/>
        </w:trPr>
        <w:tc>
          <w:tcPr>
            <w:tcW w:w="3160" w:type="dxa"/>
            <w:tcBorders>
              <w:top w:val="nil"/>
              <w:left w:val="nil"/>
              <w:bottom w:val="nil"/>
              <w:right w:val="nil"/>
            </w:tcBorders>
            <w:tcMar>
              <w:top w:w="128" w:type="dxa"/>
              <w:left w:w="43" w:type="dxa"/>
              <w:bottom w:w="43" w:type="dxa"/>
              <w:right w:w="43" w:type="dxa"/>
            </w:tcMar>
          </w:tcPr>
          <w:p w14:paraId="1352CA97" w14:textId="77777777" w:rsidR="000A2A2B" w:rsidRPr="007C3060" w:rsidRDefault="000A2A2B" w:rsidP="007C3060">
            <w:r w:rsidRPr="007C3060">
              <w:t>Reisegarantiordningen</w:t>
            </w:r>
          </w:p>
        </w:tc>
        <w:tc>
          <w:tcPr>
            <w:tcW w:w="1400" w:type="dxa"/>
            <w:tcBorders>
              <w:top w:val="nil"/>
              <w:left w:val="nil"/>
              <w:bottom w:val="nil"/>
              <w:right w:val="nil"/>
            </w:tcBorders>
            <w:tcMar>
              <w:top w:w="128" w:type="dxa"/>
              <w:left w:w="43" w:type="dxa"/>
              <w:bottom w:w="43" w:type="dxa"/>
              <w:right w:w="43" w:type="dxa"/>
            </w:tcMar>
            <w:vAlign w:val="bottom"/>
          </w:tcPr>
          <w:p w14:paraId="6A32AC4A" w14:textId="77777777" w:rsidR="000A2A2B" w:rsidRPr="007C3060" w:rsidRDefault="000A2A2B" w:rsidP="007C3060">
            <w:r w:rsidRPr="007C3060">
              <w:t>8 200</w:t>
            </w:r>
          </w:p>
        </w:tc>
      </w:tr>
      <w:tr w:rsidR="004B729E" w:rsidRPr="007C3060" w14:paraId="3006A1A6" w14:textId="77777777">
        <w:trPr>
          <w:trHeight w:val="640"/>
        </w:trPr>
        <w:tc>
          <w:tcPr>
            <w:tcW w:w="3160" w:type="dxa"/>
            <w:tcBorders>
              <w:top w:val="nil"/>
              <w:left w:val="nil"/>
              <w:bottom w:val="single" w:sz="4" w:space="0" w:color="000000"/>
              <w:right w:val="nil"/>
            </w:tcBorders>
            <w:tcMar>
              <w:top w:w="128" w:type="dxa"/>
              <w:left w:w="43" w:type="dxa"/>
              <w:bottom w:w="43" w:type="dxa"/>
              <w:right w:w="43" w:type="dxa"/>
            </w:tcMar>
          </w:tcPr>
          <w:p w14:paraId="21D20944" w14:textId="77777777" w:rsidR="000A2A2B" w:rsidRPr="007C3060" w:rsidRDefault="000A2A2B" w:rsidP="007C3060">
            <w:r w:rsidRPr="007C3060">
              <w:t>Lånegarantiording ifm. høye strømpriser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BA3818" w14:textId="77777777" w:rsidR="000A2A2B" w:rsidRPr="007C3060" w:rsidRDefault="000A2A2B" w:rsidP="007C3060">
            <w:r w:rsidRPr="007C3060">
              <w:t>2 000</w:t>
            </w:r>
          </w:p>
        </w:tc>
      </w:tr>
      <w:tr w:rsidR="004B729E" w:rsidRPr="007C3060" w14:paraId="33A8D9AF"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0974283D" w14:textId="77777777" w:rsidR="000A2A2B" w:rsidRPr="007C3060" w:rsidRDefault="000A2A2B" w:rsidP="007C3060">
            <w:r w:rsidRPr="007C3060">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3851D9" w14:textId="77777777" w:rsidR="000A2A2B" w:rsidRPr="007C3060" w:rsidRDefault="000A2A2B" w:rsidP="007C3060">
            <w:r w:rsidRPr="007C3060">
              <w:t>463 200</w:t>
            </w:r>
          </w:p>
        </w:tc>
      </w:tr>
    </w:tbl>
    <w:p w14:paraId="627DCC79" w14:textId="77777777" w:rsidR="000A2A2B" w:rsidRPr="007C3060" w:rsidRDefault="000A2A2B" w:rsidP="007C3060">
      <w:pPr>
        <w:pStyle w:val="b-budkaptit"/>
      </w:pPr>
      <w:r w:rsidRPr="007C3060">
        <w:t>Kap. 5574 Sektoravgifter under Nærings- og fiskeridepartementet</w:t>
      </w:r>
    </w:p>
    <w:p w14:paraId="0F1A2BE1" w14:textId="77777777" w:rsidR="000A2A2B" w:rsidRPr="007C3060" w:rsidRDefault="000A2A2B" w:rsidP="007C3060">
      <w:pPr>
        <w:pStyle w:val="b-post"/>
      </w:pPr>
      <w:r w:rsidRPr="007C3060">
        <w:t>Post 74 Fiskeriforskningsavgift</w:t>
      </w:r>
    </w:p>
    <w:p w14:paraId="7A121C1E" w14:textId="77777777" w:rsidR="000A2A2B" w:rsidRPr="007C3060" w:rsidRDefault="000A2A2B" w:rsidP="007C3060">
      <w:r w:rsidRPr="007C3060">
        <w:t>Fiskeriforskningsavgiften med tilhørende utgiftsposter beregnes som 1,35 pst. av førstehåndsverdien av villfanget fisk. Fiskeridirektoratet har lagt frem oppdatert anslag for førstehåndsverdien for 2025. Det oppdaterte anslaget innebærer økte inntekter på 42,5 mill. kroner. Det foreslås derfor å øke bevilgingen med 42,5 mill. kroner.</w:t>
      </w:r>
    </w:p>
    <w:p w14:paraId="23CDB2BF" w14:textId="77777777" w:rsidR="000A2A2B" w:rsidRPr="007C3060" w:rsidRDefault="000A2A2B" w:rsidP="007C3060">
      <w:r w:rsidRPr="007C3060">
        <w:t xml:space="preserve">Inntektene fra fiskeriforskningsavgiften skal finansiere utgiftspostene; kap. 917 </w:t>
      </w:r>
      <w:r w:rsidRPr="007C3060">
        <w:rPr>
          <w:rStyle w:val="kursiv"/>
        </w:rPr>
        <w:t>Fiskeridirektoratet</w:t>
      </w:r>
      <w:r w:rsidRPr="007C3060">
        <w:t xml:space="preserve">, post 22 </w:t>
      </w:r>
      <w:r w:rsidRPr="007C3060">
        <w:rPr>
          <w:rStyle w:val="kursiv"/>
        </w:rPr>
        <w:t>Fiskeriforskning og -overvåking</w:t>
      </w:r>
      <w:r w:rsidRPr="007C3060">
        <w:t xml:space="preserve">, kap. 919 </w:t>
      </w:r>
      <w:r w:rsidRPr="007C3060">
        <w:rPr>
          <w:rStyle w:val="kursiv"/>
        </w:rPr>
        <w:t>Diverse fiskeformål,</w:t>
      </w:r>
      <w:r w:rsidRPr="007C3060">
        <w:t xml:space="preserve"> post 76 </w:t>
      </w:r>
      <w:r w:rsidRPr="007C3060">
        <w:rPr>
          <w:rStyle w:val="kursiv"/>
        </w:rPr>
        <w:t>Tilskudd til fiskeriforskning</w:t>
      </w:r>
      <w:r w:rsidRPr="007C3060">
        <w:t xml:space="preserve">, samt kap. 923 </w:t>
      </w:r>
      <w:r w:rsidRPr="007C3060">
        <w:rPr>
          <w:rStyle w:val="kursiv"/>
        </w:rPr>
        <w:t>Havforskningsinstituttet</w:t>
      </w:r>
      <w:r w:rsidRPr="007C3060">
        <w:t xml:space="preserve">, post 22 </w:t>
      </w:r>
      <w:r w:rsidRPr="007C3060">
        <w:rPr>
          <w:rStyle w:val="kursiv"/>
        </w:rPr>
        <w:t>Fiskeriforskning og -overvåking</w:t>
      </w:r>
      <w:r w:rsidRPr="007C3060">
        <w:t>.</w:t>
      </w:r>
    </w:p>
    <w:p w14:paraId="254F0901" w14:textId="77777777" w:rsidR="000A2A2B" w:rsidRPr="007C3060" w:rsidRDefault="000A2A2B" w:rsidP="007C3060">
      <w:r w:rsidRPr="007C3060">
        <w:lastRenderedPageBreak/>
        <w:t>Det vises til forslag om bevilgningsøkninger under disse postene.</w:t>
      </w:r>
    </w:p>
    <w:p w14:paraId="64192701" w14:textId="77777777" w:rsidR="000A2A2B" w:rsidRPr="007C3060" w:rsidRDefault="000A2A2B" w:rsidP="007C3060">
      <w:pPr>
        <w:pStyle w:val="b-post"/>
      </w:pPr>
      <w:r w:rsidRPr="007C3060">
        <w:t>Post 76 Kontrollavgift fiskeflåten</w:t>
      </w:r>
    </w:p>
    <w:p w14:paraId="33FA41AF" w14:textId="77777777" w:rsidR="000A2A2B" w:rsidRPr="007C3060" w:rsidRDefault="000A2A2B" w:rsidP="007C3060">
      <w:r w:rsidRPr="007C3060">
        <w:t>Kontrollavgiften er på 0,22 pst. av førstehåndsomsetningen av villfanget fisk til norske fiskefartøy over 15 meter. Basert på oppdaterte anslag foreslås det å øke bevilgningen med 5,6 mill. kroner.</w:t>
      </w:r>
    </w:p>
    <w:p w14:paraId="22B694C4" w14:textId="77777777" w:rsidR="000A2A2B" w:rsidRPr="007C3060" w:rsidRDefault="000A2A2B" w:rsidP="007C3060">
      <w:pPr>
        <w:pStyle w:val="b-post"/>
      </w:pPr>
      <w:r w:rsidRPr="007C3060">
        <w:t>Post 77 Sektoravgifter Kystverket</w:t>
      </w:r>
    </w:p>
    <w:p w14:paraId="5175F3E6" w14:textId="77777777" w:rsidR="000A2A2B" w:rsidRDefault="000A2A2B" w:rsidP="007C3060">
      <w:r w:rsidRPr="007C3060">
        <w:t>Det vises til omtale under kap. 916, post 22 og post 46. Bevilgningen foreslås økt med til sammen 155,7 mill. kroner.</w:t>
      </w:r>
    </w:p>
    <w:p w14:paraId="36E822A7" w14:textId="456E8F24" w:rsidR="00AC1986" w:rsidRPr="007C3060" w:rsidRDefault="00AC1986" w:rsidP="00530C99">
      <w:pPr>
        <w:pStyle w:val="tabell-tittel"/>
      </w:pPr>
      <w:r w:rsidRPr="007C3060">
        <w:t>Utbytteanslag</w:t>
      </w:r>
    </w:p>
    <w:p w14:paraId="351AB072" w14:textId="77777777" w:rsidR="000A2A2B" w:rsidRPr="007C3060" w:rsidRDefault="000A2A2B" w:rsidP="007C3060">
      <w:pPr>
        <w:pStyle w:val="Tabellnavn"/>
      </w:pPr>
      <w:r w:rsidRPr="007C3060">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4B729E" w:rsidRPr="007C3060" w14:paraId="684DAD01" w14:textId="77777777">
        <w:trPr>
          <w:trHeight w:val="3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20B0AEAA" w14:textId="77777777" w:rsidR="000A2A2B" w:rsidRPr="007C3060" w:rsidRDefault="000A2A2B" w:rsidP="007C3060"/>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29699A" w14:textId="77777777" w:rsidR="000A2A2B" w:rsidRPr="007C3060" w:rsidRDefault="000A2A2B" w:rsidP="007C3060"/>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C51B7B" w14:textId="77777777" w:rsidR="000A2A2B" w:rsidRPr="007C3060" w:rsidRDefault="000A2A2B" w:rsidP="007C3060"/>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4BBEBB0" w14:textId="77777777" w:rsidR="000A2A2B" w:rsidRPr="007C3060" w:rsidRDefault="000A2A2B" w:rsidP="007C3060">
            <w:r w:rsidRPr="007C3060">
              <w:t>(mill. kroner)</w:t>
            </w:r>
          </w:p>
        </w:tc>
      </w:tr>
      <w:tr w:rsidR="004B729E" w:rsidRPr="007C3060" w14:paraId="2A21F158"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F2F920" w14:textId="77777777" w:rsidR="000A2A2B" w:rsidRPr="007C3060" w:rsidRDefault="000A2A2B" w:rsidP="007C3060"/>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4BFA79" w14:textId="685DA509" w:rsidR="000A2A2B" w:rsidRPr="007C3060" w:rsidRDefault="000A2A2B" w:rsidP="007C3060">
            <w:r w:rsidRPr="007C3060">
              <w:t>Saldert budsjett 2025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D4B020" w14:textId="6B914201" w:rsidR="000A2A2B" w:rsidRPr="007C3060" w:rsidRDefault="000A2A2B" w:rsidP="007C3060">
            <w:r w:rsidRPr="007C3060">
              <w:t>RNB 2025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758FFF" w14:textId="77777777" w:rsidR="000A2A2B" w:rsidRPr="007C3060" w:rsidRDefault="000A2A2B" w:rsidP="007C3060">
            <w:r w:rsidRPr="007C3060">
              <w:t>Endring</w:t>
            </w:r>
          </w:p>
        </w:tc>
      </w:tr>
      <w:tr w:rsidR="004B729E" w:rsidRPr="007C3060" w14:paraId="2DEDEF7C"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3349049" w14:textId="77777777" w:rsidR="000A2A2B" w:rsidRPr="007C3060" w:rsidRDefault="000A2A2B" w:rsidP="007C3060">
            <w:r w:rsidRPr="007C3060">
              <w:rPr>
                <w:rStyle w:val="kursiv"/>
              </w:rPr>
              <w:t>Børsnoterte selskaper: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290401F" w14:textId="77777777" w:rsidR="000A2A2B" w:rsidRPr="007C3060" w:rsidRDefault="000A2A2B" w:rsidP="007C3060"/>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2F8CBFD" w14:textId="77777777" w:rsidR="000A2A2B" w:rsidRPr="007C3060" w:rsidRDefault="000A2A2B" w:rsidP="007C3060"/>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DB683E0" w14:textId="77777777" w:rsidR="000A2A2B" w:rsidRPr="007C3060" w:rsidRDefault="000A2A2B" w:rsidP="007C3060"/>
        </w:tc>
      </w:tr>
      <w:tr w:rsidR="004B729E" w:rsidRPr="007C3060" w14:paraId="70D90F4F" w14:textId="77777777">
        <w:trPr>
          <w:trHeight w:val="380"/>
        </w:trPr>
        <w:tc>
          <w:tcPr>
            <w:tcW w:w="5320" w:type="dxa"/>
            <w:tcBorders>
              <w:top w:val="nil"/>
              <w:left w:val="nil"/>
              <w:bottom w:val="nil"/>
              <w:right w:val="nil"/>
            </w:tcBorders>
            <w:tcMar>
              <w:top w:w="128" w:type="dxa"/>
              <w:left w:w="43" w:type="dxa"/>
              <w:bottom w:w="43" w:type="dxa"/>
              <w:right w:w="43" w:type="dxa"/>
            </w:tcMar>
          </w:tcPr>
          <w:p w14:paraId="1C0929FC" w14:textId="77777777" w:rsidR="000A2A2B" w:rsidRPr="007C3060" w:rsidRDefault="000A2A2B" w:rsidP="007C3060">
            <w:proofErr w:type="spellStart"/>
            <w:r w:rsidRPr="007C3060">
              <w:t>Akastor</w:t>
            </w:r>
            <w:proofErr w:type="spellEnd"/>
            <w:r w:rsidRPr="007C3060">
              <w:t xml:space="preserve"> ASA</w:t>
            </w:r>
          </w:p>
        </w:tc>
        <w:tc>
          <w:tcPr>
            <w:tcW w:w="1400" w:type="dxa"/>
            <w:tcBorders>
              <w:top w:val="nil"/>
              <w:left w:val="nil"/>
              <w:bottom w:val="nil"/>
              <w:right w:val="nil"/>
            </w:tcBorders>
            <w:tcMar>
              <w:top w:w="128" w:type="dxa"/>
              <w:left w:w="43" w:type="dxa"/>
              <w:bottom w:w="43" w:type="dxa"/>
              <w:right w:w="43" w:type="dxa"/>
            </w:tcMar>
            <w:vAlign w:val="bottom"/>
          </w:tcPr>
          <w:p w14:paraId="269C7C65"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5C5CEBFB"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73D5EC59" w14:textId="77777777" w:rsidR="000A2A2B" w:rsidRPr="007C3060" w:rsidRDefault="000A2A2B" w:rsidP="007C3060">
            <w:r w:rsidRPr="007C3060">
              <w:t>0,0</w:t>
            </w:r>
          </w:p>
        </w:tc>
      </w:tr>
      <w:tr w:rsidR="004B729E" w:rsidRPr="007C3060" w14:paraId="7C2BCD0F" w14:textId="77777777">
        <w:trPr>
          <w:trHeight w:val="380"/>
        </w:trPr>
        <w:tc>
          <w:tcPr>
            <w:tcW w:w="5320" w:type="dxa"/>
            <w:tcBorders>
              <w:top w:val="nil"/>
              <w:left w:val="nil"/>
              <w:bottom w:val="nil"/>
              <w:right w:val="nil"/>
            </w:tcBorders>
            <w:tcMar>
              <w:top w:w="128" w:type="dxa"/>
              <w:left w:w="43" w:type="dxa"/>
              <w:bottom w:w="43" w:type="dxa"/>
              <w:right w:w="43" w:type="dxa"/>
            </w:tcMar>
          </w:tcPr>
          <w:p w14:paraId="522D4900" w14:textId="77777777" w:rsidR="000A2A2B" w:rsidRPr="007C3060" w:rsidRDefault="000A2A2B" w:rsidP="007C3060">
            <w:r w:rsidRPr="007C3060">
              <w:t>Aker Solutions ASA</w:t>
            </w:r>
          </w:p>
        </w:tc>
        <w:tc>
          <w:tcPr>
            <w:tcW w:w="1400" w:type="dxa"/>
            <w:tcBorders>
              <w:top w:val="nil"/>
              <w:left w:val="nil"/>
              <w:bottom w:val="nil"/>
              <w:right w:val="nil"/>
            </w:tcBorders>
            <w:tcMar>
              <w:top w:w="128" w:type="dxa"/>
              <w:left w:w="43" w:type="dxa"/>
              <w:bottom w:w="43" w:type="dxa"/>
              <w:right w:w="43" w:type="dxa"/>
            </w:tcMar>
            <w:vAlign w:val="bottom"/>
          </w:tcPr>
          <w:p w14:paraId="2E567638" w14:textId="77777777" w:rsidR="000A2A2B" w:rsidRPr="007C3060" w:rsidRDefault="000A2A2B" w:rsidP="007C3060">
            <w:r w:rsidRPr="007C3060">
              <w:t>60,2</w:t>
            </w:r>
          </w:p>
        </w:tc>
        <w:tc>
          <w:tcPr>
            <w:tcW w:w="1400" w:type="dxa"/>
            <w:tcBorders>
              <w:top w:val="nil"/>
              <w:left w:val="nil"/>
              <w:bottom w:val="nil"/>
              <w:right w:val="nil"/>
            </w:tcBorders>
            <w:tcMar>
              <w:top w:w="128" w:type="dxa"/>
              <w:left w:w="43" w:type="dxa"/>
              <w:bottom w:w="43" w:type="dxa"/>
              <w:right w:w="43" w:type="dxa"/>
            </w:tcMar>
            <w:vAlign w:val="bottom"/>
          </w:tcPr>
          <w:p w14:paraId="4602076D"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56E3CC91" w14:textId="77777777" w:rsidR="000A2A2B" w:rsidRPr="007C3060" w:rsidRDefault="000A2A2B" w:rsidP="007C3060">
            <w:r w:rsidRPr="007C3060">
              <w:t>-60,2</w:t>
            </w:r>
          </w:p>
        </w:tc>
      </w:tr>
      <w:tr w:rsidR="004B729E" w:rsidRPr="007C3060" w14:paraId="28AAF295" w14:textId="77777777">
        <w:trPr>
          <w:trHeight w:val="380"/>
        </w:trPr>
        <w:tc>
          <w:tcPr>
            <w:tcW w:w="5320" w:type="dxa"/>
            <w:tcBorders>
              <w:top w:val="nil"/>
              <w:left w:val="nil"/>
              <w:bottom w:val="nil"/>
              <w:right w:val="nil"/>
            </w:tcBorders>
            <w:tcMar>
              <w:top w:w="128" w:type="dxa"/>
              <w:left w:w="43" w:type="dxa"/>
              <w:bottom w:w="43" w:type="dxa"/>
              <w:right w:w="43" w:type="dxa"/>
            </w:tcMar>
          </w:tcPr>
          <w:p w14:paraId="3766B85A" w14:textId="77777777" w:rsidR="000A2A2B" w:rsidRPr="007C3060" w:rsidRDefault="000A2A2B" w:rsidP="007C3060">
            <w:r w:rsidRPr="007C3060">
              <w:t>DNB Bank ASA</w:t>
            </w:r>
          </w:p>
        </w:tc>
        <w:tc>
          <w:tcPr>
            <w:tcW w:w="1400" w:type="dxa"/>
            <w:tcBorders>
              <w:top w:val="nil"/>
              <w:left w:val="nil"/>
              <w:bottom w:val="nil"/>
              <w:right w:val="nil"/>
            </w:tcBorders>
            <w:tcMar>
              <w:top w:w="128" w:type="dxa"/>
              <w:left w:w="43" w:type="dxa"/>
              <w:bottom w:w="43" w:type="dxa"/>
              <w:right w:w="43" w:type="dxa"/>
            </w:tcMar>
            <w:vAlign w:val="bottom"/>
          </w:tcPr>
          <w:p w14:paraId="7ABB30EE" w14:textId="77777777" w:rsidR="000A2A2B" w:rsidRPr="007C3060" w:rsidRDefault="000A2A2B" w:rsidP="007C3060">
            <w:r w:rsidRPr="007C3060">
              <w:t>8 391,8</w:t>
            </w:r>
          </w:p>
        </w:tc>
        <w:tc>
          <w:tcPr>
            <w:tcW w:w="1400" w:type="dxa"/>
            <w:tcBorders>
              <w:top w:val="nil"/>
              <w:left w:val="nil"/>
              <w:bottom w:val="nil"/>
              <w:right w:val="nil"/>
            </w:tcBorders>
            <w:tcMar>
              <w:top w:w="128" w:type="dxa"/>
              <w:left w:w="43" w:type="dxa"/>
              <w:bottom w:w="43" w:type="dxa"/>
              <w:right w:w="43" w:type="dxa"/>
            </w:tcMar>
            <w:vAlign w:val="bottom"/>
          </w:tcPr>
          <w:p w14:paraId="7A510B4D" w14:textId="77777777" w:rsidR="000A2A2B" w:rsidRPr="007C3060" w:rsidRDefault="000A2A2B" w:rsidP="007C3060">
            <w:r w:rsidRPr="007C3060">
              <w:t>8 500,0</w:t>
            </w:r>
          </w:p>
        </w:tc>
        <w:tc>
          <w:tcPr>
            <w:tcW w:w="1400" w:type="dxa"/>
            <w:tcBorders>
              <w:top w:val="nil"/>
              <w:left w:val="nil"/>
              <w:bottom w:val="nil"/>
              <w:right w:val="nil"/>
            </w:tcBorders>
            <w:tcMar>
              <w:top w:w="128" w:type="dxa"/>
              <w:left w:w="43" w:type="dxa"/>
              <w:bottom w:w="43" w:type="dxa"/>
              <w:right w:w="43" w:type="dxa"/>
            </w:tcMar>
            <w:vAlign w:val="bottom"/>
          </w:tcPr>
          <w:p w14:paraId="122B7818" w14:textId="77777777" w:rsidR="000A2A2B" w:rsidRPr="007C3060" w:rsidRDefault="000A2A2B" w:rsidP="007C3060">
            <w:r w:rsidRPr="007C3060">
              <w:t>108,2</w:t>
            </w:r>
          </w:p>
        </w:tc>
      </w:tr>
      <w:tr w:rsidR="004B729E" w:rsidRPr="007C3060" w14:paraId="1BD41D55" w14:textId="77777777">
        <w:trPr>
          <w:trHeight w:val="380"/>
        </w:trPr>
        <w:tc>
          <w:tcPr>
            <w:tcW w:w="5320" w:type="dxa"/>
            <w:tcBorders>
              <w:top w:val="nil"/>
              <w:left w:val="nil"/>
              <w:bottom w:val="nil"/>
              <w:right w:val="nil"/>
            </w:tcBorders>
            <w:tcMar>
              <w:top w:w="128" w:type="dxa"/>
              <w:left w:w="43" w:type="dxa"/>
              <w:bottom w:w="43" w:type="dxa"/>
              <w:right w:w="43" w:type="dxa"/>
            </w:tcMar>
          </w:tcPr>
          <w:p w14:paraId="41290B01" w14:textId="77777777" w:rsidR="000A2A2B" w:rsidRPr="007C3060" w:rsidRDefault="000A2A2B" w:rsidP="007C3060">
            <w:r w:rsidRPr="007C3060">
              <w:t>Kongsberg Gruppen ASA</w:t>
            </w:r>
          </w:p>
        </w:tc>
        <w:tc>
          <w:tcPr>
            <w:tcW w:w="1400" w:type="dxa"/>
            <w:tcBorders>
              <w:top w:val="nil"/>
              <w:left w:val="nil"/>
              <w:bottom w:val="nil"/>
              <w:right w:val="nil"/>
            </w:tcBorders>
            <w:tcMar>
              <w:top w:w="128" w:type="dxa"/>
              <w:left w:w="43" w:type="dxa"/>
              <w:bottom w:w="43" w:type="dxa"/>
              <w:right w:w="43" w:type="dxa"/>
            </w:tcMar>
            <w:vAlign w:val="bottom"/>
          </w:tcPr>
          <w:p w14:paraId="5E980D23" w14:textId="77777777" w:rsidR="000A2A2B" w:rsidRPr="007C3060" w:rsidRDefault="000A2A2B" w:rsidP="007C3060">
            <w:r w:rsidRPr="007C3060">
              <w:t>615,8</w:t>
            </w:r>
          </w:p>
        </w:tc>
        <w:tc>
          <w:tcPr>
            <w:tcW w:w="1400" w:type="dxa"/>
            <w:tcBorders>
              <w:top w:val="nil"/>
              <w:left w:val="nil"/>
              <w:bottom w:val="nil"/>
              <w:right w:val="nil"/>
            </w:tcBorders>
            <w:tcMar>
              <w:top w:w="128" w:type="dxa"/>
              <w:left w:w="43" w:type="dxa"/>
              <w:bottom w:w="43" w:type="dxa"/>
              <w:right w:w="43" w:type="dxa"/>
            </w:tcMar>
            <w:vAlign w:val="bottom"/>
          </w:tcPr>
          <w:p w14:paraId="0A3CE783" w14:textId="77777777" w:rsidR="000A2A2B" w:rsidRPr="007C3060" w:rsidRDefault="000A2A2B" w:rsidP="007C3060">
            <w:r w:rsidRPr="007C3060">
              <w:t>1 935,3</w:t>
            </w:r>
          </w:p>
        </w:tc>
        <w:tc>
          <w:tcPr>
            <w:tcW w:w="1400" w:type="dxa"/>
            <w:tcBorders>
              <w:top w:val="nil"/>
              <w:left w:val="nil"/>
              <w:bottom w:val="nil"/>
              <w:right w:val="nil"/>
            </w:tcBorders>
            <w:tcMar>
              <w:top w:w="128" w:type="dxa"/>
              <w:left w:w="43" w:type="dxa"/>
              <w:bottom w:w="43" w:type="dxa"/>
              <w:right w:w="43" w:type="dxa"/>
            </w:tcMar>
            <w:vAlign w:val="bottom"/>
          </w:tcPr>
          <w:p w14:paraId="5D8A405D" w14:textId="77777777" w:rsidR="000A2A2B" w:rsidRPr="007C3060" w:rsidRDefault="000A2A2B" w:rsidP="007C3060">
            <w:r w:rsidRPr="007C3060">
              <w:t>1 319,5</w:t>
            </w:r>
          </w:p>
        </w:tc>
      </w:tr>
      <w:tr w:rsidR="004B729E" w:rsidRPr="007C3060" w14:paraId="63891A86" w14:textId="77777777">
        <w:trPr>
          <w:trHeight w:val="380"/>
        </w:trPr>
        <w:tc>
          <w:tcPr>
            <w:tcW w:w="5320" w:type="dxa"/>
            <w:tcBorders>
              <w:top w:val="nil"/>
              <w:left w:val="nil"/>
              <w:bottom w:val="nil"/>
              <w:right w:val="nil"/>
            </w:tcBorders>
            <w:tcMar>
              <w:top w:w="128" w:type="dxa"/>
              <w:left w:w="43" w:type="dxa"/>
              <w:bottom w:w="43" w:type="dxa"/>
              <w:right w:w="43" w:type="dxa"/>
            </w:tcMar>
          </w:tcPr>
          <w:p w14:paraId="33760EC9" w14:textId="77777777" w:rsidR="000A2A2B" w:rsidRPr="007C3060" w:rsidRDefault="000A2A2B" w:rsidP="007C3060">
            <w:r w:rsidRPr="007C3060">
              <w:t>Norsk Hydro ASA</w:t>
            </w:r>
          </w:p>
        </w:tc>
        <w:tc>
          <w:tcPr>
            <w:tcW w:w="1400" w:type="dxa"/>
            <w:tcBorders>
              <w:top w:val="nil"/>
              <w:left w:val="nil"/>
              <w:bottom w:val="nil"/>
              <w:right w:val="nil"/>
            </w:tcBorders>
            <w:tcMar>
              <w:top w:w="128" w:type="dxa"/>
              <w:left w:w="43" w:type="dxa"/>
              <w:bottom w:w="43" w:type="dxa"/>
              <w:right w:w="43" w:type="dxa"/>
            </w:tcMar>
            <w:vAlign w:val="bottom"/>
          </w:tcPr>
          <w:p w14:paraId="532204BE" w14:textId="77777777" w:rsidR="000A2A2B" w:rsidRPr="007C3060" w:rsidRDefault="000A2A2B" w:rsidP="007C3060">
            <w:r w:rsidRPr="007C3060">
              <w:t>1 748,4</w:t>
            </w:r>
          </w:p>
        </w:tc>
        <w:tc>
          <w:tcPr>
            <w:tcW w:w="1400" w:type="dxa"/>
            <w:tcBorders>
              <w:top w:val="nil"/>
              <w:left w:val="nil"/>
              <w:bottom w:val="nil"/>
              <w:right w:val="nil"/>
            </w:tcBorders>
            <w:tcMar>
              <w:top w:w="128" w:type="dxa"/>
              <w:left w:w="43" w:type="dxa"/>
              <w:bottom w:w="43" w:type="dxa"/>
              <w:right w:w="43" w:type="dxa"/>
            </w:tcMar>
            <w:vAlign w:val="bottom"/>
          </w:tcPr>
          <w:p w14:paraId="5B1CD10D" w14:textId="77777777" w:rsidR="000A2A2B" w:rsidRPr="007C3060" w:rsidRDefault="000A2A2B" w:rsidP="007C3060">
            <w:r w:rsidRPr="007C3060">
              <w:t>1 548,7</w:t>
            </w:r>
          </w:p>
        </w:tc>
        <w:tc>
          <w:tcPr>
            <w:tcW w:w="1400" w:type="dxa"/>
            <w:tcBorders>
              <w:top w:val="nil"/>
              <w:left w:val="nil"/>
              <w:bottom w:val="nil"/>
              <w:right w:val="nil"/>
            </w:tcBorders>
            <w:tcMar>
              <w:top w:w="128" w:type="dxa"/>
              <w:left w:w="43" w:type="dxa"/>
              <w:bottom w:w="43" w:type="dxa"/>
              <w:right w:w="43" w:type="dxa"/>
            </w:tcMar>
            <w:vAlign w:val="bottom"/>
          </w:tcPr>
          <w:p w14:paraId="7B8CCC5E" w14:textId="77777777" w:rsidR="000A2A2B" w:rsidRPr="007C3060" w:rsidRDefault="000A2A2B" w:rsidP="007C3060">
            <w:r w:rsidRPr="007C3060">
              <w:t>-199,7</w:t>
            </w:r>
          </w:p>
        </w:tc>
      </w:tr>
      <w:tr w:rsidR="004B729E" w:rsidRPr="007C3060" w14:paraId="6F1F6571" w14:textId="77777777">
        <w:trPr>
          <w:trHeight w:val="380"/>
        </w:trPr>
        <w:tc>
          <w:tcPr>
            <w:tcW w:w="5320" w:type="dxa"/>
            <w:tcBorders>
              <w:top w:val="nil"/>
              <w:left w:val="nil"/>
              <w:bottom w:val="nil"/>
              <w:right w:val="nil"/>
            </w:tcBorders>
            <w:tcMar>
              <w:top w:w="128" w:type="dxa"/>
              <w:left w:w="43" w:type="dxa"/>
              <w:bottom w:w="43" w:type="dxa"/>
              <w:right w:w="43" w:type="dxa"/>
            </w:tcMar>
          </w:tcPr>
          <w:p w14:paraId="1DCB6192" w14:textId="77777777" w:rsidR="000A2A2B" w:rsidRPr="007C3060" w:rsidRDefault="000A2A2B" w:rsidP="007C3060">
            <w:r w:rsidRPr="007C3060">
              <w:t>Telenor ASA</w:t>
            </w:r>
          </w:p>
        </w:tc>
        <w:tc>
          <w:tcPr>
            <w:tcW w:w="1400" w:type="dxa"/>
            <w:tcBorders>
              <w:top w:val="nil"/>
              <w:left w:val="nil"/>
              <w:bottom w:val="nil"/>
              <w:right w:val="nil"/>
            </w:tcBorders>
            <w:tcMar>
              <w:top w:w="128" w:type="dxa"/>
              <w:left w:w="43" w:type="dxa"/>
              <w:bottom w:w="43" w:type="dxa"/>
              <w:right w:w="43" w:type="dxa"/>
            </w:tcMar>
            <w:vAlign w:val="bottom"/>
          </w:tcPr>
          <w:p w14:paraId="1E6ADE2E" w14:textId="77777777" w:rsidR="000A2A2B" w:rsidRPr="007C3060" w:rsidRDefault="000A2A2B" w:rsidP="007C3060">
            <w:r w:rsidRPr="007C3060">
              <w:t>7 174,6</w:t>
            </w:r>
          </w:p>
        </w:tc>
        <w:tc>
          <w:tcPr>
            <w:tcW w:w="1400" w:type="dxa"/>
            <w:tcBorders>
              <w:top w:val="nil"/>
              <w:left w:val="nil"/>
              <w:bottom w:val="nil"/>
              <w:right w:val="nil"/>
            </w:tcBorders>
            <w:tcMar>
              <w:top w:w="128" w:type="dxa"/>
              <w:left w:w="43" w:type="dxa"/>
              <w:bottom w:w="43" w:type="dxa"/>
              <w:right w:w="43" w:type="dxa"/>
            </w:tcMar>
            <w:vAlign w:val="bottom"/>
          </w:tcPr>
          <w:p w14:paraId="04DA50C6" w14:textId="77777777" w:rsidR="000A2A2B" w:rsidRPr="007C3060" w:rsidRDefault="000A2A2B" w:rsidP="007C3060">
            <w:r w:rsidRPr="007C3060">
              <w:t>7 089,0</w:t>
            </w:r>
          </w:p>
        </w:tc>
        <w:tc>
          <w:tcPr>
            <w:tcW w:w="1400" w:type="dxa"/>
            <w:tcBorders>
              <w:top w:val="nil"/>
              <w:left w:val="nil"/>
              <w:bottom w:val="nil"/>
              <w:right w:val="nil"/>
            </w:tcBorders>
            <w:tcMar>
              <w:top w:w="128" w:type="dxa"/>
              <w:left w:w="43" w:type="dxa"/>
              <w:bottom w:w="43" w:type="dxa"/>
              <w:right w:w="43" w:type="dxa"/>
            </w:tcMar>
            <w:vAlign w:val="bottom"/>
          </w:tcPr>
          <w:p w14:paraId="46596909" w14:textId="77777777" w:rsidR="000A2A2B" w:rsidRPr="007C3060" w:rsidRDefault="000A2A2B" w:rsidP="007C3060">
            <w:r w:rsidRPr="007C3060">
              <w:t>-85,6</w:t>
            </w:r>
          </w:p>
        </w:tc>
      </w:tr>
      <w:tr w:rsidR="004B729E" w:rsidRPr="007C3060" w14:paraId="18379C47"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2283A4D3" w14:textId="77777777" w:rsidR="000A2A2B" w:rsidRPr="007C3060" w:rsidRDefault="000A2A2B" w:rsidP="007C3060">
            <w:r w:rsidRPr="007C3060">
              <w:t>Yara International ASA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570766" w14:textId="77777777" w:rsidR="000A2A2B" w:rsidRPr="007C3060" w:rsidRDefault="000A2A2B" w:rsidP="007C3060">
            <w:r w:rsidRPr="007C3060">
              <w:t>461,2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C3983D" w14:textId="77777777" w:rsidR="000A2A2B" w:rsidRPr="007C3060" w:rsidRDefault="000A2A2B" w:rsidP="007C3060">
            <w:r w:rsidRPr="007C3060">
              <w:t>461,2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B4413D" w14:textId="77777777" w:rsidR="000A2A2B" w:rsidRPr="007C3060" w:rsidRDefault="000A2A2B" w:rsidP="007C3060">
            <w:r w:rsidRPr="007C3060">
              <w:t>0,0</w:t>
            </w:r>
          </w:p>
        </w:tc>
      </w:tr>
      <w:tr w:rsidR="004B729E" w:rsidRPr="007C3060" w14:paraId="4774E56A"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2872FE7A" w14:textId="77777777" w:rsidR="000A2A2B" w:rsidRPr="007C3060" w:rsidRDefault="000A2A2B" w:rsidP="007C3060">
            <w:r w:rsidRPr="007C3060">
              <w:rPr>
                <w:rStyle w:val="kursiv"/>
              </w:rPr>
              <w:t>Unoterte selskaper: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E994803" w14:textId="77777777" w:rsidR="000A2A2B" w:rsidRPr="007C3060" w:rsidRDefault="000A2A2B" w:rsidP="007C3060"/>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96C960C" w14:textId="77777777" w:rsidR="000A2A2B" w:rsidRPr="007C3060" w:rsidRDefault="000A2A2B" w:rsidP="007C3060"/>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5C526F9" w14:textId="77777777" w:rsidR="000A2A2B" w:rsidRPr="007C3060" w:rsidRDefault="000A2A2B" w:rsidP="007C3060"/>
        </w:tc>
      </w:tr>
      <w:tr w:rsidR="004B729E" w:rsidRPr="007C3060" w14:paraId="35FBC6F1" w14:textId="77777777">
        <w:trPr>
          <w:trHeight w:val="380"/>
        </w:trPr>
        <w:tc>
          <w:tcPr>
            <w:tcW w:w="5320" w:type="dxa"/>
            <w:tcBorders>
              <w:top w:val="nil"/>
              <w:left w:val="nil"/>
              <w:bottom w:val="nil"/>
              <w:right w:val="nil"/>
            </w:tcBorders>
            <w:tcMar>
              <w:top w:w="128" w:type="dxa"/>
              <w:left w:w="43" w:type="dxa"/>
              <w:bottom w:w="43" w:type="dxa"/>
              <w:right w:w="43" w:type="dxa"/>
            </w:tcMar>
          </w:tcPr>
          <w:p w14:paraId="6A91EDDE" w14:textId="77777777" w:rsidR="000A2A2B" w:rsidRPr="007C3060" w:rsidRDefault="000A2A2B" w:rsidP="007C3060">
            <w:proofErr w:type="spellStart"/>
            <w:r w:rsidRPr="007C3060">
              <w:t>Allstad</w:t>
            </w:r>
            <w:proofErr w:type="spellEnd"/>
            <w:r w:rsidRPr="007C3060">
              <w:t xml:space="preserve"> AS</w:t>
            </w:r>
          </w:p>
        </w:tc>
        <w:tc>
          <w:tcPr>
            <w:tcW w:w="1400" w:type="dxa"/>
            <w:tcBorders>
              <w:top w:val="nil"/>
              <w:left w:val="nil"/>
              <w:bottom w:val="nil"/>
              <w:right w:val="nil"/>
            </w:tcBorders>
            <w:tcMar>
              <w:top w:w="128" w:type="dxa"/>
              <w:left w:w="43" w:type="dxa"/>
              <w:bottom w:w="43" w:type="dxa"/>
              <w:right w:w="43" w:type="dxa"/>
            </w:tcMar>
            <w:vAlign w:val="bottom"/>
          </w:tcPr>
          <w:p w14:paraId="7B5F6018"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14F681FE"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4FE597C2" w14:textId="77777777" w:rsidR="000A2A2B" w:rsidRPr="007C3060" w:rsidRDefault="000A2A2B" w:rsidP="007C3060">
            <w:r w:rsidRPr="007C3060">
              <w:t>0,0</w:t>
            </w:r>
          </w:p>
        </w:tc>
      </w:tr>
      <w:tr w:rsidR="004B729E" w:rsidRPr="007C3060" w14:paraId="5DE1A876" w14:textId="77777777">
        <w:trPr>
          <w:trHeight w:val="380"/>
        </w:trPr>
        <w:tc>
          <w:tcPr>
            <w:tcW w:w="5320" w:type="dxa"/>
            <w:tcBorders>
              <w:top w:val="nil"/>
              <w:left w:val="nil"/>
              <w:bottom w:val="nil"/>
              <w:right w:val="nil"/>
            </w:tcBorders>
            <w:tcMar>
              <w:top w:w="128" w:type="dxa"/>
              <w:left w:w="43" w:type="dxa"/>
              <w:bottom w:w="43" w:type="dxa"/>
              <w:right w:w="43" w:type="dxa"/>
            </w:tcMar>
          </w:tcPr>
          <w:p w14:paraId="170BE0BF" w14:textId="77777777" w:rsidR="000A2A2B" w:rsidRPr="007C3060" w:rsidRDefault="000A2A2B" w:rsidP="007C3060">
            <w:r w:rsidRPr="007C3060">
              <w:t>Argentum Fondsinvesteringer AS</w:t>
            </w:r>
          </w:p>
        </w:tc>
        <w:tc>
          <w:tcPr>
            <w:tcW w:w="1400" w:type="dxa"/>
            <w:tcBorders>
              <w:top w:val="nil"/>
              <w:left w:val="nil"/>
              <w:bottom w:val="nil"/>
              <w:right w:val="nil"/>
            </w:tcBorders>
            <w:tcMar>
              <w:top w:w="128" w:type="dxa"/>
              <w:left w:w="43" w:type="dxa"/>
              <w:bottom w:w="43" w:type="dxa"/>
              <w:right w:w="43" w:type="dxa"/>
            </w:tcMar>
            <w:vAlign w:val="bottom"/>
          </w:tcPr>
          <w:p w14:paraId="3DB9C705" w14:textId="77777777" w:rsidR="000A2A2B" w:rsidRPr="007C3060" w:rsidRDefault="000A2A2B" w:rsidP="007C3060">
            <w:r w:rsidRPr="007C3060">
              <w:t>300,0</w:t>
            </w:r>
          </w:p>
        </w:tc>
        <w:tc>
          <w:tcPr>
            <w:tcW w:w="1400" w:type="dxa"/>
            <w:tcBorders>
              <w:top w:val="nil"/>
              <w:left w:val="nil"/>
              <w:bottom w:val="nil"/>
              <w:right w:val="nil"/>
            </w:tcBorders>
            <w:tcMar>
              <w:top w:w="128" w:type="dxa"/>
              <w:left w:w="43" w:type="dxa"/>
              <w:bottom w:w="43" w:type="dxa"/>
              <w:right w:w="43" w:type="dxa"/>
            </w:tcMar>
            <w:vAlign w:val="bottom"/>
          </w:tcPr>
          <w:p w14:paraId="1B14D72C" w14:textId="77777777" w:rsidR="000A2A2B" w:rsidRPr="007C3060" w:rsidRDefault="000A2A2B" w:rsidP="007C3060">
            <w:r w:rsidRPr="007C3060">
              <w:t>300,0</w:t>
            </w:r>
          </w:p>
        </w:tc>
        <w:tc>
          <w:tcPr>
            <w:tcW w:w="1400" w:type="dxa"/>
            <w:tcBorders>
              <w:top w:val="nil"/>
              <w:left w:val="nil"/>
              <w:bottom w:val="nil"/>
              <w:right w:val="nil"/>
            </w:tcBorders>
            <w:tcMar>
              <w:top w:w="128" w:type="dxa"/>
              <w:left w:w="43" w:type="dxa"/>
              <w:bottom w:w="43" w:type="dxa"/>
              <w:right w:w="43" w:type="dxa"/>
            </w:tcMar>
            <w:vAlign w:val="bottom"/>
          </w:tcPr>
          <w:p w14:paraId="098F69FC" w14:textId="77777777" w:rsidR="000A2A2B" w:rsidRPr="007C3060" w:rsidRDefault="000A2A2B" w:rsidP="007C3060">
            <w:r w:rsidRPr="007C3060">
              <w:t>0,0</w:t>
            </w:r>
          </w:p>
        </w:tc>
      </w:tr>
      <w:tr w:rsidR="004B729E" w:rsidRPr="007C3060" w14:paraId="7A31311A" w14:textId="77777777">
        <w:trPr>
          <w:trHeight w:val="380"/>
        </w:trPr>
        <w:tc>
          <w:tcPr>
            <w:tcW w:w="5320" w:type="dxa"/>
            <w:tcBorders>
              <w:top w:val="nil"/>
              <w:left w:val="nil"/>
              <w:bottom w:val="nil"/>
              <w:right w:val="nil"/>
            </w:tcBorders>
            <w:tcMar>
              <w:top w:w="128" w:type="dxa"/>
              <w:left w:w="43" w:type="dxa"/>
              <w:bottom w:w="43" w:type="dxa"/>
              <w:right w:w="43" w:type="dxa"/>
            </w:tcMar>
          </w:tcPr>
          <w:p w14:paraId="35088E62" w14:textId="77777777" w:rsidR="000A2A2B" w:rsidRPr="007C3060" w:rsidRDefault="000A2A2B" w:rsidP="007C3060">
            <w:r w:rsidRPr="007C3060">
              <w:lastRenderedPageBreak/>
              <w:t>Baneservice AS</w:t>
            </w:r>
          </w:p>
        </w:tc>
        <w:tc>
          <w:tcPr>
            <w:tcW w:w="1400" w:type="dxa"/>
            <w:tcBorders>
              <w:top w:val="nil"/>
              <w:left w:val="nil"/>
              <w:bottom w:val="nil"/>
              <w:right w:val="nil"/>
            </w:tcBorders>
            <w:tcMar>
              <w:top w:w="128" w:type="dxa"/>
              <w:left w:w="43" w:type="dxa"/>
              <w:bottom w:w="43" w:type="dxa"/>
              <w:right w:w="43" w:type="dxa"/>
            </w:tcMar>
            <w:vAlign w:val="bottom"/>
          </w:tcPr>
          <w:p w14:paraId="244B2570" w14:textId="77777777" w:rsidR="000A2A2B" w:rsidRPr="007C3060" w:rsidRDefault="000A2A2B" w:rsidP="007C3060">
            <w:r w:rsidRPr="007C3060">
              <w:t>40,0</w:t>
            </w:r>
          </w:p>
        </w:tc>
        <w:tc>
          <w:tcPr>
            <w:tcW w:w="1400" w:type="dxa"/>
            <w:tcBorders>
              <w:top w:val="nil"/>
              <w:left w:val="nil"/>
              <w:bottom w:val="nil"/>
              <w:right w:val="nil"/>
            </w:tcBorders>
            <w:tcMar>
              <w:top w:w="128" w:type="dxa"/>
              <w:left w:w="43" w:type="dxa"/>
              <w:bottom w:w="43" w:type="dxa"/>
              <w:right w:w="43" w:type="dxa"/>
            </w:tcMar>
            <w:vAlign w:val="bottom"/>
          </w:tcPr>
          <w:p w14:paraId="71E7F960" w14:textId="77777777" w:rsidR="000A2A2B" w:rsidRPr="007C3060" w:rsidRDefault="000A2A2B" w:rsidP="007C3060">
            <w:r w:rsidRPr="007C3060">
              <w:t>30,0</w:t>
            </w:r>
          </w:p>
        </w:tc>
        <w:tc>
          <w:tcPr>
            <w:tcW w:w="1400" w:type="dxa"/>
            <w:tcBorders>
              <w:top w:val="nil"/>
              <w:left w:val="nil"/>
              <w:bottom w:val="nil"/>
              <w:right w:val="nil"/>
            </w:tcBorders>
            <w:tcMar>
              <w:top w:w="128" w:type="dxa"/>
              <w:left w:w="43" w:type="dxa"/>
              <w:bottom w:w="43" w:type="dxa"/>
              <w:right w:w="43" w:type="dxa"/>
            </w:tcMar>
            <w:vAlign w:val="bottom"/>
          </w:tcPr>
          <w:p w14:paraId="6B56C0D9" w14:textId="77777777" w:rsidR="000A2A2B" w:rsidRPr="007C3060" w:rsidRDefault="000A2A2B" w:rsidP="007C3060">
            <w:r w:rsidRPr="007C3060">
              <w:t>-10,0</w:t>
            </w:r>
          </w:p>
        </w:tc>
      </w:tr>
      <w:tr w:rsidR="004B729E" w:rsidRPr="007C3060" w14:paraId="30751CCC" w14:textId="77777777">
        <w:trPr>
          <w:trHeight w:val="380"/>
        </w:trPr>
        <w:tc>
          <w:tcPr>
            <w:tcW w:w="5320" w:type="dxa"/>
            <w:tcBorders>
              <w:top w:val="nil"/>
              <w:left w:val="nil"/>
              <w:bottom w:val="nil"/>
              <w:right w:val="nil"/>
            </w:tcBorders>
            <w:tcMar>
              <w:top w:w="128" w:type="dxa"/>
              <w:left w:w="43" w:type="dxa"/>
              <w:bottom w:w="43" w:type="dxa"/>
              <w:right w:w="43" w:type="dxa"/>
            </w:tcMar>
          </w:tcPr>
          <w:p w14:paraId="4C359E6B" w14:textId="77777777" w:rsidR="000A2A2B" w:rsidRPr="007C3060" w:rsidRDefault="000A2A2B" w:rsidP="007C3060">
            <w:r w:rsidRPr="007C3060">
              <w:t>Eksportfinans ASA</w:t>
            </w:r>
          </w:p>
        </w:tc>
        <w:tc>
          <w:tcPr>
            <w:tcW w:w="1400" w:type="dxa"/>
            <w:tcBorders>
              <w:top w:val="nil"/>
              <w:left w:val="nil"/>
              <w:bottom w:val="nil"/>
              <w:right w:val="nil"/>
            </w:tcBorders>
            <w:tcMar>
              <w:top w:w="128" w:type="dxa"/>
              <w:left w:w="43" w:type="dxa"/>
              <w:bottom w:w="43" w:type="dxa"/>
              <w:right w:w="43" w:type="dxa"/>
            </w:tcMar>
            <w:vAlign w:val="bottom"/>
          </w:tcPr>
          <w:p w14:paraId="400B3EF8"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0A7B909B"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41673BFC" w14:textId="77777777" w:rsidR="000A2A2B" w:rsidRPr="007C3060" w:rsidRDefault="000A2A2B" w:rsidP="007C3060">
            <w:r w:rsidRPr="007C3060">
              <w:t>0,0,</w:t>
            </w:r>
          </w:p>
        </w:tc>
      </w:tr>
      <w:tr w:rsidR="004B729E" w:rsidRPr="007C3060" w14:paraId="2C965D2B" w14:textId="77777777">
        <w:trPr>
          <w:trHeight w:val="380"/>
        </w:trPr>
        <w:tc>
          <w:tcPr>
            <w:tcW w:w="5320" w:type="dxa"/>
            <w:tcBorders>
              <w:top w:val="nil"/>
              <w:left w:val="nil"/>
              <w:bottom w:val="nil"/>
              <w:right w:val="nil"/>
            </w:tcBorders>
            <w:tcMar>
              <w:top w:w="128" w:type="dxa"/>
              <w:left w:w="43" w:type="dxa"/>
              <w:bottom w:w="43" w:type="dxa"/>
              <w:right w:w="43" w:type="dxa"/>
            </w:tcMar>
          </w:tcPr>
          <w:p w14:paraId="17DE8751" w14:textId="77777777" w:rsidR="000A2A2B" w:rsidRPr="007C3060" w:rsidRDefault="000A2A2B" w:rsidP="007C3060">
            <w:proofErr w:type="spellStart"/>
            <w:r w:rsidRPr="007C3060">
              <w:t>Investinor</w:t>
            </w:r>
            <w:proofErr w:type="spellEnd"/>
            <w:r w:rsidRPr="007C3060">
              <w:t xml:space="preserve"> AS</w:t>
            </w:r>
          </w:p>
        </w:tc>
        <w:tc>
          <w:tcPr>
            <w:tcW w:w="1400" w:type="dxa"/>
            <w:tcBorders>
              <w:top w:val="nil"/>
              <w:left w:val="nil"/>
              <w:bottom w:val="nil"/>
              <w:right w:val="nil"/>
            </w:tcBorders>
            <w:tcMar>
              <w:top w:w="128" w:type="dxa"/>
              <w:left w:w="43" w:type="dxa"/>
              <w:bottom w:w="43" w:type="dxa"/>
              <w:right w:w="43" w:type="dxa"/>
            </w:tcMar>
            <w:vAlign w:val="bottom"/>
          </w:tcPr>
          <w:p w14:paraId="4EF9F3A9"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66056DF0"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79577E54" w14:textId="77777777" w:rsidR="000A2A2B" w:rsidRPr="007C3060" w:rsidRDefault="000A2A2B" w:rsidP="007C3060">
            <w:r w:rsidRPr="007C3060">
              <w:t>0,0</w:t>
            </w:r>
          </w:p>
        </w:tc>
      </w:tr>
      <w:tr w:rsidR="004B729E" w:rsidRPr="007C3060" w14:paraId="06BD5429" w14:textId="77777777">
        <w:trPr>
          <w:trHeight w:val="380"/>
        </w:trPr>
        <w:tc>
          <w:tcPr>
            <w:tcW w:w="5320" w:type="dxa"/>
            <w:tcBorders>
              <w:top w:val="nil"/>
              <w:left w:val="nil"/>
              <w:bottom w:val="nil"/>
              <w:right w:val="nil"/>
            </w:tcBorders>
            <w:tcMar>
              <w:top w:w="128" w:type="dxa"/>
              <w:left w:w="43" w:type="dxa"/>
              <w:bottom w:w="43" w:type="dxa"/>
              <w:right w:w="43" w:type="dxa"/>
            </w:tcMar>
          </w:tcPr>
          <w:p w14:paraId="1F810FD1" w14:textId="77777777" w:rsidR="000A2A2B" w:rsidRPr="007C3060" w:rsidRDefault="000A2A2B" w:rsidP="007C3060">
            <w:proofErr w:type="spellStart"/>
            <w:r w:rsidRPr="007C3060">
              <w:t>Mantena</w:t>
            </w:r>
            <w:proofErr w:type="spellEnd"/>
            <w:r w:rsidRPr="007C3060">
              <w:t xml:space="preserve"> AS</w:t>
            </w:r>
          </w:p>
        </w:tc>
        <w:tc>
          <w:tcPr>
            <w:tcW w:w="1400" w:type="dxa"/>
            <w:tcBorders>
              <w:top w:val="nil"/>
              <w:left w:val="nil"/>
              <w:bottom w:val="nil"/>
              <w:right w:val="nil"/>
            </w:tcBorders>
            <w:tcMar>
              <w:top w:w="128" w:type="dxa"/>
              <w:left w:w="43" w:type="dxa"/>
              <w:bottom w:w="43" w:type="dxa"/>
              <w:right w:w="43" w:type="dxa"/>
            </w:tcMar>
            <w:vAlign w:val="bottom"/>
          </w:tcPr>
          <w:p w14:paraId="35488C8F"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3B45164D"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64756555" w14:textId="77777777" w:rsidR="000A2A2B" w:rsidRPr="007C3060" w:rsidRDefault="000A2A2B" w:rsidP="007C3060">
            <w:r w:rsidRPr="007C3060">
              <w:t>0,0</w:t>
            </w:r>
          </w:p>
        </w:tc>
      </w:tr>
      <w:tr w:rsidR="004B729E" w:rsidRPr="007C3060" w14:paraId="04A79C90" w14:textId="77777777">
        <w:trPr>
          <w:trHeight w:val="380"/>
        </w:trPr>
        <w:tc>
          <w:tcPr>
            <w:tcW w:w="5320" w:type="dxa"/>
            <w:tcBorders>
              <w:top w:val="nil"/>
              <w:left w:val="nil"/>
              <w:bottom w:val="nil"/>
              <w:right w:val="nil"/>
            </w:tcBorders>
            <w:tcMar>
              <w:top w:w="128" w:type="dxa"/>
              <w:left w:w="43" w:type="dxa"/>
              <w:bottom w:w="43" w:type="dxa"/>
              <w:right w:w="43" w:type="dxa"/>
            </w:tcMar>
          </w:tcPr>
          <w:p w14:paraId="28525A0D" w14:textId="77777777" w:rsidR="000A2A2B" w:rsidRPr="007C3060" w:rsidRDefault="000A2A2B" w:rsidP="007C3060">
            <w:r w:rsidRPr="007C3060">
              <w:t>Mesta AS</w:t>
            </w:r>
          </w:p>
        </w:tc>
        <w:tc>
          <w:tcPr>
            <w:tcW w:w="1400" w:type="dxa"/>
            <w:tcBorders>
              <w:top w:val="nil"/>
              <w:left w:val="nil"/>
              <w:bottom w:val="nil"/>
              <w:right w:val="nil"/>
            </w:tcBorders>
            <w:tcMar>
              <w:top w:w="128" w:type="dxa"/>
              <w:left w:w="43" w:type="dxa"/>
              <w:bottom w:w="43" w:type="dxa"/>
              <w:right w:w="43" w:type="dxa"/>
            </w:tcMar>
            <w:vAlign w:val="bottom"/>
          </w:tcPr>
          <w:p w14:paraId="7A555E30" w14:textId="77777777" w:rsidR="000A2A2B" w:rsidRPr="007C3060" w:rsidRDefault="000A2A2B" w:rsidP="007C3060">
            <w:r w:rsidRPr="007C3060">
              <w:t>30,0</w:t>
            </w:r>
          </w:p>
        </w:tc>
        <w:tc>
          <w:tcPr>
            <w:tcW w:w="1400" w:type="dxa"/>
            <w:tcBorders>
              <w:top w:val="nil"/>
              <w:left w:val="nil"/>
              <w:bottom w:val="nil"/>
              <w:right w:val="nil"/>
            </w:tcBorders>
            <w:tcMar>
              <w:top w:w="128" w:type="dxa"/>
              <w:left w:w="43" w:type="dxa"/>
              <w:bottom w:w="43" w:type="dxa"/>
              <w:right w:w="43" w:type="dxa"/>
            </w:tcMar>
            <w:vAlign w:val="bottom"/>
          </w:tcPr>
          <w:p w14:paraId="380B63DB" w14:textId="77777777" w:rsidR="000A2A2B" w:rsidRPr="007C3060" w:rsidRDefault="000A2A2B" w:rsidP="007C3060">
            <w:r w:rsidRPr="007C3060">
              <w:t>30,0</w:t>
            </w:r>
          </w:p>
        </w:tc>
        <w:tc>
          <w:tcPr>
            <w:tcW w:w="1400" w:type="dxa"/>
            <w:tcBorders>
              <w:top w:val="nil"/>
              <w:left w:val="nil"/>
              <w:bottom w:val="nil"/>
              <w:right w:val="nil"/>
            </w:tcBorders>
            <w:tcMar>
              <w:top w:w="128" w:type="dxa"/>
              <w:left w:w="43" w:type="dxa"/>
              <w:bottom w:w="43" w:type="dxa"/>
              <w:right w:w="43" w:type="dxa"/>
            </w:tcMar>
            <w:vAlign w:val="bottom"/>
          </w:tcPr>
          <w:p w14:paraId="28028B52" w14:textId="77777777" w:rsidR="000A2A2B" w:rsidRPr="007C3060" w:rsidRDefault="000A2A2B" w:rsidP="007C3060">
            <w:r w:rsidRPr="007C3060">
              <w:t>0,0</w:t>
            </w:r>
          </w:p>
        </w:tc>
      </w:tr>
      <w:tr w:rsidR="004B729E" w:rsidRPr="007C3060" w14:paraId="4A0E94C9" w14:textId="77777777">
        <w:trPr>
          <w:trHeight w:val="380"/>
        </w:trPr>
        <w:tc>
          <w:tcPr>
            <w:tcW w:w="5320" w:type="dxa"/>
            <w:tcBorders>
              <w:top w:val="nil"/>
              <w:left w:val="nil"/>
              <w:bottom w:val="nil"/>
              <w:right w:val="nil"/>
            </w:tcBorders>
            <w:tcMar>
              <w:top w:w="128" w:type="dxa"/>
              <w:left w:w="43" w:type="dxa"/>
              <w:bottom w:w="43" w:type="dxa"/>
              <w:right w:w="43" w:type="dxa"/>
            </w:tcMar>
          </w:tcPr>
          <w:p w14:paraId="2D2DF6A3" w14:textId="77777777" w:rsidR="000A2A2B" w:rsidRPr="007C3060" w:rsidRDefault="000A2A2B" w:rsidP="007C3060">
            <w:r w:rsidRPr="007C3060">
              <w:t>Nammo AS</w:t>
            </w:r>
          </w:p>
        </w:tc>
        <w:tc>
          <w:tcPr>
            <w:tcW w:w="1400" w:type="dxa"/>
            <w:tcBorders>
              <w:top w:val="nil"/>
              <w:left w:val="nil"/>
              <w:bottom w:val="nil"/>
              <w:right w:val="nil"/>
            </w:tcBorders>
            <w:tcMar>
              <w:top w:w="128" w:type="dxa"/>
              <w:left w:w="43" w:type="dxa"/>
              <w:bottom w:w="43" w:type="dxa"/>
              <w:right w:w="43" w:type="dxa"/>
            </w:tcMar>
            <w:vAlign w:val="bottom"/>
          </w:tcPr>
          <w:p w14:paraId="575B9924" w14:textId="77777777" w:rsidR="000A2A2B" w:rsidRPr="007C3060" w:rsidRDefault="000A2A2B" w:rsidP="007C3060">
            <w:r w:rsidRPr="007C3060">
              <w:t>127,0</w:t>
            </w:r>
          </w:p>
        </w:tc>
        <w:tc>
          <w:tcPr>
            <w:tcW w:w="1400" w:type="dxa"/>
            <w:tcBorders>
              <w:top w:val="nil"/>
              <w:left w:val="nil"/>
              <w:bottom w:val="nil"/>
              <w:right w:val="nil"/>
            </w:tcBorders>
            <w:tcMar>
              <w:top w:w="128" w:type="dxa"/>
              <w:left w:w="43" w:type="dxa"/>
              <w:bottom w:w="43" w:type="dxa"/>
              <w:right w:w="43" w:type="dxa"/>
            </w:tcMar>
            <w:vAlign w:val="bottom"/>
          </w:tcPr>
          <w:p w14:paraId="700ED051"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035AB641" w14:textId="77777777" w:rsidR="000A2A2B" w:rsidRPr="007C3060" w:rsidRDefault="000A2A2B" w:rsidP="007C3060">
            <w:r w:rsidRPr="007C3060">
              <w:t>-127,0</w:t>
            </w:r>
          </w:p>
        </w:tc>
      </w:tr>
      <w:tr w:rsidR="004B729E" w:rsidRPr="007C3060" w14:paraId="34E92E30" w14:textId="77777777">
        <w:trPr>
          <w:trHeight w:val="380"/>
        </w:trPr>
        <w:tc>
          <w:tcPr>
            <w:tcW w:w="5320" w:type="dxa"/>
            <w:tcBorders>
              <w:top w:val="nil"/>
              <w:left w:val="nil"/>
              <w:bottom w:val="nil"/>
              <w:right w:val="nil"/>
            </w:tcBorders>
            <w:tcMar>
              <w:top w:w="128" w:type="dxa"/>
              <w:left w:w="43" w:type="dxa"/>
              <w:bottom w:w="43" w:type="dxa"/>
              <w:right w:w="43" w:type="dxa"/>
            </w:tcMar>
          </w:tcPr>
          <w:p w14:paraId="2C6EAD33" w14:textId="77777777" w:rsidR="000A2A2B" w:rsidRPr="007C3060" w:rsidRDefault="000A2A2B" w:rsidP="007C3060">
            <w:r w:rsidRPr="007C3060">
              <w:t>Nysnø Klimainvesteringer AS</w:t>
            </w:r>
          </w:p>
        </w:tc>
        <w:tc>
          <w:tcPr>
            <w:tcW w:w="1400" w:type="dxa"/>
            <w:tcBorders>
              <w:top w:val="nil"/>
              <w:left w:val="nil"/>
              <w:bottom w:val="nil"/>
              <w:right w:val="nil"/>
            </w:tcBorders>
            <w:tcMar>
              <w:top w:w="128" w:type="dxa"/>
              <w:left w:w="43" w:type="dxa"/>
              <w:bottom w:w="43" w:type="dxa"/>
              <w:right w:w="43" w:type="dxa"/>
            </w:tcMar>
            <w:vAlign w:val="bottom"/>
          </w:tcPr>
          <w:p w14:paraId="2CF750A0"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26DCCE76"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7FE95184" w14:textId="77777777" w:rsidR="000A2A2B" w:rsidRPr="007C3060" w:rsidRDefault="000A2A2B" w:rsidP="007C3060">
            <w:r w:rsidRPr="007C3060">
              <w:t>0,0</w:t>
            </w:r>
          </w:p>
        </w:tc>
      </w:tr>
      <w:tr w:rsidR="004B729E" w:rsidRPr="007C3060" w14:paraId="02269F22" w14:textId="77777777">
        <w:trPr>
          <w:trHeight w:val="380"/>
        </w:trPr>
        <w:tc>
          <w:tcPr>
            <w:tcW w:w="5320" w:type="dxa"/>
            <w:tcBorders>
              <w:top w:val="nil"/>
              <w:left w:val="nil"/>
              <w:bottom w:val="nil"/>
              <w:right w:val="nil"/>
            </w:tcBorders>
            <w:tcMar>
              <w:top w:w="128" w:type="dxa"/>
              <w:left w:w="43" w:type="dxa"/>
              <w:bottom w:w="43" w:type="dxa"/>
              <w:right w:w="43" w:type="dxa"/>
            </w:tcMar>
          </w:tcPr>
          <w:p w14:paraId="709DBD61" w14:textId="77777777" w:rsidR="000A2A2B" w:rsidRPr="007C3060" w:rsidRDefault="000A2A2B" w:rsidP="007C3060">
            <w:r w:rsidRPr="007C3060">
              <w:t>Posten Bring AS</w:t>
            </w:r>
          </w:p>
        </w:tc>
        <w:tc>
          <w:tcPr>
            <w:tcW w:w="1400" w:type="dxa"/>
            <w:tcBorders>
              <w:top w:val="nil"/>
              <w:left w:val="nil"/>
              <w:bottom w:val="nil"/>
              <w:right w:val="nil"/>
            </w:tcBorders>
            <w:tcMar>
              <w:top w:w="128" w:type="dxa"/>
              <w:left w:w="43" w:type="dxa"/>
              <w:bottom w:w="43" w:type="dxa"/>
              <w:right w:w="43" w:type="dxa"/>
            </w:tcMar>
            <w:vAlign w:val="bottom"/>
          </w:tcPr>
          <w:p w14:paraId="6E771930" w14:textId="77777777" w:rsidR="000A2A2B" w:rsidRPr="007C3060" w:rsidRDefault="000A2A2B" w:rsidP="007C3060">
            <w:r w:rsidRPr="007C3060">
              <w:t>140,0</w:t>
            </w:r>
          </w:p>
        </w:tc>
        <w:tc>
          <w:tcPr>
            <w:tcW w:w="1400" w:type="dxa"/>
            <w:tcBorders>
              <w:top w:val="nil"/>
              <w:left w:val="nil"/>
              <w:bottom w:val="nil"/>
              <w:right w:val="nil"/>
            </w:tcBorders>
            <w:tcMar>
              <w:top w:w="128" w:type="dxa"/>
              <w:left w:w="43" w:type="dxa"/>
              <w:bottom w:w="43" w:type="dxa"/>
              <w:right w:w="43" w:type="dxa"/>
            </w:tcMar>
            <w:vAlign w:val="bottom"/>
          </w:tcPr>
          <w:p w14:paraId="6A0E3674" w14:textId="77777777" w:rsidR="000A2A2B" w:rsidRPr="007C3060" w:rsidRDefault="000A2A2B" w:rsidP="007C3060">
            <w:r w:rsidRPr="007C3060">
              <w:t>134,0</w:t>
            </w:r>
          </w:p>
        </w:tc>
        <w:tc>
          <w:tcPr>
            <w:tcW w:w="1400" w:type="dxa"/>
            <w:tcBorders>
              <w:top w:val="nil"/>
              <w:left w:val="nil"/>
              <w:bottom w:val="nil"/>
              <w:right w:val="nil"/>
            </w:tcBorders>
            <w:tcMar>
              <w:top w:w="128" w:type="dxa"/>
              <w:left w:w="43" w:type="dxa"/>
              <w:bottom w:w="43" w:type="dxa"/>
              <w:right w:w="43" w:type="dxa"/>
            </w:tcMar>
            <w:vAlign w:val="bottom"/>
          </w:tcPr>
          <w:p w14:paraId="3E4BEF42" w14:textId="77777777" w:rsidR="000A2A2B" w:rsidRPr="007C3060" w:rsidRDefault="000A2A2B" w:rsidP="007C3060">
            <w:r w:rsidRPr="007C3060">
              <w:t>-6,0</w:t>
            </w:r>
          </w:p>
        </w:tc>
      </w:tr>
      <w:tr w:rsidR="004B729E" w:rsidRPr="007C3060" w14:paraId="6F346A0E" w14:textId="77777777">
        <w:trPr>
          <w:trHeight w:val="380"/>
        </w:trPr>
        <w:tc>
          <w:tcPr>
            <w:tcW w:w="5320" w:type="dxa"/>
            <w:tcBorders>
              <w:top w:val="nil"/>
              <w:left w:val="nil"/>
              <w:bottom w:val="nil"/>
              <w:right w:val="nil"/>
            </w:tcBorders>
            <w:tcMar>
              <w:top w:w="128" w:type="dxa"/>
              <w:left w:w="43" w:type="dxa"/>
              <w:bottom w:w="43" w:type="dxa"/>
              <w:right w:w="43" w:type="dxa"/>
            </w:tcMar>
          </w:tcPr>
          <w:p w14:paraId="1EB37AE6" w14:textId="77777777" w:rsidR="000A2A2B" w:rsidRPr="007C3060" w:rsidRDefault="000A2A2B" w:rsidP="007C3060">
            <w:r w:rsidRPr="007C3060">
              <w:t>Space Norway AS</w:t>
            </w:r>
          </w:p>
        </w:tc>
        <w:tc>
          <w:tcPr>
            <w:tcW w:w="1400" w:type="dxa"/>
            <w:tcBorders>
              <w:top w:val="nil"/>
              <w:left w:val="nil"/>
              <w:bottom w:val="nil"/>
              <w:right w:val="nil"/>
            </w:tcBorders>
            <w:tcMar>
              <w:top w:w="128" w:type="dxa"/>
              <w:left w:w="43" w:type="dxa"/>
              <w:bottom w:w="43" w:type="dxa"/>
              <w:right w:w="43" w:type="dxa"/>
            </w:tcMar>
            <w:vAlign w:val="bottom"/>
          </w:tcPr>
          <w:p w14:paraId="667E8F17"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2044456A" w14:textId="77777777" w:rsidR="000A2A2B" w:rsidRPr="007C3060" w:rsidRDefault="000A2A2B" w:rsidP="007C3060">
            <w:r w:rsidRPr="007C3060">
              <w:t>0,0</w:t>
            </w:r>
          </w:p>
        </w:tc>
        <w:tc>
          <w:tcPr>
            <w:tcW w:w="1400" w:type="dxa"/>
            <w:tcBorders>
              <w:top w:val="nil"/>
              <w:left w:val="nil"/>
              <w:bottom w:val="nil"/>
              <w:right w:val="nil"/>
            </w:tcBorders>
            <w:tcMar>
              <w:top w:w="128" w:type="dxa"/>
              <w:left w:w="43" w:type="dxa"/>
              <w:bottom w:w="43" w:type="dxa"/>
              <w:right w:w="43" w:type="dxa"/>
            </w:tcMar>
            <w:vAlign w:val="bottom"/>
          </w:tcPr>
          <w:p w14:paraId="7627C819" w14:textId="77777777" w:rsidR="000A2A2B" w:rsidRPr="007C3060" w:rsidRDefault="000A2A2B" w:rsidP="007C3060">
            <w:r w:rsidRPr="007C3060">
              <w:t>0,0</w:t>
            </w:r>
          </w:p>
        </w:tc>
      </w:tr>
      <w:tr w:rsidR="004B729E" w:rsidRPr="007C3060" w14:paraId="036B2B68" w14:textId="77777777">
        <w:trPr>
          <w:trHeight w:val="380"/>
        </w:trPr>
        <w:tc>
          <w:tcPr>
            <w:tcW w:w="5320" w:type="dxa"/>
            <w:tcBorders>
              <w:top w:val="nil"/>
              <w:left w:val="nil"/>
              <w:bottom w:val="nil"/>
              <w:right w:val="nil"/>
            </w:tcBorders>
            <w:tcMar>
              <w:top w:w="128" w:type="dxa"/>
              <w:left w:w="43" w:type="dxa"/>
              <w:bottom w:w="43" w:type="dxa"/>
              <w:right w:w="43" w:type="dxa"/>
            </w:tcMar>
          </w:tcPr>
          <w:p w14:paraId="48D58868" w14:textId="77777777" w:rsidR="000A2A2B" w:rsidRPr="007C3060" w:rsidRDefault="000A2A2B" w:rsidP="007C3060">
            <w:r w:rsidRPr="007C3060">
              <w:t>Statkraft SF</w:t>
            </w:r>
          </w:p>
        </w:tc>
        <w:tc>
          <w:tcPr>
            <w:tcW w:w="1400" w:type="dxa"/>
            <w:tcBorders>
              <w:top w:val="nil"/>
              <w:left w:val="nil"/>
              <w:bottom w:val="nil"/>
              <w:right w:val="nil"/>
            </w:tcBorders>
            <w:tcMar>
              <w:top w:w="128" w:type="dxa"/>
              <w:left w:w="43" w:type="dxa"/>
              <w:bottom w:w="43" w:type="dxa"/>
              <w:right w:w="43" w:type="dxa"/>
            </w:tcMar>
            <w:vAlign w:val="bottom"/>
          </w:tcPr>
          <w:p w14:paraId="42DED838" w14:textId="77777777" w:rsidR="000A2A2B" w:rsidRPr="007C3060" w:rsidRDefault="000A2A2B" w:rsidP="007C3060">
            <w:r w:rsidRPr="007C3060">
              <w:t>9 610,0</w:t>
            </w:r>
          </w:p>
        </w:tc>
        <w:tc>
          <w:tcPr>
            <w:tcW w:w="1400" w:type="dxa"/>
            <w:tcBorders>
              <w:top w:val="nil"/>
              <w:left w:val="nil"/>
              <w:bottom w:val="nil"/>
              <w:right w:val="nil"/>
            </w:tcBorders>
            <w:tcMar>
              <w:top w:w="128" w:type="dxa"/>
              <w:left w:w="43" w:type="dxa"/>
              <w:bottom w:w="43" w:type="dxa"/>
              <w:right w:w="43" w:type="dxa"/>
            </w:tcMar>
            <w:vAlign w:val="bottom"/>
          </w:tcPr>
          <w:p w14:paraId="7A19BF65" w14:textId="77777777" w:rsidR="000A2A2B" w:rsidRPr="007C3060" w:rsidRDefault="000A2A2B" w:rsidP="007C3060">
            <w:r w:rsidRPr="007C3060">
              <w:t>8 752,0</w:t>
            </w:r>
          </w:p>
        </w:tc>
        <w:tc>
          <w:tcPr>
            <w:tcW w:w="1400" w:type="dxa"/>
            <w:tcBorders>
              <w:top w:val="nil"/>
              <w:left w:val="nil"/>
              <w:bottom w:val="nil"/>
              <w:right w:val="nil"/>
            </w:tcBorders>
            <w:tcMar>
              <w:top w:w="128" w:type="dxa"/>
              <w:left w:w="43" w:type="dxa"/>
              <w:bottom w:w="43" w:type="dxa"/>
              <w:right w:w="43" w:type="dxa"/>
            </w:tcMar>
            <w:vAlign w:val="bottom"/>
          </w:tcPr>
          <w:p w14:paraId="48D08AD7" w14:textId="77777777" w:rsidR="000A2A2B" w:rsidRPr="007C3060" w:rsidRDefault="000A2A2B" w:rsidP="007C3060">
            <w:r w:rsidRPr="007C3060">
              <w:t>-858,0</w:t>
            </w:r>
          </w:p>
        </w:tc>
      </w:tr>
      <w:tr w:rsidR="004B729E" w:rsidRPr="007C3060" w14:paraId="44B2F8B6"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416CEB54" w14:textId="77777777" w:rsidR="000A2A2B" w:rsidRPr="007C3060" w:rsidRDefault="000A2A2B" w:rsidP="007C3060">
            <w:r w:rsidRPr="007C3060">
              <w:t>SNSK Spitsbergen Kulkompani AS</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8CD85A" w14:textId="77777777" w:rsidR="000A2A2B" w:rsidRPr="007C3060" w:rsidRDefault="000A2A2B" w:rsidP="007C3060">
            <w:r w:rsidRPr="007C3060">
              <w:t>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549836" w14:textId="77777777" w:rsidR="000A2A2B" w:rsidRPr="007C3060" w:rsidRDefault="000A2A2B" w:rsidP="007C3060">
            <w:r w:rsidRPr="007C3060">
              <w:t>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602D34" w14:textId="77777777" w:rsidR="000A2A2B" w:rsidRPr="007C3060" w:rsidRDefault="000A2A2B" w:rsidP="007C3060">
            <w:r w:rsidRPr="007C3060">
              <w:t>0,0</w:t>
            </w:r>
          </w:p>
        </w:tc>
      </w:tr>
      <w:tr w:rsidR="004B729E" w:rsidRPr="007C3060" w14:paraId="66BCAC64"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20FC2946" w14:textId="77777777" w:rsidR="000A2A2B" w:rsidRPr="007C3060" w:rsidRDefault="000A2A2B" w:rsidP="007C3060">
            <w:r w:rsidRPr="007C3060">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C81D07" w14:textId="77777777" w:rsidR="000A2A2B" w:rsidRPr="007C3060" w:rsidRDefault="000A2A2B" w:rsidP="007C3060">
            <w:r w:rsidRPr="007C3060">
              <w:t>28 699,0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0E4AAC" w14:textId="77777777" w:rsidR="000A2A2B" w:rsidRPr="007C3060" w:rsidRDefault="000A2A2B" w:rsidP="007C3060">
            <w:r w:rsidRPr="007C3060">
              <w:t>28 780,2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5353A5" w14:textId="77777777" w:rsidR="000A2A2B" w:rsidRPr="007C3060" w:rsidRDefault="000A2A2B" w:rsidP="007C3060">
            <w:r w:rsidRPr="007C3060">
              <w:t>81,2</w:t>
            </w:r>
          </w:p>
        </w:tc>
      </w:tr>
    </w:tbl>
    <w:p w14:paraId="645170E5" w14:textId="77777777" w:rsidR="000A2A2B" w:rsidRPr="007C3060" w:rsidRDefault="000A2A2B" w:rsidP="007C3060">
      <w:pPr>
        <w:pStyle w:val="b-budkaptit"/>
      </w:pPr>
      <w:r w:rsidRPr="007C3060">
        <w:t>Kap. 5656 Aksjer under Nærings- og -fiskeridepartementets forvaltning</w:t>
      </w:r>
    </w:p>
    <w:p w14:paraId="2364FAA7" w14:textId="77777777" w:rsidR="000A2A2B" w:rsidRPr="007C3060" w:rsidRDefault="000A2A2B" w:rsidP="007C3060">
      <w:pPr>
        <w:pStyle w:val="b-post"/>
      </w:pPr>
      <w:r w:rsidRPr="007C3060">
        <w:t>Post 85 Utbytte</w:t>
      </w:r>
    </w:p>
    <w:p w14:paraId="73F09D00" w14:textId="77777777" w:rsidR="000A2A2B" w:rsidRPr="007C3060" w:rsidRDefault="000A2A2B" w:rsidP="007C3060">
      <w:r w:rsidRPr="007C3060">
        <w:t xml:space="preserve">Basert på opplysninger fra selskapene anslås det at utbytteinntektene i 2025 blir 28,8 mrd. kroner fra selskaper utenom </w:t>
      </w:r>
      <w:proofErr w:type="spellStart"/>
      <w:r w:rsidRPr="007C3060">
        <w:t>Equinor</w:t>
      </w:r>
      <w:proofErr w:type="spellEnd"/>
      <w:r w:rsidRPr="007C3060">
        <w:t xml:space="preserve">, sammenlignet med 28,7 mrd. kroner i Saldert budsjett 2025, jf. tabellen under. Utbyttene fra de børsnoterte selskapene utenom </w:t>
      </w:r>
      <w:proofErr w:type="spellStart"/>
      <w:r w:rsidRPr="007C3060">
        <w:t>Equinor</w:t>
      </w:r>
      <w:proofErr w:type="spellEnd"/>
      <w:r w:rsidRPr="007C3060">
        <w:t xml:space="preserve"> anslås å bli 19,5 mrd. kroner, sammenlignet med 18,5 mrd. kroner i Saldert budsjett 2025. Anslag for utbytter fra de børsnoterte selskapene er basert på styrenes forslag til utbytte for regnskapsåret 2024.</w:t>
      </w:r>
    </w:p>
    <w:p w14:paraId="70C3FC03" w14:textId="77777777" w:rsidR="000A2A2B" w:rsidRPr="007C3060" w:rsidRDefault="000A2A2B" w:rsidP="007C3060">
      <w:r w:rsidRPr="007C3060">
        <w:t>Utbyttene fra de unoterte selskapene anslås til 9,3 mrd. kroner, sammenlignet med 10,2 mrd. kroner i Saldert budsjett 2025. For Baneservice, Statkraft og Posten Bring er utbytteanslagene redusert på grunn av svakere resultater enn det som ble lagt til grunn i Saldert budsjett 2025. For Nammo er utbytteanslaget redusert fordi selskapet har behov for å styrke kapitalstrukturen.</w:t>
      </w:r>
    </w:p>
    <w:p w14:paraId="29A7F867" w14:textId="77777777" w:rsidR="000A2A2B" w:rsidRPr="007C3060" w:rsidRDefault="000A2A2B" w:rsidP="007C3060">
      <w:r w:rsidRPr="007C3060">
        <w:t>Bevilgningen foreslås økt med 81,2 mill. kroner.</w:t>
      </w:r>
    </w:p>
    <w:p w14:paraId="2BF13DE4" w14:textId="77777777" w:rsidR="000A2A2B" w:rsidRPr="007C3060" w:rsidRDefault="000A2A2B" w:rsidP="007C3060">
      <w:pPr>
        <w:pStyle w:val="b-budkaptit"/>
      </w:pPr>
      <w:r w:rsidRPr="007C3060">
        <w:lastRenderedPageBreak/>
        <w:t xml:space="preserve">Kap. 5685 Aksjer i </w:t>
      </w:r>
      <w:proofErr w:type="spellStart"/>
      <w:r w:rsidRPr="007C3060">
        <w:t>Equinor</w:t>
      </w:r>
      <w:proofErr w:type="spellEnd"/>
      <w:r w:rsidRPr="007C3060">
        <w:t xml:space="preserve"> ASA</w:t>
      </w:r>
    </w:p>
    <w:p w14:paraId="60E02FB0" w14:textId="77777777" w:rsidR="000A2A2B" w:rsidRPr="007C3060" w:rsidRDefault="000A2A2B" w:rsidP="007C3060">
      <w:pPr>
        <w:pStyle w:val="b-post"/>
      </w:pPr>
      <w:r w:rsidRPr="007C3060">
        <w:t>Post 85 Utbytte</w:t>
      </w:r>
    </w:p>
    <w:p w14:paraId="1392674E" w14:textId="77777777" w:rsidR="000A2A2B" w:rsidRPr="007C3060" w:rsidRDefault="000A2A2B" w:rsidP="007C3060">
      <w:proofErr w:type="spellStart"/>
      <w:r w:rsidRPr="007C3060">
        <w:t>Equinor</w:t>
      </w:r>
      <w:proofErr w:type="spellEnd"/>
      <w:r w:rsidRPr="007C3060">
        <w:t xml:space="preserve"> betaler utbytte fire ganger i året. I løpet av et kalenderår betales utbyttet for 3. og 4. kvartal fra foregående kalenderår, samt 1. og 2. kvartal i inneværende kalenderår. Styret fastsetter utbytte for 1. til og med 3. kvartal (etter fullmakt fra generalforsamlingen), general-forsamlingen fastsetter utbyttet for 4. kvartal.</w:t>
      </w:r>
    </w:p>
    <w:p w14:paraId="7291D22E" w14:textId="77777777" w:rsidR="000A2A2B" w:rsidRPr="007C3060" w:rsidRDefault="000A2A2B" w:rsidP="007C3060">
      <w:proofErr w:type="spellStart"/>
      <w:r w:rsidRPr="007C3060">
        <w:t>Equinors</w:t>
      </w:r>
      <w:proofErr w:type="spellEnd"/>
      <w:r w:rsidRPr="007C3060">
        <w:t xml:space="preserve"> utbytte for tredje kvartal 2024 er et ordinært utbytte på 0,35 USD per aksje og et ekstraordinært utbytte på 0,35 USD per aksje. </w:t>
      </w:r>
      <w:proofErr w:type="spellStart"/>
      <w:r w:rsidRPr="007C3060">
        <w:t>Equinors</w:t>
      </w:r>
      <w:proofErr w:type="spellEnd"/>
      <w:r w:rsidRPr="007C3060">
        <w:t xml:space="preserve"> styre har foreslått et ordinært utbytte for fjerde kvartal 2024 på 0,37 USD per aksje. For budsjettformål legges det til grunn 0,37 dollar per aksje i ordinært utbytte for 1. og 2. kvartal 2025. Det innebærer et samlet utbytte på 1,81 dollar per aksje til utbetaling i 2025. Med en valutakurs på 11,2 NOK/USD for 3. kvartal 2024 og 11,1 NOK/USD for 4. kvartal 2024 og 1. og 2. kvartal 2025 gir det en utbetaling på om lag 37,8 mrd. kroner i 2025. Anslaget i Saldert budsjett 2025 var om lag 27,8 mrd. kroner.</w:t>
      </w:r>
    </w:p>
    <w:p w14:paraId="5F392D6A" w14:textId="77777777" w:rsidR="000A2A2B" w:rsidRPr="007C3060" w:rsidRDefault="000A2A2B" w:rsidP="007C3060">
      <w:r w:rsidRPr="007C3060">
        <w:t>Det foreslås å øke bevilgningen med 10 mrd. kroner.</w:t>
      </w:r>
    </w:p>
    <w:p w14:paraId="2F901B58" w14:textId="77777777" w:rsidR="000A2A2B" w:rsidRPr="007C3060" w:rsidRDefault="000A2A2B" w:rsidP="007C3060">
      <w:pPr>
        <w:pStyle w:val="Undertittel"/>
      </w:pPr>
      <w:r w:rsidRPr="007C3060">
        <w:t>Andre saker</w:t>
      </w:r>
    </w:p>
    <w:p w14:paraId="4675BEA8" w14:textId="77777777" w:rsidR="000A2A2B" w:rsidRPr="007C3060" w:rsidRDefault="000A2A2B" w:rsidP="007C3060">
      <w:pPr>
        <w:pStyle w:val="avsnitt-undertittel"/>
      </w:pPr>
      <w:r w:rsidRPr="007C3060">
        <w:t>Oppfølging av anmodningsvedtak</w:t>
      </w:r>
    </w:p>
    <w:p w14:paraId="2E201C02" w14:textId="77777777" w:rsidR="000A2A2B" w:rsidRPr="007C3060" w:rsidRDefault="000A2A2B" w:rsidP="007C3060">
      <w:pPr>
        <w:pStyle w:val="avsnitt-under-undertittel"/>
      </w:pPr>
      <w:r w:rsidRPr="007C3060">
        <w:t>Anmodningsvedtak om innsyn i hvem som eier forvaltningsregistrerte aksjer</w:t>
      </w:r>
    </w:p>
    <w:p w14:paraId="20DF3E90" w14:textId="77777777" w:rsidR="000A2A2B" w:rsidRPr="007C3060" w:rsidRDefault="000A2A2B" w:rsidP="007C3060">
      <w:r w:rsidRPr="007C3060">
        <w:t xml:space="preserve">Ved behandling av </w:t>
      </w:r>
      <w:proofErr w:type="spellStart"/>
      <w:r w:rsidRPr="007C3060">
        <w:t>Innst</w:t>
      </w:r>
      <w:proofErr w:type="spellEnd"/>
      <w:r w:rsidRPr="007C3060">
        <w:t>. 2 S (2023–2024) fattet Stortinget 4. desember 2023 følgende anmodningsvedtak nr. 84 (2023–2024):</w:t>
      </w:r>
    </w:p>
    <w:p w14:paraId="2F6FD8E1" w14:textId="77777777" w:rsidR="000A2A2B" w:rsidRPr="007C3060" w:rsidRDefault="000A2A2B" w:rsidP="007C3060">
      <w:pPr>
        <w:pStyle w:val="blokksit"/>
      </w:pPr>
      <w:r w:rsidRPr="007C3060">
        <w:t>«Stortinget ber regjeringen våren 2024 utforme regler som gir innsyn i utenlandske eiere av norske verdipapirregistrerte aksjer.»</w:t>
      </w:r>
    </w:p>
    <w:p w14:paraId="70DFFCE9" w14:textId="77777777" w:rsidR="000A2A2B" w:rsidRPr="007C3060" w:rsidRDefault="000A2A2B" w:rsidP="007C3060">
      <w:r w:rsidRPr="007C3060">
        <w:t>Reglene i allmennaksjeloven § 4-5 annet ledd om innsyn i forvalterregistrerte aksjer trådte i kraft 1. februar 2025. Fra samme dato trådte det også i kraft forskrift 17. november 2024 nr. 2804 om innsyn i aksjeeierboken, aksjeeierregisteret og forvalterregistrerte aksjer.</w:t>
      </w:r>
    </w:p>
    <w:p w14:paraId="5BF67A4B" w14:textId="77777777" w:rsidR="000A2A2B" w:rsidRPr="007C3060" w:rsidRDefault="000A2A2B" w:rsidP="007C3060">
      <w:r w:rsidRPr="007C3060">
        <w:t>Forskriften har nærmere bestemmelser om slikt innsyn. Forskriften fastsetter blant annet at selskapet må legge frem opplysningene i forbindelse med selskapets generalforsamling.</w:t>
      </w:r>
    </w:p>
    <w:p w14:paraId="19BE6EA2" w14:textId="77777777" w:rsidR="000A2A2B" w:rsidRPr="007C3060" w:rsidRDefault="000A2A2B" w:rsidP="007C3060">
      <w:r w:rsidRPr="007C3060">
        <w:t>Med dette anser Næring- og fiskeridepartementet anmodningsvedtaket som fulgt opp.</w:t>
      </w:r>
    </w:p>
    <w:p w14:paraId="39A6F918" w14:textId="77777777" w:rsidR="000A2A2B" w:rsidRPr="007C3060" w:rsidRDefault="000A2A2B" w:rsidP="007C3060">
      <w:pPr>
        <w:pStyle w:val="avsnitt-under-undertittel"/>
      </w:pPr>
      <w:r w:rsidRPr="007C3060">
        <w:t xml:space="preserve">Anmodningsvedtak om innsyn i eierskap i norske aksjeselskaper og </w:t>
      </w:r>
      <w:proofErr w:type="spellStart"/>
      <w:r w:rsidRPr="007C3060">
        <w:t>allmennaksjeselskaper</w:t>
      </w:r>
      <w:proofErr w:type="spellEnd"/>
    </w:p>
    <w:p w14:paraId="55AEE90E" w14:textId="77777777" w:rsidR="000A2A2B" w:rsidRPr="007C3060" w:rsidRDefault="000A2A2B" w:rsidP="007C3060">
      <w:r w:rsidRPr="007C3060">
        <w:t xml:space="preserve">Ved behandling av </w:t>
      </w:r>
      <w:proofErr w:type="spellStart"/>
      <w:r w:rsidRPr="007C3060">
        <w:t>Innst</w:t>
      </w:r>
      <w:proofErr w:type="spellEnd"/>
      <w:r w:rsidRPr="007C3060">
        <w:t>. 2 S (2023–2024) fattet Stortinget 4. desember 2023 følgende anmodningsvedtak nr. 85 (2023–2024):</w:t>
      </w:r>
    </w:p>
    <w:p w14:paraId="322FA809" w14:textId="77777777" w:rsidR="000A2A2B" w:rsidRPr="007C3060" w:rsidRDefault="000A2A2B" w:rsidP="007C3060">
      <w:pPr>
        <w:pStyle w:val="blokksit"/>
      </w:pPr>
      <w:r w:rsidRPr="007C3060">
        <w:t xml:space="preserve">«Stortinget ber regjeringen innen revidert budsjett for 2024 gjøre endringer i forskrifter for å bedre innsyn i eierskap til norske aksjeselskaper og </w:t>
      </w:r>
      <w:proofErr w:type="spellStart"/>
      <w:r w:rsidRPr="007C3060">
        <w:t>allmennaksjeselskaper</w:t>
      </w:r>
      <w:proofErr w:type="spellEnd"/>
      <w:r w:rsidRPr="007C3060">
        <w:t xml:space="preserve"> og å innen revidert budsjett 2025 komme tilbake til Stortinget med forslag til regelendringer som innebærer at </w:t>
      </w:r>
      <w:r w:rsidRPr="007C3060">
        <w:lastRenderedPageBreak/>
        <w:t>norske aksjeselskaper skal rapportere endringer i eierskap til aksjer på en måte som kan gjøre dem tilgjengelig for allmennheten.»</w:t>
      </w:r>
    </w:p>
    <w:p w14:paraId="694E34F6" w14:textId="77777777" w:rsidR="000A2A2B" w:rsidRPr="007C3060" w:rsidRDefault="000A2A2B" w:rsidP="007C3060">
      <w:r w:rsidRPr="007C3060">
        <w:t>Reglene i allmennaksjeloven § 4-5 annet ledd om innsyn i forvalterregistrerte aksjer trådte i kraft 1. februar 2025. Fra samme dato trådte det også i kraft forskrift 17. november 2024 nr. 2804 om innsyn i aksjeeierboken, aksjeeierregisteret og forvalterregistrerte aksjer. Forskriften har nærmere bestemmelser om slikt innsyn. Forskriften fastsetter regler for raskere og enklere innsyn i aksje-eierbøker og aksjeeierregistre, inkludert krav om at opplysninger skal være gratis tilgjengelig og leveres elektronisk innen tre dager.</w:t>
      </w:r>
    </w:p>
    <w:p w14:paraId="7852BD72" w14:textId="77777777" w:rsidR="000A2A2B" w:rsidRPr="007C3060" w:rsidRDefault="000A2A2B" w:rsidP="007C3060">
      <w:r w:rsidRPr="007C3060">
        <w:t>Med dette anser Næring- og fiskeridepartementet anmodningsvedtaket som fulgt opp.</w:t>
      </w:r>
    </w:p>
    <w:p w14:paraId="193AB6D4" w14:textId="77777777" w:rsidR="000A2A2B" w:rsidRPr="007C3060" w:rsidRDefault="000A2A2B" w:rsidP="007C3060">
      <w:pPr>
        <w:pStyle w:val="Overskrift2"/>
      </w:pPr>
      <w:r w:rsidRPr="007C3060">
        <w:t>Landbruks- og matdepartementet</w:t>
      </w:r>
    </w:p>
    <w:p w14:paraId="7C849297" w14:textId="77777777" w:rsidR="000A2A2B" w:rsidRPr="007C3060" w:rsidRDefault="000A2A2B" w:rsidP="007C3060">
      <w:pPr>
        <w:pStyle w:val="b-budkaptit"/>
      </w:pPr>
      <w:r w:rsidRPr="007C3060">
        <w:t>Kap. 1100 Landbruks- og matdepartementet</w:t>
      </w:r>
    </w:p>
    <w:p w14:paraId="04F8B82D" w14:textId="703C1EF0" w:rsidR="000A2A2B" w:rsidRPr="007C3060" w:rsidRDefault="000A2A2B" w:rsidP="007C3060">
      <w:pPr>
        <w:pStyle w:val="b-post"/>
      </w:pPr>
      <w:r w:rsidRPr="007C3060">
        <w:t>Post 45 Større utstyrsanskaffelser og vedlikehold – ordinære forvaltningsorganer, kan overføres, kan nyttes under post 50</w:t>
      </w:r>
    </w:p>
    <w:p w14:paraId="54BE39A3" w14:textId="77777777" w:rsidR="000A2A2B" w:rsidRPr="007C3060" w:rsidRDefault="000A2A2B" w:rsidP="007C3060">
      <w:r w:rsidRPr="007C3060">
        <w:t>Staten ved Landbruks- og matdepartementet eier Sikkilsdalseter i Nord-Fron kommune. I mars medførte et kraftig uvær betydelige skader på bygningsmassen, som må utbedres. Flere av bygningene er fredet etter Kulturminneloven, noe som stiller høye krav til at skadeutbedringen skjer i samsvar med antikvariske prinsipper.</w:t>
      </w:r>
    </w:p>
    <w:p w14:paraId="20B61143" w14:textId="77777777" w:rsidR="000A2A2B" w:rsidRPr="007C3060" w:rsidRDefault="000A2A2B" w:rsidP="007C3060">
      <w:r w:rsidRPr="007C3060">
        <w:t>Bevilgningen foreslås økt med 4,5 mill. kroner.</w:t>
      </w:r>
    </w:p>
    <w:p w14:paraId="03C0F22A" w14:textId="77777777" w:rsidR="000A2A2B" w:rsidRPr="007C3060" w:rsidRDefault="000A2A2B" w:rsidP="007C3060">
      <w:pPr>
        <w:pStyle w:val="b-budkaptit"/>
      </w:pPr>
      <w:r w:rsidRPr="007C3060">
        <w:t>Kap. 1142 Landbruksdirektoratet</w:t>
      </w:r>
    </w:p>
    <w:p w14:paraId="1C16D8ED" w14:textId="77777777" w:rsidR="000A2A2B" w:rsidRPr="007C3060" w:rsidRDefault="000A2A2B" w:rsidP="007C3060">
      <w:pPr>
        <w:pStyle w:val="b-post"/>
      </w:pPr>
      <w:r w:rsidRPr="007C3060">
        <w:t>Post 75 Stønad til jordbruks- og veksthusnæringen for ekstraordinære strømutgifter, overslags-bevilgning</w:t>
      </w:r>
    </w:p>
    <w:p w14:paraId="338CC142" w14:textId="77777777" w:rsidR="000A2A2B" w:rsidRPr="007C3060" w:rsidRDefault="000A2A2B" w:rsidP="007C3060">
      <w:r w:rsidRPr="007C3060">
        <w:t>I 2021 ble det innført en midlertidig ordning for å dekke ekstraordinære strømkostnader for primærprodusenter i jordbruk, veksthus og vanningsanlegg. Nye anslag basert på terminpriser fra mars 2025 tilsier at kostnadene til strømstønad reduseres sammenlignet med det som først var lagt til grunn i Saldert budsjett 2025.</w:t>
      </w:r>
    </w:p>
    <w:p w14:paraId="39DECD8E" w14:textId="77777777" w:rsidR="000A2A2B" w:rsidRPr="007C3060" w:rsidRDefault="000A2A2B" w:rsidP="007C3060">
      <w:r w:rsidRPr="007C3060">
        <w:t>Bevilgningen foreslås redusert med 30,4 mill. kroner.</w:t>
      </w:r>
    </w:p>
    <w:p w14:paraId="33808C7D" w14:textId="77777777" w:rsidR="000A2A2B" w:rsidRPr="007C3060" w:rsidRDefault="000A2A2B" w:rsidP="007C3060">
      <w:pPr>
        <w:pStyle w:val="b-post"/>
      </w:pPr>
      <w:r w:rsidRPr="007C3060">
        <w:t>Post 82 (Ny) Tilleggsareal for vinterbeite for Fosen reinbeitedistrikt, kan overføres</w:t>
      </w:r>
    </w:p>
    <w:p w14:paraId="659A7152" w14:textId="77777777" w:rsidR="000A2A2B" w:rsidRPr="007C3060" w:rsidRDefault="000A2A2B" w:rsidP="007C3060">
      <w:r w:rsidRPr="007C3060">
        <w:t xml:space="preserve">Staten har i forbindelse med meglingsavtalene mellom Sør-Fosen </w:t>
      </w:r>
      <w:proofErr w:type="spellStart"/>
      <w:r w:rsidRPr="007C3060">
        <w:t>sijte</w:t>
      </w:r>
      <w:proofErr w:type="spellEnd"/>
      <w:r w:rsidRPr="007C3060">
        <w:t xml:space="preserve"> og Fosen vind, og Nord-Fosen </w:t>
      </w:r>
      <w:proofErr w:type="spellStart"/>
      <w:r w:rsidRPr="007C3060">
        <w:t>sijte</w:t>
      </w:r>
      <w:proofErr w:type="spellEnd"/>
      <w:r w:rsidRPr="007C3060">
        <w:t xml:space="preserve"> og Roan vind, forpliktet seg til å skaffe til veie et tilleggsareal for vinterbeite for Fosen reinbeitedistrikt. NIBIO har utredet aktuelle områder, og kommet med en klar anbefaling om området </w:t>
      </w:r>
      <w:proofErr w:type="spellStart"/>
      <w:r w:rsidRPr="007C3060">
        <w:t>Håmmålsfjellet</w:t>
      </w:r>
      <w:proofErr w:type="spellEnd"/>
      <w:r w:rsidRPr="007C3060">
        <w:t xml:space="preserve">-Sålekinna. Regjeringen jobber videre på grunnlag av denne anbefalingen. Det skal gjennomføres en konsekvensutredning for bruken av området som vinterbeite for Fosen reinbeitedistrikt. Konsekvensutredningen skal ligge til grunn for en eventuell regulerings-planprosess for området, og for vurdering av avbøtende tiltak. Det må gjennomføres </w:t>
      </w:r>
      <w:r w:rsidRPr="007C3060">
        <w:lastRenderedPageBreak/>
        <w:t>forhandlinger om beiteleieavtaler med grunneiere og fjellstyrer i området, og det må gis konsesjon til reindrift.</w:t>
      </w:r>
    </w:p>
    <w:p w14:paraId="70FA55CA" w14:textId="77777777" w:rsidR="000A2A2B" w:rsidRPr="007C3060" w:rsidRDefault="000A2A2B" w:rsidP="007C3060">
      <w:r w:rsidRPr="007C3060">
        <w:t xml:space="preserve">Det foreslås å opprette en ny post, kap. 1142, post 82 </w:t>
      </w:r>
      <w:r w:rsidRPr="007C3060">
        <w:rPr>
          <w:rStyle w:val="kursiv"/>
        </w:rPr>
        <w:t xml:space="preserve">Tilleggsareal for vinterbeite for Fosen reinbeitedistrikt </w:t>
      </w:r>
      <w:r w:rsidRPr="007C3060">
        <w:t>med en bevilgning på 100 mill. kroner for å dekke diverse i forbindelse med etablering av tilleggsareal for Fosen reinbeitedistrikt. Utgiftene vil blant annet kunne omfatte tiltak for de berørte kommunene, kjøp av konsulenttjenester til konsekvensutredning og regulerings-planprosess, avbøtende tiltak samt inngåelse av leieavtaler med grunneiere og fjellstyrer. Det -foreslås også at posten tilføyes stikkordet «kan over-føres».</w:t>
      </w:r>
    </w:p>
    <w:p w14:paraId="4EBA2204" w14:textId="77777777" w:rsidR="000A2A2B" w:rsidRPr="007C3060" w:rsidRDefault="000A2A2B" w:rsidP="007C3060">
      <w:pPr>
        <w:pStyle w:val="b-budkaptit"/>
      </w:pPr>
      <w:r w:rsidRPr="007C3060">
        <w:t>Kap. 1148 Naturskade – erstatninger</w:t>
      </w:r>
    </w:p>
    <w:p w14:paraId="55B7C234" w14:textId="77777777" w:rsidR="000A2A2B" w:rsidRPr="007C3060" w:rsidRDefault="000A2A2B" w:rsidP="007C3060">
      <w:pPr>
        <w:pStyle w:val="b-post"/>
      </w:pPr>
      <w:r w:rsidRPr="007C3060">
        <w:t>Post 71 Naturskade – erstatninger, overslagsbevilgning</w:t>
      </w:r>
    </w:p>
    <w:p w14:paraId="05A21B10" w14:textId="77777777" w:rsidR="000A2A2B" w:rsidRPr="007C3060" w:rsidRDefault="000A2A2B" w:rsidP="007C3060">
      <w:r w:rsidRPr="007C3060">
        <w:t>Statens naturskadeordning gir erstatning for de naturskadene det ikke er mulig å forsikre seg mot gjennom alminnelige forsikringsordninger, og bevilgningen skal dekke utbetalinger fra ordningen. Tilsagn om erstatning for naturskader blir gitt med en frist for oppretting på tre år og utbetaling av erstatning skjer når skaden er rettet opp. Det er derfor også knyttet en tilsagnsfullmakt til posten.</w:t>
      </w:r>
    </w:p>
    <w:p w14:paraId="36F4E3F1" w14:textId="77777777" w:rsidR="000A2A2B" w:rsidRPr="007C3060" w:rsidRDefault="000A2A2B" w:rsidP="007C3060">
      <w:r w:rsidRPr="007C3060">
        <w:t>Værhendelsene i 2023 og 2024 har ført til at naturskadeordningen har mottatt langt flere søknader om erstatning enn i et normalår. Informasjonstiltak, utvikling, drift og vedlikehold av IKT-systemer samt nødvendig forlengelse av midlertidige stillinger for å opprettholde saksbehandlingskapasiteten fører til større kostnader enn det som er lagt til grunn i tidligere prognose.</w:t>
      </w:r>
    </w:p>
    <w:p w14:paraId="6BD9780E" w14:textId="77777777" w:rsidR="000A2A2B" w:rsidRPr="007C3060" w:rsidRDefault="000A2A2B" w:rsidP="007C3060">
      <w:r w:rsidRPr="007C3060">
        <w:t>Bevilgningen foreslås økt med 17 mill. kroner, til 153,3 mill. kroner. Tilsagnsfullmakten økes med 18,4 mill. kroner til 177,5 mill. kroner, jf. forslag til romertallsvedtak.</w:t>
      </w:r>
    </w:p>
    <w:p w14:paraId="10DF9352" w14:textId="77777777" w:rsidR="000A2A2B" w:rsidRPr="007C3060" w:rsidRDefault="000A2A2B" w:rsidP="007C3060">
      <w:pPr>
        <w:pStyle w:val="b-budkaptit"/>
      </w:pPr>
      <w:r w:rsidRPr="007C3060">
        <w:t>Kap. 1149 Verdiskapings- og utviklingstiltak i landbruket</w:t>
      </w:r>
    </w:p>
    <w:p w14:paraId="6C23695C" w14:textId="77777777" w:rsidR="000A2A2B" w:rsidRPr="007C3060" w:rsidRDefault="000A2A2B" w:rsidP="007C3060">
      <w:pPr>
        <w:pStyle w:val="b-post"/>
      </w:pPr>
      <w:r w:rsidRPr="007C3060">
        <w:t>Post 71 Tilskudd til verdiskapingstiltak i skogbruket, kan overføres</w:t>
      </w:r>
    </w:p>
    <w:p w14:paraId="258DCD95" w14:textId="77777777" w:rsidR="000A2A2B" w:rsidRPr="007C3060" w:rsidRDefault="000A2A2B" w:rsidP="007C3060">
      <w:r w:rsidRPr="007C3060">
        <w:t xml:space="preserve">Norsk jordbruks- og gartnerinæring har behov for sesongarbeidskraft. Det er liten tilgang på norsk arbeidskraft til de aktuelle arbeidsoppgavene. Arbeidstilsynet har imidlertid i sin risikobaserte kontroll av jordbruks- og gartnerinæringen funnet en rekke brudd på bestemmelsene iblant annet arbeidsmiljøloven og den </w:t>
      </w:r>
      <w:proofErr w:type="spellStart"/>
      <w:r w:rsidRPr="007C3060">
        <w:t>allmenngjorte</w:t>
      </w:r>
      <w:proofErr w:type="spellEnd"/>
      <w:r w:rsidRPr="007C3060">
        <w:t xml:space="preserve"> tariffavtalen. Det er derfor behov for å gjennomføre tiltak som kan bidra til å bedre situasjonen.</w:t>
      </w:r>
    </w:p>
    <w:p w14:paraId="4C149AFB" w14:textId="77777777" w:rsidR="000A2A2B" w:rsidRPr="007C3060" w:rsidRDefault="000A2A2B" w:rsidP="007C3060">
      <w:r w:rsidRPr="007C3060">
        <w:t xml:space="preserve">Et </w:t>
      </w:r>
      <w:proofErr w:type="spellStart"/>
      <w:r w:rsidRPr="007C3060">
        <w:t>treparts</w:t>
      </w:r>
      <w:proofErr w:type="spellEnd"/>
      <w:r w:rsidRPr="007C3060">
        <w:t xml:space="preserve"> bransjeprogram for jordbruks- og gartnerinæringen vil være viktig for å få mulighet til sammen å utvikle verktøy og hjelpemidler som både klargjør og sikrer at arbeidsgiver og arbeidstaker overholder lov og avtaleverk. Bransjeprogrammet vil gi deltakerne en arena for å løfte frem bransjens særegenheter og behov, og hvor fokuset hos deltakerne vil være å nå frem med omforente initiativ og tiltak.</w:t>
      </w:r>
    </w:p>
    <w:p w14:paraId="4D8A5E75" w14:textId="77777777" w:rsidR="000A2A2B" w:rsidRPr="007C3060" w:rsidRDefault="000A2A2B" w:rsidP="007C3060">
      <w:r w:rsidRPr="007C3060">
        <w:t>Det foreslås en reduksjon på posten på 750 000 kroner, mot en tilsvarende økning på Arbeids- og inkluderingsdepartementets budsjettkapittel 640, post 01 (Arbeidstilsynet) for å finansiere tiltaket i 2025, jf. omtale under Arbeids- og inkluderings-departementet.</w:t>
      </w:r>
    </w:p>
    <w:p w14:paraId="50568F16" w14:textId="77777777" w:rsidR="000A2A2B" w:rsidRPr="007C3060" w:rsidRDefault="000A2A2B" w:rsidP="007C3060">
      <w:pPr>
        <w:pStyle w:val="b-budkaptit"/>
      </w:pPr>
      <w:r w:rsidRPr="007C3060">
        <w:lastRenderedPageBreak/>
        <w:t>Kap. 5652 Statskog SF – renter og utbytte</w:t>
      </w:r>
    </w:p>
    <w:p w14:paraId="23BC1E01" w14:textId="77777777" w:rsidR="000A2A2B" w:rsidRPr="007C3060" w:rsidRDefault="000A2A2B" w:rsidP="007C3060">
      <w:pPr>
        <w:pStyle w:val="b-post"/>
      </w:pPr>
      <w:r w:rsidRPr="007C3060">
        <w:t>Post 85 Utbytte</w:t>
      </w:r>
    </w:p>
    <w:p w14:paraId="02D7CC22" w14:textId="77777777" w:rsidR="000A2A2B" w:rsidRPr="007C3060" w:rsidRDefault="000A2A2B" w:rsidP="007C3060">
      <w:r w:rsidRPr="007C3060">
        <w:t xml:space="preserve">Utbytte fra Statskog SF for 2024 er satt til 75 pst. av årsresultatet etter skatt, jf. </w:t>
      </w:r>
      <w:proofErr w:type="spellStart"/>
      <w:r w:rsidRPr="007C3060">
        <w:t>Prop</w:t>
      </w:r>
      <w:proofErr w:type="spellEnd"/>
      <w:r w:rsidRPr="007C3060">
        <w:t>. 1 S (2024–2025) for Landbruks- og matdepartementet. Årsregnskapet for 2024 viser et resultat etter skatt på 44,6 mill. kroner. Bevilgningen foreslås økt med 4,5 mill. kroner, til 33,5 mill. kroner.</w:t>
      </w:r>
    </w:p>
    <w:p w14:paraId="2BBED792" w14:textId="77777777" w:rsidR="000A2A2B" w:rsidRPr="007C3060" w:rsidRDefault="000A2A2B" w:rsidP="007C3060">
      <w:pPr>
        <w:pStyle w:val="Undertittel"/>
      </w:pPr>
      <w:r w:rsidRPr="007C3060">
        <w:t>Andre saker</w:t>
      </w:r>
    </w:p>
    <w:p w14:paraId="5360BDC1" w14:textId="77777777" w:rsidR="000A2A2B" w:rsidRPr="007C3060" w:rsidRDefault="000A2A2B" w:rsidP="007C3060">
      <w:pPr>
        <w:pStyle w:val="avsnitt-undertittel"/>
      </w:pPr>
      <w:r w:rsidRPr="007C3060">
        <w:t>Overdragelse av Syverud gård i Ås kommune</w:t>
      </w:r>
    </w:p>
    <w:p w14:paraId="415C6B0E" w14:textId="77777777" w:rsidR="000A2A2B" w:rsidRPr="007C3060" w:rsidRDefault="000A2A2B" w:rsidP="007C3060">
      <w:r w:rsidRPr="007C3060">
        <w:t>Staten ved Landbruks- og matdepartementet eier Syverud gård i Ås kommune. Departementet har ikke lenger faglige behov for eiendommen, og regjeringen foreslår at eiendommen kan overdras til Norges miljø- og biovitenskapelige universitet (NMBU), som har faglige behov for den. NMBU har benyttet eiendommen vederlagsfritt siden 1950-tallet og har behov for utearealene for å gjennomføre undervisning og forskning. Det foreslås overdragelse uten vederlag, jf. forslag til romertallsvedtak.</w:t>
      </w:r>
    </w:p>
    <w:p w14:paraId="1183DF0A" w14:textId="77777777" w:rsidR="000A2A2B" w:rsidRPr="007C3060" w:rsidRDefault="000A2A2B" w:rsidP="007C3060">
      <w:pPr>
        <w:pStyle w:val="Overskrift2"/>
      </w:pPr>
      <w:r w:rsidRPr="007C3060">
        <w:t>Samferdselsdepartementet</w:t>
      </w:r>
    </w:p>
    <w:p w14:paraId="0B104C24" w14:textId="77777777" w:rsidR="000A2A2B" w:rsidRPr="007C3060" w:rsidRDefault="000A2A2B" w:rsidP="007C3060">
      <w:pPr>
        <w:pStyle w:val="b-budkaptit"/>
      </w:pPr>
      <w:r w:rsidRPr="007C3060">
        <w:t>Kap. 1300 Samferdselsdepartementet</w:t>
      </w:r>
    </w:p>
    <w:p w14:paraId="0B45BBD3" w14:textId="77777777" w:rsidR="000A2A2B" w:rsidRPr="007C3060" w:rsidRDefault="000A2A2B" w:rsidP="007C3060">
      <w:pPr>
        <w:pStyle w:val="b-post"/>
      </w:pPr>
      <w:r w:rsidRPr="007C3060">
        <w:t>Post 01 Driftsutgifter</w:t>
      </w:r>
    </w:p>
    <w:p w14:paraId="0D4350B7" w14:textId="77777777" w:rsidR="000A2A2B" w:rsidRPr="007C3060" w:rsidRDefault="000A2A2B" w:rsidP="007C3060">
      <w:r w:rsidRPr="007C3060">
        <w:t>Det foreslås å øke bevilgningen med til sammen 5,8 mill. kroner.</w:t>
      </w:r>
    </w:p>
    <w:p w14:paraId="6A7C45C2" w14:textId="77777777" w:rsidR="000A2A2B" w:rsidRPr="007C3060" w:rsidRDefault="000A2A2B" w:rsidP="007C3060">
      <w:r w:rsidRPr="007C3060">
        <w:t xml:space="preserve">For å dekke økte utgifter til blant annet eksterne oppdrag foreslås en økning på 4 mill. kroner, mot tilsvarende reduksjon under kap. 1300, post 21 </w:t>
      </w:r>
      <w:r w:rsidRPr="007C3060">
        <w:rPr>
          <w:rStyle w:val="kursiv"/>
        </w:rPr>
        <w:t>Spesielle driftsutgifter</w:t>
      </w:r>
      <w:r w:rsidRPr="007C3060">
        <w:t xml:space="preserve">. Videre foreslås en økning på 0,8 mill. kroner, mot tilsvarende reduksjon under Nærings- og fiskeridepartementet, i forbindelse med at Samferdselsdepartementet overtok forvaltningen av eierskapet i Flytoget AS. For å dekke Samferdselsdepartementets utgifter til ekstern bistand ved opprettelse og administrasjon av låneordningen for Norske tog AS foreslås en økning på 1 mill. kroner, jf. omtale under kap. 1358 </w:t>
      </w:r>
      <w:r w:rsidRPr="007C3060">
        <w:rPr>
          <w:rStyle w:val="kursiv"/>
        </w:rPr>
        <w:t>Norske tog AS</w:t>
      </w:r>
      <w:r w:rsidRPr="007C3060">
        <w:t>.</w:t>
      </w:r>
    </w:p>
    <w:p w14:paraId="3C8D160B" w14:textId="77777777" w:rsidR="000A2A2B" w:rsidRPr="007C3060" w:rsidRDefault="000A2A2B" w:rsidP="007C3060">
      <w:pPr>
        <w:pStyle w:val="b-post"/>
      </w:pPr>
      <w:r w:rsidRPr="007C3060">
        <w:t>Post 21 Spesielle driftsutgifter</w:t>
      </w:r>
    </w:p>
    <w:p w14:paraId="0B93736C" w14:textId="77777777" w:rsidR="000A2A2B" w:rsidRPr="007C3060" w:rsidRDefault="000A2A2B" w:rsidP="007C3060">
      <w:r w:rsidRPr="007C3060">
        <w:t>Det foreslås å redusere bevilgningen med 4 mill. kroner, mot tilsvarende økning på kap. 1300, post 01 Driftsutgifter, for å dekke økte utgifter til blant annet eksterne oppdrag.</w:t>
      </w:r>
    </w:p>
    <w:p w14:paraId="32BFBE64" w14:textId="77777777" w:rsidR="000A2A2B" w:rsidRPr="007C3060" w:rsidRDefault="000A2A2B" w:rsidP="007C3060">
      <w:pPr>
        <w:pStyle w:val="b-post"/>
      </w:pPr>
      <w:r w:rsidRPr="007C3060">
        <w:lastRenderedPageBreak/>
        <w:t>Post 22 (Ny) Utgifter ved kjøp av obligasjonsgjeld i Norske tog AS</w:t>
      </w:r>
    </w:p>
    <w:p w14:paraId="00F7D919" w14:textId="77777777" w:rsidR="000A2A2B" w:rsidRPr="007C3060" w:rsidRDefault="000A2A2B" w:rsidP="007C3060">
      <w:r w:rsidRPr="007C3060">
        <w:t xml:space="preserve">Det foreslås å bevilge 7,1 mill. kroner til Samferdselsdepartementets utgifter til ekstern juridisk og finansiell bistand i forbindelse med tilbakekjøp av Norske togs obligasjonsgjeld. Det vises til nærmere omtale under kap. 1358 </w:t>
      </w:r>
      <w:r w:rsidRPr="007C3060">
        <w:rPr>
          <w:rStyle w:val="kursiv"/>
        </w:rPr>
        <w:t>Norske tog AS</w:t>
      </w:r>
      <w:r w:rsidRPr="007C3060">
        <w:t>.</w:t>
      </w:r>
    </w:p>
    <w:p w14:paraId="3F505498" w14:textId="77777777" w:rsidR="000A2A2B" w:rsidRPr="007C3060" w:rsidRDefault="000A2A2B" w:rsidP="007C3060">
      <w:r w:rsidRPr="007C3060">
        <w:t>Det er usikkert hvor mye av Norske togs obligasjonsgjeld staten vil kunne kjøpe tilbake. Utgiftene til den finansielle bistanden vil bestå av et honorar der størrelsen avhenger av hvor mye gjeld som blir kjøpt tilbake. Det foreslås derfor en fullmakt til å overskride bevilgningen på kap. 1300, post 22, med inntil 27,9 mill. kroner, jf. forslag til romertallsvedtak.</w:t>
      </w:r>
    </w:p>
    <w:p w14:paraId="07CA3420" w14:textId="77777777" w:rsidR="000A2A2B" w:rsidRPr="007C3060" w:rsidRDefault="000A2A2B" w:rsidP="007C3060">
      <w:pPr>
        <w:pStyle w:val="b-post"/>
      </w:pPr>
      <w:r w:rsidRPr="007C3060">
        <w:t>Post 90 (Ny) Kjøp av obligasjonsgjeld i Norske tog AS</w:t>
      </w:r>
    </w:p>
    <w:p w14:paraId="733E5396" w14:textId="77777777" w:rsidR="000A2A2B" w:rsidRPr="007C3060" w:rsidRDefault="000A2A2B" w:rsidP="007C3060">
      <w:r w:rsidRPr="007C3060">
        <w:t xml:space="preserve">Det foreslås å bevilge 2 200 mill. kroner til tilbakekjøp av Norske togs obligasjonsgjeld, jf. omtale under kap. 1358 </w:t>
      </w:r>
      <w:r w:rsidRPr="007C3060">
        <w:rPr>
          <w:rStyle w:val="kursiv"/>
        </w:rPr>
        <w:t>Norske tog AS</w:t>
      </w:r>
      <w:r w:rsidRPr="007C3060">
        <w:t>.</w:t>
      </w:r>
    </w:p>
    <w:p w14:paraId="3919A8E3" w14:textId="77777777" w:rsidR="000A2A2B" w:rsidRPr="007C3060" w:rsidRDefault="000A2A2B" w:rsidP="007C3060">
      <w:r w:rsidRPr="007C3060">
        <w:t>Det er usikkert hvor mye av Norske togs obligasjonsgjeld staten vil kunne kjøpe tilbake. For å dekke den resterende obligasjonsgjelden foreslås det derfor en fullmakt til å overskride bevilgningen på kap. 1300, post 90, med inntil 6 750 mill. kroner, jf. forslag til romertallsvedtak.</w:t>
      </w:r>
    </w:p>
    <w:p w14:paraId="2870EEFF" w14:textId="77777777" w:rsidR="000A2A2B" w:rsidRPr="007C3060" w:rsidRDefault="000A2A2B" w:rsidP="007C3060">
      <w:pPr>
        <w:pStyle w:val="b-budkaptit"/>
      </w:pPr>
      <w:r w:rsidRPr="007C3060">
        <w:t>Kap. 1301 Forskning og utvikling mv.</w:t>
      </w:r>
    </w:p>
    <w:p w14:paraId="0F8D8102" w14:textId="77777777" w:rsidR="000A2A2B" w:rsidRPr="007C3060" w:rsidRDefault="000A2A2B" w:rsidP="007C3060">
      <w:pPr>
        <w:pStyle w:val="b-post"/>
      </w:pPr>
      <w:r w:rsidRPr="007C3060">
        <w:t>Post 71 Norges forskningsråd, kan overføres</w:t>
      </w:r>
    </w:p>
    <w:p w14:paraId="429AF16F" w14:textId="77777777" w:rsidR="000A2A2B" w:rsidRPr="007C3060" w:rsidRDefault="000A2A2B" w:rsidP="007C3060">
      <w:r w:rsidRPr="007C3060">
        <w:t>Det foreslås å redusere bevilgningen med 12,3 mill. kroner som følge av lavere anslag for utbetalinger fra Norges forskningsråd i 2025.</w:t>
      </w:r>
    </w:p>
    <w:p w14:paraId="4D2D02A5" w14:textId="77777777" w:rsidR="000A2A2B" w:rsidRPr="007C3060" w:rsidRDefault="000A2A2B" w:rsidP="007C3060">
      <w:pPr>
        <w:pStyle w:val="b-budkaptit"/>
      </w:pPr>
      <w:r w:rsidRPr="007C3060">
        <w:t>Kap. 1315 Tilskudd til Avinor AS</w:t>
      </w:r>
    </w:p>
    <w:p w14:paraId="52CB4D2E" w14:textId="77777777" w:rsidR="000A2A2B" w:rsidRPr="007C3060" w:rsidRDefault="000A2A2B" w:rsidP="007C3060">
      <w:pPr>
        <w:pStyle w:val="b-post"/>
      </w:pPr>
      <w:r w:rsidRPr="007C3060">
        <w:t>Post 71 Tilskudd til pålagte oppgaver, kan overføres</w:t>
      </w:r>
    </w:p>
    <w:p w14:paraId="5C5CC45C" w14:textId="77777777" w:rsidR="000A2A2B" w:rsidRPr="007C3060" w:rsidRDefault="000A2A2B" w:rsidP="007C3060">
      <w:r w:rsidRPr="007C3060">
        <w:t>Bevilgningen foreslås økt med 165,2 mill. kroner for å dekke behov for økt tilskudd til bygging av ny lufthavn i Bodø og ved Mo i Rana. I begge prosjektene planlegges redusert fremdrift fra 2024 delvis hentet inn i 2025. Fremdriften i prosjektene er fortsatt usikker. For ny lufthavn ved Mo i Rana er det avdekket ustabilitet i grunnen der terminalen skal bygges. For flytting av Bodø lufthavn skyldes usikkerheten at entreprisen for terminalbygget er i en fase der planlegging og fastsettelse av kostnader gjennomføres i samspill med entreprenør.</w:t>
      </w:r>
    </w:p>
    <w:p w14:paraId="6DE5F7C7" w14:textId="77777777" w:rsidR="000A2A2B" w:rsidRPr="007C3060" w:rsidRDefault="000A2A2B" w:rsidP="007C3060">
      <w:pPr>
        <w:pStyle w:val="b-budkaptit"/>
      </w:pPr>
      <w:r w:rsidRPr="007C3060">
        <w:t>Kap. 1320 Statens vegvesen</w:t>
      </w:r>
    </w:p>
    <w:p w14:paraId="2A5F7EE3" w14:textId="77777777" w:rsidR="000A2A2B" w:rsidRPr="007C3060" w:rsidRDefault="000A2A2B" w:rsidP="007C3060">
      <w:pPr>
        <w:pStyle w:val="b-post"/>
      </w:pPr>
      <w:r w:rsidRPr="007C3060">
        <w:t>Post 01 Driftsutgifter</w:t>
      </w:r>
    </w:p>
    <w:p w14:paraId="2C938C07" w14:textId="77777777" w:rsidR="000A2A2B" w:rsidRPr="007C3060" w:rsidRDefault="000A2A2B" w:rsidP="007C3060">
      <w:r w:rsidRPr="007C3060">
        <w:t>Det foreslås å redusere bevilgningen med 120 mill. kroner. Statens vegvesen har gjennomført digitaliserings- og utviklingstiltak til en lavere kostnad enn opprinnelig anslått, blant annet ved at etaten har brukt en større andel interne ressurser i stedet for konsulenter.</w:t>
      </w:r>
    </w:p>
    <w:p w14:paraId="336FBFE9" w14:textId="77777777" w:rsidR="000A2A2B" w:rsidRPr="007C3060" w:rsidRDefault="000A2A2B" w:rsidP="007C3060">
      <w:pPr>
        <w:pStyle w:val="b-post"/>
      </w:pPr>
      <w:r w:rsidRPr="007C3060">
        <w:lastRenderedPageBreak/>
        <w:t>Post 22 Drift og vedlikehold av riksveier, kan overføres, kan nyttes under post 29 og post 30</w:t>
      </w:r>
    </w:p>
    <w:p w14:paraId="61221F8A" w14:textId="77777777" w:rsidR="000A2A2B" w:rsidRPr="007C3060" w:rsidRDefault="000A2A2B" w:rsidP="007C3060">
      <w:r w:rsidRPr="007C3060">
        <w:t>Bevilgningen foreslås økt med 306,9 mill. kroner.</w:t>
      </w:r>
    </w:p>
    <w:p w14:paraId="7520DF6D" w14:textId="77777777" w:rsidR="000A2A2B" w:rsidRPr="007C3060" w:rsidRDefault="000A2A2B" w:rsidP="007C3060">
      <w:r w:rsidRPr="007C3060">
        <w:t>For å ta vare på eksisterende veiinfrastruktur er det særlig behov for utbedring av rekkverk, asfalt og elektronisk utstyr langs veiene. Dekkemålinger viser at tilstanden på veidekket varierer mellom landsdeler, og at den er dårligere i Midt- og Nord-Norge enn i resten av landet. Dekkelegging i disse to landsdelene vil derfor bli prioritert. Det er videre behov for å sette i gang konkrete vedlikeholdstiltak spesielt i Midt- og Nord-Norge, noe som også kan bidra til å forbedre militær mobilitet.</w:t>
      </w:r>
    </w:p>
    <w:p w14:paraId="092840D4" w14:textId="77777777" w:rsidR="000A2A2B" w:rsidRPr="007C3060" w:rsidRDefault="000A2A2B" w:rsidP="007C3060">
      <w:r w:rsidRPr="007C3060">
        <w:t>Det er knyttet en fullmakt til posten til å pådra staten forpliktelser utover budsjettåret. Den gjør det mulig å inngå flerårige kontrakter. Det foreslås å øke fullmakten på posten slik at samlet ramme for gamle og nye forpliktelser økes med 620 mill. kroner til 22 200 mill. kroner. Rammen som forfaller hvert år foreslås økt med 220 mill. kroner til 7 770 mill. kroner. Det vises til forslag til romertallsvedtak.</w:t>
      </w:r>
    </w:p>
    <w:p w14:paraId="684BAB9A" w14:textId="77777777" w:rsidR="000A2A2B" w:rsidRPr="007C3060" w:rsidRDefault="000A2A2B" w:rsidP="007C3060">
      <w:pPr>
        <w:pStyle w:val="b-post"/>
      </w:pPr>
      <w:r w:rsidRPr="007C3060">
        <w:t>Post 28 Trafikant- og kjøretøytilsyn, kan overføres</w:t>
      </w:r>
    </w:p>
    <w:p w14:paraId="3A0321B1" w14:textId="77777777" w:rsidR="000A2A2B" w:rsidRPr="007C3060" w:rsidRDefault="000A2A2B" w:rsidP="007C3060">
      <w:r w:rsidRPr="007C3060">
        <w:t>Det foreslås å redusere bevilgningen med 70 mill. kroner. Utgiftene til blant annet konsulenter blir lavere på grunn av gjennomførte tiltak for å erstatte disse med egne ansatte, reduserte lønnsutgifter samt digitaliserings- og utviklingstiltak som er gjennomført til en lavere kostnad enn opprinnelig planlagt. Dette er en innsparing i 2025 som ikke påvirker bevilgningsbehovet i 2026.</w:t>
      </w:r>
    </w:p>
    <w:p w14:paraId="2530489D" w14:textId="77777777" w:rsidR="000A2A2B" w:rsidRPr="007C3060" w:rsidRDefault="000A2A2B" w:rsidP="007C3060">
      <w:pPr>
        <w:pStyle w:val="b-post"/>
      </w:pPr>
      <w:r w:rsidRPr="007C3060">
        <w:t>Post 66 Tilskudd til tryggere skoleveier og nærmiljøer, kan overføres</w:t>
      </w:r>
    </w:p>
    <w:p w14:paraId="485E632F" w14:textId="77777777" w:rsidR="000A2A2B" w:rsidRPr="007C3060" w:rsidRDefault="000A2A2B" w:rsidP="007C3060">
      <w:r w:rsidRPr="007C3060">
        <w:t>Det foreslås ingen bevilgningsendringer på posten, men orienteres om en sak.</w:t>
      </w:r>
    </w:p>
    <w:p w14:paraId="680FEC18" w14:textId="77777777" w:rsidR="000A2A2B" w:rsidRPr="007C3060" w:rsidRDefault="000A2A2B" w:rsidP="007C3060">
      <w:pPr>
        <w:pStyle w:val="avsnitt-undertittel"/>
      </w:pPr>
      <w:r w:rsidRPr="007C3060">
        <w:t>Orientering om justering av administrativ innretning av tilskuddet til tryggere skoleveier og nærmiljøer</w:t>
      </w:r>
    </w:p>
    <w:p w14:paraId="45E155BF" w14:textId="77777777" w:rsidR="000A2A2B" w:rsidRPr="007C3060" w:rsidRDefault="000A2A2B" w:rsidP="007C3060">
      <w:r w:rsidRPr="007C3060">
        <w:t xml:space="preserve">I </w:t>
      </w:r>
      <w:proofErr w:type="spellStart"/>
      <w:r w:rsidRPr="007C3060">
        <w:t>Prop</w:t>
      </w:r>
      <w:proofErr w:type="spellEnd"/>
      <w:r w:rsidRPr="007C3060">
        <w:t xml:space="preserve">. 1 S (2024–2025) for Samferdselsdepartementet fremgår det at tilskuddet utbetales til fylkeskommuner, uavhengig av om endelig tilskuddsmottaker er kommune eller fylkeskommune. Av hensyn til effektiv og hensiktsmessig gjennomføring i 2025 har Samferdselsdepartementet åpnet for at Statens vegvesen i 2025 utbetaler tilskudd direkte til både </w:t>
      </w:r>
      <w:r w:rsidRPr="007C3060">
        <w:rPr>
          <w:rStyle w:val="kursiv"/>
        </w:rPr>
        <w:t>fylkeskommuner og kommuner</w:t>
      </w:r>
      <w:r w:rsidRPr="007C3060">
        <w:t>. Det innebærer at Statens vegvesen skal forholde seg til både fylkeskommuner og kommuner ved innhenting av dokumentasjon og utbetaling av tilskudd. Med endringen unngår -fylkeskommunene krevende ekstraarbeid som -mellomledd for kommunale tiltak.</w:t>
      </w:r>
    </w:p>
    <w:p w14:paraId="70A351FB" w14:textId="77777777" w:rsidR="000A2A2B" w:rsidRPr="007C3060" w:rsidRDefault="000A2A2B" w:rsidP="007C3060">
      <w:pPr>
        <w:pStyle w:val="b-post"/>
      </w:pPr>
      <w:r w:rsidRPr="007C3060">
        <w:t>Post 72 Tilskudd til riksveiferjedriften, kan overføres</w:t>
      </w:r>
    </w:p>
    <w:p w14:paraId="448D02F8" w14:textId="77777777" w:rsidR="000A2A2B" w:rsidRPr="007C3060" w:rsidRDefault="000A2A2B" w:rsidP="007C3060">
      <w:r w:rsidRPr="007C3060">
        <w:t>Bevilgningen foreslås økt med 60 mill. kroner.</w:t>
      </w:r>
    </w:p>
    <w:p w14:paraId="70B7B670" w14:textId="77777777" w:rsidR="000A2A2B" w:rsidRPr="007C3060" w:rsidRDefault="000A2A2B" w:rsidP="007C3060">
      <w:r w:rsidRPr="007C3060">
        <w:t>Det har pågått en rettstvist om kompensasjon til ferjerederiene for CO</w:t>
      </w:r>
      <w:r w:rsidRPr="007C3060">
        <w:rPr>
          <w:rStyle w:val="skrift-senket"/>
        </w:rPr>
        <w:t>2</w:t>
      </w:r>
      <w:r w:rsidRPr="007C3060">
        <w:t xml:space="preserve">-avgift for flytende naturgass (LNG) i riksveiferjedriften, jf. omtale i </w:t>
      </w:r>
      <w:proofErr w:type="spellStart"/>
      <w:r w:rsidRPr="007C3060">
        <w:t>Prop</w:t>
      </w:r>
      <w:proofErr w:type="spellEnd"/>
      <w:r w:rsidRPr="007C3060">
        <w:t xml:space="preserve">. 20 S (2024–2025) </w:t>
      </w:r>
      <w:proofErr w:type="spellStart"/>
      <w:r w:rsidRPr="007C3060">
        <w:rPr>
          <w:rStyle w:val="kursiv"/>
        </w:rPr>
        <w:t>Endringar</w:t>
      </w:r>
      <w:proofErr w:type="spellEnd"/>
      <w:r w:rsidRPr="007C3060">
        <w:rPr>
          <w:rStyle w:val="kursiv"/>
        </w:rPr>
        <w:t xml:space="preserve"> i statsbudsjettet 2024 under Samferdselsdepartementet</w:t>
      </w:r>
      <w:r w:rsidRPr="007C3060">
        <w:t xml:space="preserve">. Høyesteretts ankeutvalg besluttet 17. januar 2025 </w:t>
      </w:r>
      <w:r w:rsidRPr="007C3060">
        <w:lastRenderedPageBreak/>
        <w:t>å avvise statens anke i saken, og lagmannsrettens dom av 26. september 2024 er dermed rettskraftig. Dommen innebærer økt kompensasjon til ferjerederiene Fjord1 AS og Torghatten AS på til sammen 310,5 mill. kroner for perioden 2018–2024. Videre innebærer prinsippene fra dommen også økt kompensasjonsnivå i 2025. Beregnet merbehov i 2025 som følge av dommen er til sammen 323 mill. kroner.</w:t>
      </w:r>
    </w:p>
    <w:p w14:paraId="52DED86E" w14:textId="77777777" w:rsidR="000A2A2B" w:rsidRPr="007C3060" w:rsidRDefault="000A2A2B" w:rsidP="007C3060">
      <w:r w:rsidRPr="007C3060">
        <w:t>Flere mindre andre forhold medfører et redusert behov som er anslått til 263 mill. kroner. Blant annet ble det i budsjettet for 2025 tatt høyde for signering av ny kontrakt for driften av E39 Mortavika–Arsvågen med en delutbetaling i 2025. Statens vegvesen vurderer det nå som lite sannsynlig at en eventuell kontraktsinngåelse medfører økte kostnader i 2025. I tillegg vil lavere kompensasjonsnivå på riksvei 85 Bognes–Lødingen og lavere sanksjonsnivå for avvik på riksvei 13 Hjelmeland–Nesvik–Skipavik bidra til lavere behov.</w:t>
      </w:r>
    </w:p>
    <w:p w14:paraId="4A21C39C" w14:textId="77777777" w:rsidR="000A2A2B" w:rsidRPr="007C3060" w:rsidRDefault="000A2A2B" w:rsidP="007C3060">
      <w:r w:rsidRPr="007C3060">
        <w:t>Dommen i saken om CO</w:t>
      </w:r>
      <w:r w:rsidRPr="007C3060">
        <w:rPr>
          <w:rStyle w:val="skrift-senket"/>
        </w:rPr>
        <w:t>2</w:t>
      </w:r>
      <w:r w:rsidRPr="007C3060">
        <w:t xml:space="preserve">-avgift for flytende naturgass (LNG) øker statens forpliktelser i kommende budsjettår. Dagens kontrakt for drift av -ferjesambandet E39 Mortavika–Arsvågen i Rogaland løper ut ved årsslutt i 2025, og Statens vegvesen jobber for å sørge for videre drift av sambandet frem til E39 </w:t>
      </w:r>
      <w:proofErr w:type="spellStart"/>
      <w:r w:rsidRPr="007C3060">
        <w:t>Rogfast</w:t>
      </w:r>
      <w:proofErr w:type="spellEnd"/>
      <w:r w:rsidRPr="007C3060">
        <w:t xml:space="preserve"> åpner for trafikk. Det foreslås derfor å øke fullmakten til å pådra forpliktelser for riksveiferjedriften ut over budsjettåret for rammen for forpliktelser som forfaller hvert år med 400 mill. kroner til 4 000 mill. kroner, jf. forslag til romertallsvedtak.</w:t>
      </w:r>
    </w:p>
    <w:p w14:paraId="0C5A14BC" w14:textId="77777777" w:rsidR="000A2A2B" w:rsidRPr="007C3060" w:rsidRDefault="000A2A2B" w:rsidP="007C3060">
      <w:pPr>
        <w:pStyle w:val="b-budkaptit"/>
      </w:pPr>
      <w:r w:rsidRPr="007C3060">
        <w:t>Kap. 1332 Transport i byområder mv.</w:t>
      </w:r>
    </w:p>
    <w:p w14:paraId="76DA3AB3" w14:textId="77777777" w:rsidR="000A2A2B" w:rsidRPr="007C3060" w:rsidRDefault="000A2A2B" w:rsidP="007C3060">
      <w:pPr>
        <w:pStyle w:val="b-post"/>
      </w:pPr>
      <w:r w:rsidRPr="007C3060">
        <w:t>Post 63 Særskilt tilskudd til store kollektivprosjekter, kan overføres</w:t>
      </w:r>
    </w:p>
    <w:p w14:paraId="2D0ACD07" w14:textId="77777777" w:rsidR="000A2A2B" w:rsidRPr="007C3060" w:rsidRDefault="000A2A2B" w:rsidP="007C3060">
      <w:r w:rsidRPr="007C3060">
        <w:t>Det foreslås å redusere bevilgningen med 330 mill. kroner.</w:t>
      </w:r>
    </w:p>
    <w:p w14:paraId="126863E1" w14:textId="77777777" w:rsidR="000A2A2B" w:rsidRPr="007C3060" w:rsidRDefault="000A2A2B" w:rsidP="007C3060">
      <w:r w:rsidRPr="007C3060">
        <w:t>Anleggsarbeidene for Fornebubanen i Oslo og Akershus og Bussveien på Nord-Jæren er forsinket, og for Metrobuss i Trondheim blir blant annet to delprosjekter ikke startet opp som planlagt i 2025. Dette reduserer behovet for statlige midler i 2025 med henholdsvis 100 mill. kroner, 120 mill. kroner og 110 mill. kroner.</w:t>
      </w:r>
    </w:p>
    <w:p w14:paraId="49CC7C83" w14:textId="77777777" w:rsidR="000A2A2B" w:rsidRPr="007C3060" w:rsidRDefault="000A2A2B" w:rsidP="007C3060">
      <w:pPr>
        <w:pStyle w:val="b-budkaptit"/>
      </w:pPr>
      <w:r w:rsidRPr="007C3060">
        <w:t>Kap. 1352 Jernbanedirektoratet</w:t>
      </w:r>
    </w:p>
    <w:p w14:paraId="44D19C42" w14:textId="3E9E043E" w:rsidR="000A2A2B" w:rsidRPr="007C3060" w:rsidRDefault="000A2A2B" w:rsidP="007C3060">
      <w:pPr>
        <w:pStyle w:val="b-post"/>
      </w:pPr>
      <w:r w:rsidRPr="007C3060">
        <w:t>Post 70 Kjøp av persontransport med tog, kan overføres, kan nyttes under post 71</w:t>
      </w:r>
    </w:p>
    <w:p w14:paraId="386474AE" w14:textId="77777777" w:rsidR="000A2A2B" w:rsidRPr="007C3060" w:rsidRDefault="000A2A2B" w:rsidP="007C3060">
      <w:r w:rsidRPr="007C3060">
        <w:t>Det foreslås å redusere bevilgningen med 314,5 mill. kroner.</w:t>
      </w:r>
    </w:p>
    <w:p w14:paraId="00DD15D9" w14:textId="77777777" w:rsidR="000A2A2B" w:rsidRPr="007C3060" w:rsidRDefault="000A2A2B" w:rsidP="007C3060">
      <w:r w:rsidRPr="007C3060">
        <w:t>Togoperatører betaler Bane NOR SF for tjenestene de bruker under sportilgangsavtalene. Ved endringer i avgiftene justeres statens vederlag til persontogselskapene og Bane NOR gjennom bevilgningen på henholdsvis kap. 1352, postene 70 og 71. Reduksjonen på post 70 gjelder blant annet lavere anslag for infrastrukturavgifter fra togoperatører fordi Statens jernbanetilsyn har pålagt Bane NOR SF å stanse innkrevingen av påslag på avgiftene. Det vises til omtale under post 71.</w:t>
      </w:r>
    </w:p>
    <w:p w14:paraId="3C9BE91E" w14:textId="77777777" w:rsidR="000A2A2B" w:rsidRPr="007C3060" w:rsidRDefault="000A2A2B" w:rsidP="007C3060">
      <w:pPr>
        <w:pStyle w:val="b-post"/>
      </w:pPr>
      <w:r w:rsidRPr="007C3060">
        <w:lastRenderedPageBreak/>
        <w:t>Post 71 Kjøp av infrastrukturtjenester – drift og vedlikehold, kan nyttes under post 70</w:t>
      </w:r>
    </w:p>
    <w:p w14:paraId="444B0216" w14:textId="77777777" w:rsidR="000A2A2B" w:rsidRPr="007C3060" w:rsidRDefault="000A2A2B" w:rsidP="007C3060">
      <w:r w:rsidRPr="007C3060">
        <w:t>Det foreslås å øke bevilgningen med 300 mill. kroner. Økningen er knyttet til at Bane NORs inntekter fra infrastrukturavgifter i 2025 reduseres, sammenlignet med det som ble lagt til grunn for statsbudsjettet 2025, jf. omtale under kap. 1352, post 70.</w:t>
      </w:r>
    </w:p>
    <w:p w14:paraId="0C9BD14C" w14:textId="77777777" w:rsidR="000A2A2B" w:rsidRPr="007C3060" w:rsidRDefault="000A2A2B" w:rsidP="007C3060">
      <w:r w:rsidRPr="007C3060">
        <w:t xml:space="preserve">Samferdselsdepartementet er i dialog med Jernbanedirektoratet og Bane NOR om å vurdere </w:t>
      </w:r>
      <w:proofErr w:type="spellStart"/>
      <w:r w:rsidRPr="007C3060">
        <w:t>eveventuelle</w:t>
      </w:r>
      <w:proofErr w:type="spellEnd"/>
      <w:r w:rsidRPr="007C3060">
        <w:t xml:space="preserve"> endringer i ytelsesordningen. Ordningen innebærer at forstyrrelser i togtrafikken utløser økonomiske reaksjoner, enten fra infrastrukturforvalter (Bane NOR) eller fra togoperatørene, avhengig av hvem/hva som er årsak til forstyrrelsen. Formålet med eventuelle endringer er å gi sterkere insentiver til økt driftsstabilitet, og dermed redusere togoperatørenes tap ved stengt infrastruktur, for eksempel gjennom å øke satsene for kompensasjon. Eventuelle endringer dekkes innenfor bevilgningen på posten.</w:t>
      </w:r>
    </w:p>
    <w:p w14:paraId="50B91924" w14:textId="77777777" w:rsidR="000A2A2B" w:rsidRPr="007C3060" w:rsidRDefault="000A2A2B" w:rsidP="007C3060">
      <w:pPr>
        <w:pStyle w:val="b-post"/>
      </w:pPr>
      <w:r w:rsidRPr="007C3060">
        <w:t>Post 72 Kjøp av infrastrukturtjenester – fornying og mindre investeringer</w:t>
      </w:r>
    </w:p>
    <w:p w14:paraId="68064D52" w14:textId="77777777" w:rsidR="000A2A2B" w:rsidRPr="007C3060" w:rsidRDefault="000A2A2B" w:rsidP="007C3060">
      <w:r w:rsidRPr="007C3060">
        <w:t xml:space="preserve">Det foreslås å øke bevilgningen med 66,8 mill. kroner for å øke innsatsen på fornying og mindre investeringstiltak på jernbanen. Forslaget skal bidra til økt fornying, og dermed bedre driftsstabilitet og sikkerhet, </w:t>
      </w:r>
      <w:proofErr w:type="spellStart"/>
      <w:r w:rsidRPr="007C3060">
        <w:t>hovedsaklig</w:t>
      </w:r>
      <w:proofErr w:type="spellEnd"/>
      <w:r w:rsidRPr="007C3060">
        <w:t xml:space="preserve"> på Nordlands-banen. Aktuelle tiltak er blant annet ras- og skred-sikring, fyllingsstabilisering, skinnesliping, utskifting av </w:t>
      </w:r>
      <w:proofErr w:type="spellStart"/>
      <w:r w:rsidRPr="007C3060">
        <w:t>baliser</w:t>
      </w:r>
      <w:proofErr w:type="spellEnd"/>
      <w:r w:rsidRPr="007C3060">
        <w:t xml:space="preserve"> og drenering.</w:t>
      </w:r>
    </w:p>
    <w:p w14:paraId="54D13B6C" w14:textId="77777777" w:rsidR="000A2A2B" w:rsidRPr="007C3060" w:rsidRDefault="000A2A2B" w:rsidP="007C3060">
      <w:pPr>
        <w:pStyle w:val="b-post"/>
      </w:pPr>
      <w:r w:rsidRPr="007C3060">
        <w:t>Post 73 Kjøp av infrastrukturtjenester – investeringer, kan nyttes under post 74</w:t>
      </w:r>
    </w:p>
    <w:p w14:paraId="79E18901" w14:textId="77777777" w:rsidR="000A2A2B" w:rsidRPr="007C3060" w:rsidRDefault="000A2A2B" w:rsidP="007C3060">
      <w:r w:rsidRPr="007C3060">
        <w:t>Det foreslås ingen bevilgningsendringer på posten, men det orienteres om to saker.</w:t>
      </w:r>
    </w:p>
    <w:p w14:paraId="5C51E558" w14:textId="77777777" w:rsidR="000A2A2B" w:rsidRPr="007C3060" w:rsidRDefault="000A2A2B" w:rsidP="007C3060">
      <w:pPr>
        <w:pStyle w:val="avsnitt-undertittel"/>
      </w:pPr>
      <w:r w:rsidRPr="007C3060">
        <w:t>Likviditetstilførsel til Bane NOR SF</w:t>
      </w:r>
    </w:p>
    <w:p w14:paraId="4CD85615" w14:textId="77777777" w:rsidR="000A2A2B" w:rsidRPr="007C3060" w:rsidRDefault="000A2A2B" w:rsidP="007C3060">
      <w:r w:rsidRPr="007C3060">
        <w:t xml:space="preserve">I tråd med omtale i </w:t>
      </w:r>
      <w:proofErr w:type="spellStart"/>
      <w:r w:rsidRPr="007C3060">
        <w:t>Prop</w:t>
      </w:r>
      <w:proofErr w:type="spellEnd"/>
      <w:r w:rsidRPr="007C3060">
        <w:t>. 1 S (2024–2025) for Samferdselsdepartementet kan bevilgningen på post 73, også brukes til drift og vedlikehold (post 71) og fornying og investeringer (post 72) når dette vurderes å gi best måloppnåelse.</w:t>
      </w:r>
    </w:p>
    <w:p w14:paraId="226B39CC" w14:textId="77777777" w:rsidR="000A2A2B" w:rsidRPr="007C3060" w:rsidRDefault="000A2A2B" w:rsidP="007C3060">
      <w:r w:rsidRPr="007C3060">
        <w:t>I 2025 planlegger Bane NOR å bruke 228 mill. kroner av likviditetstilførselen over post 73 til å opprettholde og intensivere planlagt vedlikehold og fornying av jernbanen. Det vises til omtale under post 70 om at Bane NORs inntekter fra kjøre-</w:t>
      </w:r>
      <w:proofErr w:type="spellStart"/>
      <w:r w:rsidRPr="007C3060">
        <w:t>veisavgifter</w:t>
      </w:r>
      <w:proofErr w:type="spellEnd"/>
      <w:r w:rsidRPr="007C3060">
        <w:t xml:space="preserve"> reduseres i 2025, og at statens vederlag til Bane NOR justeres tilsvarende over, post 71. I tillegg vil Bane NOR tape inntekter knyttet til kommersiell togtrafikk. Gjennom bruk av likviditetstilførselen over post 73 unngås det at dette inntektsbortfallet får konsekvenser for vedlikeholdsinnsatsen på jernbanen i 2025.</w:t>
      </w:r>
    </w:p>
    <w:p w14:paraId="06951C9B" w14:textId="77777777" w:rsidR="000A2A2B" w:rsidRPr="007C3060" w:rsidRDefault="000A2A2B" w:rsidP="007C3060">
      <w:r w:rsidRPr="007C3060">
        <w:t>Prognosen for investeringer i jernbanen er om lag 10,9 mrd. kroner i 2025, av en bevilgning på 11,1 mrd. kroner. Bane NORs produksjonsgjeld til staten ved inngangen til 2025 var om lag 6,5 mrd. kroner. Som følge av at om lag 0,2 mrd. kroner av likviditetstilførselen til investeringer, planlegges brukt til vedlikehold og fornying, anslås produksjonsgjelden å være på samme nivå ved utgangen av 2025. Produksjonsgjelden er differansen mellom likviditetstilførselen fra staten til foretaket og faktisk gjennomført produksjon.</w:t>
      </w:r>
    </w:p>
    <w:p w14:paraId="21772374" w14:textId="77777777" w:rsidR="000A2A2B" w:rsidRPr="007C3060" w:rsidRDefault="000A2A2B" w:rsidP="007C3060">
      <w:pPr>
        <w:pStyle w:val="avsnitt-undertittel"/>
      </w:pPr>
      <w:r w:rsidRPr="007C3060">
        <w:lastRenderedPageBreak/>
        <w:t>Status for innføring av nytt signalsystem (ERTMS)</w:t>
      </w:r>
    </w:p>
    <w:p w14:paraId="7297D501" w14:textId="77777777" w:rsidR="000A2A2B" w:rsidRPr="007C3060" w:rsidRDefault="000A2A2B" w:rsidP="007C3060">
      <w:r w:rsidRPr="007C3060">
        <w:t xml:space="preserve">Et nytt moderne signalsystem på jernbanen (ERTMS) vil gi en mer driftsstabil, sikker og </w:t>
      </w:r>
      <w:proofErr w:type="gramStart"/>
      <w:r w:rsidRPr="007C3060">
        <w:t>robust</w:t>
      </w:r>
      <w:proofErr w:type="gramEnd"/>
      <w:r w:rsidRPr="007C3060">
        <w:t xml:space="preserve"> jernbane. Innføringen av ERTMS er kompleks med mange avhengigheter og omfatter investeringer i infrastrukturen, ombygging av tog og utvikling av ny programvare parallelt. I desember 2024 ble ERTMS tatt i bruk på strekningen Roa–Gjøvik på Gjøvikbanen.</w:t>
      </w:r>
    </w:p>
    <w:p w14:paraId="45D38C96" w14:textId="77777777" w:rsidR="000A2A2B" w:rsidRPr="007C3060" w:rsidRDefault="000A2A2B" w:rsidP="007C3060">
      <w:r w:rsidRPr="007C3060">
        <w:t xml:space="preserve">Utrullingen av ERTMS er forsinket sammenlignet med opprinnelig plan. For å få bedre kontroll på risikoen i prosjektet var det behov for å gå gjennom hele ERTMS-programmet på nytt. Det vises til omtale i </w:t>
      </w:r>
      <w:proofErr w:type="spellStart"/>
      <w:r w:rsidRPr="007C3060">
        <w:t>Prop</w:t>
      </w:r>
      <w:proofErr w:type="spellEnd"/>
      <w:r w:rsidRPr="007C3060">
        <w:t>. 1 S (2024–2025) for Samferdselsdepartementet. Bane NOR lager nå en ny plan for utrullingen av ERTMS – Nasjonal signalplan. Denne ble ikke ferdig innen utgangen av 2024 som planlagt, men skal nå være ferdig sommeren 2025. Den nye planen skal blant annet gi bedre oversikt over sammenhengen mellom utrullingen av ERTMS og nye tilbudsforbedringer samt redusere avhengighetene mellom disse. Det har også vært et mål å begrense de negative økonomiske konsekvensene og opprettholde dagens togtilbud under utrullingen av ERTMS. Det er fortsatt risiko knyttet til fremdrift og kostnader i prosjektet. Ny plan innebærer endringer for innføring av enkelte tilbudsforbedringer sammenlignet med tidligere planer. Vestfoldbanen er neste strekning som får ERTMS, med planlagt åpning av ny infrastruktur høsten 2026 og tilbudsforbedring fra desember 2026.</w:t>
      </w:r>
    </w:p>
    <w:p w14:paraId="5FC52ED5" w14:textId="77777777" w:rsidR="000A2A2B" w:rsidRPr="007C3060" w:rsidRDefault="000A2A2B" w:rsidP="007C3060">
      <w:pPr>
        <w:pStyle w:val="b-post"/>
      </w:pPr>
      <w:r w:rsidRPr="007C3060">
        <w:t>Post 74 Tilskudd til togmateriell mv., kan overføres</w:t>
      </w:r>
    </w:p>
    <w:p w14:paraId="2AA28124" w14:textId="77777777" w:rsidR="000A2A2B" w:rsidRPr="007C3060" w:rsidRDefault="000A2A2B" w:rsidP="007C3060">
      <w:r w:rsidRPr="007C3060">
        <w:t>Det foreslås å redusere bevilgningen med 110,5 mill. kroner.</w:t>
      </w:r>
    </w:p>
    <w:p w14:paraId="3740FACD" w14:textId="77777777" w:rsidR="000A2A2B" w:rsidRPr="007C3060" w:rsidRDefault="000A2A2B" w:rsidP="007C3060">
      <w:r w:rsidRPr="007C3060">
        <w:t>Bevilgningen dekker tilskudd til Norske tog AS for halvparten av ombyggingskostnadene av ERTMS-utstyr ombord på togene selskapet eier. På grunn av forsinkelser i ERTMS-prosjektet er budsjettbehovet i 2025 lavere enn tidligere lagt til grunn. Det vises til omtale av status for innføring av nytt signalsystem (ERTMS) under kap. 1352, post 73.</w:t>
      </w:r>
    </w:p>
    <w:p w14:paraId="52E25134" w14:textId="77777777" w:rsidR="000A2A2B" w:rsidRPr="007C3060" w:rsidRDefault="000A2A2B" w:rsidP="007C3060">
      <w:pPr>
        <w:pStyle w:val="b-post"/>
      </w:pPr>
      <w:r w:rsidRPr="007C3060">
        <w:t>Post 75 Tilskudd til godsoverføring fra vei til jernbane</w:t>
      </w:r>
    </w:p>
    <w:p w14:paraId="4F5223B6" w14:textId="77777777" w:rsidR="000A2A2B" w:rsidRPr="007C3060" w:rsidRDefault="000A2A2B" w:rsidP="007C3060">
      <w:r w:rsidRPr="007C3060">
        <w:t>Det foreslås å øke bevilgningen med 30 mill. kroner. Forslaget legger til rette for å øke støtten til godsoverføring fra vei til bane, gjennom en økning av støttesatsene for både diesel- og elektriske lokomotiver.</w:t>
      </w:r>
    </w:p>
    <w:p w14:paraId="1D30E592" w14:textId="77777777" w:rsidR="000A2A2B" w:rsidRPr="007C3060" w:rsidRDefault="000A2A2B" w:rsidP="007C3060">
      <w:r w:rsidRPr="007C3060">
        <w:t>Tilskuddsordningen er innrettet mot transportformene kombitransport og vognlast, der konkurransen mot veitransport er sterkest. Tilskudd utbetales basert på netto tonnkilometer gods kjørt på bane. Støttesatsene for diesel og elektriske lokomotiver er innrettet slik at driftsformene med lavest påvirkning på miljøet får høyest sats i tilskuddsordningen (elektrisk drift). Når moderne diesellokomotiver fases inn, reduseres miljøulempen ved dieseldrift. Det har skjedd en betydelig utskiftning av gammelt dieselmateriell siden opprinnelig sats ble fastsatt, noe som tilsier å øke støttesatsen også for diesellokomotiver.</w:t>
      </w:r>
    </w:p>
    <w:p w14:paraId="77E3CD74" w14:textId="77777777" w:rsidR="000A2A2B" w:rsidRPr="007C3060" w:rsidRDefault="000A2A2B" w:rsidP="007C3060">
      <w:pPr>
        <w:pStyle w:val="b-post"/>
      </w:pPr>
      <w:r w:rsidRPr="007C3060">
        <w:t>Post 77 (Ny) Kompensasjon til godstogselskaper etter uforutsette hendelser</w:t>
      </w:r>
    </w:p>
    <w:p w14:paraId="794DDCEA" w14:textId="77777777" w:rsidR="000A2A2B" w:rsidRPr="007C3060" w:rsidRDefault="000A2A2B" w:rsidP="007C3060">
      <w:r w:rsidRPr="007C3060">
        <w:t xml:space="preserve">Det foreslås å bevilge 70 mill. kroner for å kompensere godstogselskaper for tapte inntekter etter at Dovrebanen ble stengt for gjennomgående togtrafikk 21. januar 2025. Otta bru ble stengt </w:t>
      </w:r>
      <w:r w:rsidRPr="007C3060">
        <w:lastRenderedPageBreak/>
        <w:t>på grunn av opphoping av is og høy vannstand i elveløpet, som førte til at vannet gravde seg inn i elvebredden, og det ble registrert bevegelser i brua. Bane NOR SF satte raskt i verk avbøtende tiltak som begrenset skadeomfanget. Deretter ble brua reparert og landkaret justert. Dovrebanen ble gjenåpnet for gjennomgående trafikk 4. april 2025.</w:t>
      </w:r>
    </w:p>
    <w:p w14:paraId="3B20EDED" w14:textId="77777777" w:rsidR="000A2A2B" w:rsidRPr="007C3060" w:rsidRDefault="000A2A2B" w:rsidP="007C3060">
      <w:r w:rsidRPr="007C3060">
        <w:t>Stengingen medførte tap for aktører som frakter gods på jernbane. Godstransporten fra Oslo til Trondheim og videre til Bodø, og fra Oslo til Åndalsnes var i perioden i stor grad stanset.</w:t>
      </w:r>
    </w:p>
    <w:p w14:paraId="79546CBE" w14:textId="77777777" w:rsidR="000A2A2B" w:rsidRPr="007C3060" w:rsidRDefault="000A2A2B" w:rsidP="007C3060">
      <w:r w:rsidRPr="007C3060">
        <w:t>Regjeringen ønsker å legge til rette for vekst i godstransport på jernbane, da det er mer miljøvennlig og bidrar til økt trafikksikkerhet, sammenlignet med å frakte gods på vei. Det foreslås derfor en midlertidig støtteordning rettet mot de berørte godsselskapene for å kompensere dem for tap av inntekter ved stengingen av Otta bru. Ordningen må godkjennes av ESA før støtte kan utbetales.</w:t>
      </w:r>
    </w:p>
    <w:p w14:paraId="36DCB873" w14:textId="77777777" w:rsidR="000A2A2B" w:rsidRPr="007C3060" w:rsidRDefault="000A2A2B" w:rsidP="007C3060">
      <w:r w:rsidRPr="007C3060">
        <w:t>Regjeringen følger situasjonen for godstogselskapene og vil vurdere ytterligere tiltak dersom situasjonen tilsier det. Det vises til omtale på kap. 1352, post 71 av arbeidet med å vurdere endringer i ytelsesordningen, og forslag på kap. 1352, post 75 om å øke støttesatsen for gods kjørt på jernbane.</w:t>
      </w:r>
    </w:p>
    <w:p w14:paraId="4C9CDE55" w14:textId="77777777" w:rsidR="000A2A2B" w:rsidRPr="007C3060" w:rsidRDefault="000A2A2B" w:rsidP="007C3060">
      <w:pPr>
        <w:pStyle w:val="b-budkaptit"/>
      </w:pPr>
      <w:r w:rsidRPr="007C3060">
        <w:t xml:space="preserve">Kap. 1353 </w:t>
      </w:r>
      <w:proofErr w:type="spellStart"/>
      <w:r w:rsidRPr="007C3060">
        <w:t>Vygruppen</w:t>
      </w:r>
      <w:proofErr w:type="spellEnd"/>
      <w:r w:rsidRPr="007C3060">
        <w:t xml:space="preserve"> AS</w:t>
      </w:r>
    </w:p>
    <w:p w14:paraId="390A3274" w14:textId="77777777" w:rsidR="000A2A2B" w:rsidRPr="007C3060" w:rsidRDefault="000A2A2B" w:rsidP="007C3060">
      <w:pPr>
        <w:pStyle w:val="b-post"/>
      </w:pPr>
      <w:r w:rsidRPr="007C3060">
        <w:t>Post 96 (Ny) Aksjer</w:t>
      </w:r>
    </w:p>
    <w:p w14:paraId="573E623B" w14:textId="77777777" w:rsidR="000A2A2B" w:rsidRPr="007C3060" w:rsidRDefault="000A2A2B" w:rsidP="007C3060">
      <w:r w:rsidRPr="007C3060">
        <w:t xml:space="preserve">Det foreslås å bevilge 617,9 mill. kroner i forbindelse med at eierskapet til Flytoget AS (Flytoget) er overført fra staten ved Samferdselsdepartementet til </w:t>
      </w:r>
      <w:proofErr w:type="spellStart"/>
      <w:r w:rsidRPr="007C3060">
        <w:t>Vygruppen</w:t>
      </w:r>
      <w:proofErr w:type="spellEnd"/>
      <w:r w:rsidRPr="007C3060">
        <w:t xml:space="preserve"> AS (Vy).</w:t>
      </w:r>
    </w:p>
    <w:p w14:paraId="0F4B6653" w14:textId="4D7BCEB4" w:rsidR="000A2A2B" w:rsidRPr="007C3060" w:rsidRDefault="000A2A2B" w:rsidP="007C3060">
      <w:r w:rsidRPr="007C3060">
        <w:t>Forvaltningen av statens eierskap i Flytoget ble 1. juli 2024 overført fra Nærings- og fiskeridepartementet til Samferdselsdepartementet. Tilbringertjenesten til/fra Oslo lufthavn, Gardermoen, blir en del av ordinære togtilbudet senest fra 2028. For å legge til rette for en god oppstart av det nye rutetilbudet ble eierskapet til Flytoget overført fra Samferdselsdepartementet til Vy 31. mars 2025. Flytoget er nå et datterselskap av Vy. Selskapets togmateriell ble overført til Norske tog AS før Vy og Flytoget ble slått sammen, jf. omtale under kap. 1358, post 96.</w:t>
      </w:r>
    </w:p>
    <w:p w14:paraId="5AA13F6A" w14:textId="77777777" w:rsidR="000A2A2B" w:rsidRPr="007C3060" w:rsidRDefault="000A2A2B" w:rsidP="007C3060">
      <w:r w:rsidRPr="007C3060">
        <w:t xml:space="preserve">Statens innskutte kapital i Flytoget var på 970 mill. kroner (historisk kost) som fordeles mellom Vy og Norske tog ved </w:t>
      </w:r>
      <w:proofErr w:type="spellStart"/>
      <w:r w:rsidRPr="007C3060">
        <w:t>tingsinnskudd</w:t>
      </w:r>
      <w:proofErr w:type="spellEnd"/>
      <w:r w:rsidRPr="007C3060">
        <w:t xml:space="preserve">. Med utgangspunkt i verdsettelsen av Flytoget er det anslått at materiellet utgjør 36,3 pst. av verdien i selskapet, og at restverdien i selskapet utgjør 63,7 pst. Det innebærer at Norske tog og Vy tilføres teknisk henholdsvis 352,1 mill. kroner og 617,9 mill. kroner gjennom </w:t>
      </w:r>
      <w:proofErr w:type="spellStart"/>
      <w:r w:rsidRPr="007C3060">
        <w:t>tingsinnskudd</w:t>
      </w:r>
      <w:proofErr w:type="spellEnd"/>
      <w:r w:rsidRPr="007C3060">
        <w:t xml:space="preserve"> av aksjer. Transaksjonene innebærer at aksjekapitalen i Flytoget blir 0, jf. omtale under kap. 4355, post 96.</w:t>
      </w:r>
    </w:p>
    <w:p w14:paraId="770AA75C" w14:textId="77777777" w:rsidR="000A2A2B" w:rsidRPr="007C3060" w:rsidRDefault="000A2A2B" w:rsidP="007C3060">
      <w:pPr>
        <w:pStyle w:val="b-budkaptit"/>
      </w:pPr>
      <w:r w:rsidRPr="007C3060">
        <w:t>Kap. 1358 Norske tog AS</w:t>
      </w:r>
    </w:p>
    <w:p w14:paraId="6EC37D2A" w14:textId="77777777" w:rsidR="000A2A2B" w:rsidRPr="007C3060" w:rsidRDefault="000A2A2B" w:rsidP="007C3060">
      <w:pPr>
        <w:pStyle w:val="b-post"/>
      </w:pPr>
      <w:r w:rsidRPr="007C3060">
        <w:t>Ny finansieringsmodell</w:t>
      </w:r>
    </w:p>
    <w:p w14:paraId="5CA5A121" w14:textId="77777777" w:rsidR="000A2A2B" w:rsidRPr="007C3060" w:rsidRDefault="000A2A2B" w:rsidP="007C3060">
      <w:r w:rsidRPr="007C3060">
        <w:t xml:space="preserve">I </w:t>
      </w:r>
      <w:proofErr w:type="spellStart"/>
      <w:r w:rsidRPr="007C3060">
        <w:t>Prop</w:t>
      </w:r>
      <w:proofErr w:type="spellEnd"/>
      <w:r w:rsidRPr="007C3060">
        <w:t xml:space="preserve">. 1 S (2024–2025) for Samferdselsdepartementet ble det varslet om regjeringens intensjon om å legge om finansieringsmodellen for Norske tog AS, med sikte på en endelig beslutning i forbindelse med revidert nasjonalbudsjett for 2025 og med virkning fra 1. juli 2025. I ny finansieringsmodell erstattes lånene som Norske tog tar opp i det private kapitalmarkedet, med </w:t>
      </w:r>
      <w:r w:rsidRPr="007C3060">
        <w:lastRenderedPageBreak/>
        <w:t xml:space="preserve">statslån. Etter at </w:t>
      </w:r>
      <w:proofErr w:type="spellStart"/>
      <w:r w:rsidRPr="007C3060">
        <w:t>Prop</w:t>
      </w:r>
      <w:proofErr w:type="spellEnd"/>
      <w:r w:rsidRPr="007C3060">
        <w:t>. 1 S (2024–2025) ble lagt frem, har Samferdselsdepartementet arbeidet videre med å avklare innretningen av den nye finansieringsmodellen.</w:t>
      </w:r>
    </w:p>
    <w:p w14:paraId="592345FB" w14:textId="77777777" w:rsidR="000A2A2B" w:rsidRPr="007C3060" w:rsidRDefault="000A2A2B" w:rsidP="007C3060">
      <w:r w:rsidRPr="007C3060">
        <w:t>Formålet med ny modell er i første rekke å oppnå besparelser for staten ved at staten kan låne penger til en lavere kostnad enn Norske tog. Besparelsen er anslått til 1–2 mrd. kroner i perioden 2025–2036.</w:t>
      </w:r>
    </w:p>
    <w:p w14:paraId="3940839A" w14:textId="77777777" w:rsidR="000A2A2B" w:rsidRPr="007C3060" w:rsidRDefault="000A2A2B" w:rsidP="007C3060">
      <w:r w:rsidRPr="007C3060">
        <w:t>Norske tog har frem til nå lånt penger i det private kapitalmarkedet for å anskaffe og forvalte persontogmateriell. Materiellet leies ut til togoperatørene, og leieinntektene dekker blant annet finansieringskostnader for lånene. Operatørenes inntekter, og dermed betalingsevnen for leie av materiellet, stammer dels fra billettinntekter og dels fra statens kjøp av persontransporttjenester, som finansieres av bevilgningen på kap. 1352, post 70 Kjøp av persontransport med tog. Anslagsvis 75 pst. av Norske togs utleieinntekter stammer fra operatørenes billettinntekter. Ettersom 75 pst. av Norske togs utleieinntekter stammer fra et kommersielt marked, legger regjeringen til grunn at 75 pst. av nye lån og egenkapitaltilskudd bevilges på 90-post («under streken»). Resterende 25 pst. bevilges på 70-post («over streken»). Med ny finansieringsmodell vil staten på sikt bli eneste långiver til Norske tog.</w:t>
      </w:r>
    </w:p>
    <w:p w14:paraId="7B05877A" w14:textId="77777777" w:rsidR="000A2A2B" w:rsidRPr="007C3060" w:rsidRDefault="000A2A2B" w:rsidP="007C3060">
      <w:r w:rsidRPr="007C3060">
        <w:t>Regjeringen har lagt til grunn at den nye finansieringsmodellen ikke skal innebære endringer i den etablerte modellen for togoperatørenes leiepris. Videre skal lånene gis på markedsmessige vilkår. Det innebærer at Norske togs samlede finansieringskostnader ikke blir endret som følge av omleggingen. Kravet om markedsmessige vilkår innebærer også at det bør gjennomføres tredje-partsvurdering av kredittverdigheten til selskapet som grunnlag for nye lån. Prinsippene knyttet til vurdering av risiko og lånestruktur (renteform, avdrag, løpetid mv.) endres ikke sammenlignet med dagens modell. Når staten blir eneste lån-giver til Norske tog, er det imidlertid ikke behov for å gi statsgarantier for restverdisikring for nye, fremtidige togmateriellanskaffelser.</w:t>
      </w:r>
    </w:p>
    <w:p w14:paraId="1E2B600A" w14:textId="77777777" w:rsidR="000A2A2B" w:rsidRPr="007C3060" w:rsidRDefault="000A2A2B" w:rsidP="007C3060">
      <w:r w:rsidRPr="007C3060">
        <w:t>Finansieringsbehovet til nytt togmateriell endrer seg mye gjennom året, blant annet påvirket av valutakurs, uforutsette hendelser hos leverandører mv. Det er derfor viktig at den nye finansieringsmodellen gir fleksibilitet slik at Norske tog kan tilføres midler for å kunne håndtere endringer i løpet av året. Regjeringen foreslår derfor at selskapet tilføres en driftskreditt på 1 mrd. kroner. Driftskreditten bevilges med samme fordeling over og under streken (25/75 pst.) som nye lån og egenkapitaltilførsel. Driftskreditten settes på en konto i Norges Bank som selskapet kan trekke på ved kortsiktig likviditetsbehov. Trekk må betales tilbake med renter innen 12 måneder.</w:t>
      </w:r>
    </w:p>
    <w:p w14:paraId="011017E8" w14:textId="77777777" w:rsidR="000A2A2B" w:rsidRPr="007C3060" w:rsidRDefault="000A2A2B" w:rsidP="007C3060">
      <w:r w:rsidRPr="007C3060">
        <w:t>Det foreslås videre å tilføye stikkordet «</w:t>
      </w:r>
      <w:r w:rsidRPr="007C3060">
        <w:rPr>
          <w:rStyle w:val="kursiv"/>
        </w:rPr>
        <w:t>kan overføres</w:t>
      </w:r>
      <w:r w:rsidRPr="007C3060">
        <w:t>» på kap. 1358, postene 70 og 90, det vil si budsjettpostene for lånebevilgningene. I tillegg foreslås det en fullmakt til å overskride bevilgningen på de to postene ved endringer i låneforutsetninger som er av ikke-prinsipiell betydning, som for eksempel pris- og valutakursendringer, begrenset oppad til 1 mrd. kroner per år, jf. forslag til romertallsvedtak.</w:t>
      </w:r>
    </w:p>
    <w:p w14:paraId="6171E291" w14:textId="77777777" w:rsidR="000A2A2B" w:rsidRPr="007C3060" w:rsidRDefault="000A2A2B" w:rsidP="007C3060">
      <w:r w:rsidRPr="007C3060">
        <w:t xml:space="preserve">Samferdselsdepartementet får utgifter til ekstern bistand til å opprette og administrere låneordningen. Dette gjelder blant annet juridiske tjenester, oppfølging av trekkanmodninger fra Norske tog, utstedelse av betalingsnotiser, rapportering av lånedata mv. I tillegg er det behov for bistand til å fastsette markedsmessig rente for nye lån mv. Regjeringen foreslår derfor å øke </w:t>
      </w:r>
      <w:r w:rsidRPr="007C3060">
        <w:lastRenderedPageBreak/>
        <w:t>departementets driftsbevilgning med 1 mill. kroner til å dekke dette, jf. omtale under kap. 1300, post 01.</w:t>
      </w:r>
    </w:p>
    <w:p w14:paraId="690DB2DC" w14:textId="77777777" w:rsidR="000A2A2B" w:rsidRPr="007C3060" w:rsidRDefault="000A2A2B" w:rsidP="007C3060">
      <w:r w:rsidRPr="007C3060">
        <w:t>Avtale mellom staten og selskapet om finansieringsmodellen, herunder avtale om driftskreditt, signeres i ekstraordinær generalforsamling etter at Stortinget har behandlet forslaget om ny finansieringsmodell. Ny finansieringsmodell vil tre i kraft fra 1. juli 2025. Regjeringen vil i vedtektene til Norske tog presisere at selskapet fremover kun kan ta opp nye lån fra staten.</w:t>
      </w:r>
    </w:p>
    <w:p w14:paraId="4D939396" w14:textId="77777777" w:rsidR="000A2A2B" w:rsidRPr="007C3060" w:rsidRDefault="000A2A2B" w:rsidP="007C3060">
      <w:r w:rsidRPr="007C3060">
        <w:t xml:space="preserve">Norske tog har i dag ti utestående obligasjonslån. Total utestående obligasjonsgjeld er p.t. 8 950 mill. kroner. Lånene forfaller til ulike tidspunkt i perioden november 2025 til mars 2038. I </w:t>
      </w:r>
      <w:proofErr w:type="spellStart"/>
      <w:r w:rsidRPr="007C3060">
        <w:t>Prop</w:t>
      </w:r>
      <w:proofErr w:type="spellEnd"/>
      <w:r w:rsidRPr="007C3060">
        <w:t>. 1 S (2024–2025) for Samferdselsdepartementet varslet departementet om at dersom finansieringsordningen legges om, vil det etableres mekanismer som gjør det mulig for selskapet å tilby innfrielse av eksisterende lån før forfall. Ved å kjøpe tilbake obligasjonsgjeld før forfall kan statens utgifter reduseres. Hvor stor besparelse staten oppnår avhenger blant annet av hvor mange obligasjonseier som ønsker å selge, og hvilke tilbud staten velger å akseptere</w:t>
      </w:r>
    </w:p>
    <w:p w14:paraId="3191D063" w14:textId="77777777" w:rsidR="000A2A2B" w:rsidRPr="007C3060" w:rsidRDefault="000A2A2B" w:rsidP="007C3060">
      <w:r w:rsidRPr="007C3060">
        <w:t>Regjeringen legger til grunn at tilbakekjøpene gjennomføres som en engangshendelse i 2025, etter planen i august/september 2025. Ethvert tilbakekjøp skal gjøres på kommersielt grunnlag og være lønnsomt for staten. Regjeringen legger opp til offentlig tilbakekjøp i henhold til et likebehandlingsprinsipp for obligasjonseierne. Samferdselsdepartementet vil stå for tilbakekjøpene.</w:t>
      </w:r>
    </w:p>
    <w:p w14:paraId="41F43936" w14:textId="77777777" w:rsidR="000A2A2B" w:rsidRPr="007C3060" w:rsidRDefault="000A2A2B" w:rsidP="007C3060">
      <w:r w:rsidRPr="007C3060">
        <w:t>I tillegg til selve tilbakekjøpene vil Samferdselsdepartementet ha utgifter til ekstern juridisk og finansiell bistand. For å håndtere usikkerheten om størrelsen på tilbakekjøpet, og dermed de samlede utgiftene, foreslår regjeringen både bevilgninger og en overskridelsesfullmakt som tar høyde for at hele porteføljen kan kjøpes tilbake dersom det anses hensiktsmessig. I forslaget er det lagt til grunn en bevilgning på 2 200 mill. kroner og en fullmakt til å overskride bevilgningen med inntil 6 750 mill. kroner, som dekker totalt utestående beløp på 8 950 mill. kroner, jf. kap. 1300, post 90. Kjøpene finansieres i sin helhet «under streken», da de utelukkende omfatter gjeld som i dag er i private aktørers eie. Det samme legges til grunn for statlig refinansiering av eksisterende lån som ikke kjøpes tilbake nå, jf. kap. 1358, post 92. Det foreslås videre en bevilgning på 7,1 mill. kroner og en fullmakt til å overskride bevilgningen for finansiell rådgivning og juridisk bistand i forbindelse med tilbakekjøpene i 2025, jf. omtale under kap. 1300, post 22.</w:t>
      </w:r>
    </w:p>
    <w:p w14:paraId="51439EE3" w14:textId="77777777" w:rsidR="000A2A2B" w:rsidRPr="007C3060" w:rsidRDefault="000A2A2B" w:rsidP="007C3060">
      <w:r w:rsidRPr="007C3060">
        <w:t>Det er ventet å bli behov for å refinansiere eksisterende lån i det private kapitalmarkedet som forfaller i andre halvår 2025. Regjeringen foreslår en bevilgning på 2 000 mill. kroner til formålet over kap. 1358, post 92.</w:t>
      </w:r>
    </w:p>
    <w:p w14:paraId="2A33553D" w14:textId="77777777" w:rsidR="000A2A2B" w:rsidRPr="007C3060" w:rsidRDefault="000A2A2B" w:rsidP="007C3060">
      <w:pPr>
        <w:pStyle w:val="b-post"/>
      </w:pPr>
      <w:r w:rsidRPr="007C3060">
        <w:t>Post 70 (Ny) Lån, kan overføres</w:t>
      </w:r>
    </w:p>
    <w:p w14:paraId="0E59D8C9" w14:textId="77777777" w:rsidR="000A2A2B" w:rsidRPr="007C3060" w:rsidRDefault="000A2A2B" w:rsidP="007C3060">
      <w:r w:rsidRPr="007C3060">
        <w:t>Det foreslås å bevilge 214,1 mill. kroner for å dekke andelen av Norske togs lånebehov i andre halvår 2025 som føres «over streken». Det foreslås videre en fullmakt til å overskride bevilgningen på denne posten og post 90 Lån («under streken») med inntil 1 000 mill. kroner ved endringer i låneforutsetninger som er av ikke-prinsipiell betydning, jf. forslag til romertallsvedtak.</w:t>
      </w:r>
    </w:p>
    <w:p w14:paraId="27DE3F68" w14:textId="77777777" w:rsidR="000A2A2B" w:rsidRPr="007C3060" w:rsidRDefault="000A2A2B" w:rsidP="007C3060">
      <w:r w:rsidRPr="007C3060">
        <w:lastRenderedPageBreak/>
        <w:t xml:space="preserve">Norske tog gjennomførermidtlivsoppgraderinger av togtype 72. Dette er et pågående prosjekt uten fastsatt kostnadsramme. Det foreslås derfor en fullmakt til å forplikte staten for fremtidige budsjettår og gi tilsagn om tilskudd utover gitt bevilgning på denne posten og post 90 </w:t>
      </w:r>
      <w:r w:rsidRPr="007C3060">
        <w:rPr>
          <w:rStyle w:val="kursiv"/>
        </w:rPr>
        <w:t>Lån</w:t>
      </w:r>
      <w:r w:rsidRPr="007C3060">
        <w:t xml:space="preserve"> for togmateriell Norske tog AS eier, innenfor en samlet ramme for gamle og nye forpliktelser på 601 mill. kroner, jf. forslag til romertallsvedtak.</w:t>
      </w:r>
    </w:p>
    <w:p w14:paraId="14334EF4" w14:textId="77777777" w:rsidR="000A2A2B" w:rsidRPr="007C3060" w:rsidRDefault="000A2A2B" w:rsidP="007C3060">
      <w:pPr>
        <w:pStyle w:val="b-post"/>
      </w:pPr>
      <w:r w:rsidRPr="007C3060">
        <w:t>Post 71 (Ny) Egenkapitaltilskudd</w:t>
      </w:r>
    </w:p>
    <w:p w14:paraId="0F6895C6" w14:textId="77777777" w:rsidR="000A2A2B" w:rsidRPr="007C3060" w:rsidRDefault="000A2A2B" w:rsidP="007C3060">
      <w:r w:rsidRPr="007C3060">
        <w:t>Det foreslås å bevilge 14,4 mill. kroner for å dekke andelen av Norske togs egenkapitalbehov i andre halvår 2025 som føres «over streken».</w:t>
      </w:r>
    </w:p>
    <w:p w14:paraId="3A468A12" w14:textId="77777777" w:rsidR="000A2A2B" w:rsidRPr="007C3060" w:rsidRDefault="000A2A2B" w:rsidP="007C3060">
      <w:pPr>
        <w:pStyle w:val="b-post"/>
      </w:pPr>
      <w:r w:rsidRPr="007C3060">
        <w:t>Post 86 (Ny) Driftskreditt</w:t>
      </w:r>
    </w:p>
    <w:p w14:paraId="3F2BB6C5" w14:textId="77777777" w:rsidR="000A2A2B" w:rsidRPr="007C3060" w:rsidRDefault="000A2A2B" w:rsidP="007C3060">
      <w:r w:rsidRPr="007C3060">
        <w:t>Det foreslås å bevilge 250 mill. kroner for å dekke opprettelsen av en driftskreditt på 1 000 mill. kroner for Norske tog, hvorav 25 pst. føres på post 86 «over streken».</w:t>
      </w:r>
    </w:p>
    <w:p w14:paraId="0B0F826E" w14:textId="77777777" w:rsidR="000A2A2B" w:rsidRPr="007C3060" w:rsidRDefault="000A2A2B" w:rsidP="007C3060">
      <w:pPr>
        <w:pStyle w:val="b-post"/>
      </w:pPr>
      <w:r w:rsidRPr="007C3060">
        <w:t>Post 90 (Ny) Lån, kan overføres</w:t>
      </w:r>
    </w:p>
    <w:p w14:paraId="6D0B67C9" w14:textId="77777777" w:rsidR="000A2A2B" w:rsidRPr="007C3060" w:rsidRDefault="000A2A2B" w:rsidP="007C3060">
      <w:r w:rsidRPr="007C3060">
        <w:t>Det foreslås å bevilge 642,4 mill. kroner for å dekke andelen av Norske togs lånebehov i andre halvår 2025 som føres «under streken». Det foreslås videre en fullmakt til å overskride bevilgningen, jf. omtale under kap. 1358, post 70.</w:t>
      </w:r>
    </w:p>
    <w:p w14:paraId="69998234" w14:textId="77777777" w:rsidR="000A2A2B" w:rsidRPr="007C3060" w:rsidRDefault="000A2A2B" w:rsidP="007C3060">
      <w:pPr>
        <w:pStyle w:val="b-post"/>
      </w:pPr>
      <w:r w:rsidRPr="007C3060">
        <w:t>Post 91 (Ny) Driftskreditt</w:t>
      </w:r>
    </w:p>
    <w:p w14:paraId="4124EC38" w14:textId="77777777" w:rsidR="000A2A2B" w:rsidRPr="007C3060" w:rsidRDefault="000A2A2B" w:rsidP="007C3060">
      <w:r w:rsidRPr="007C3060">
        <w:t>Det foreslås å bevilge 750 mill. kroner for å dekke opprettelsen av en driftskreditt på 1 000 mill. kroner for Norske tog, hvorav 75 pst. føres på post 91 «under streken».</w:t>
      </w:r>
    </w:p>
    <w:p w14:paraId="4086E654" w14:textId="77777777" w:rsidR="000A2A2B" w:rsidRPr="007C3060" w:rsidRDefault="000A2A2B" w:rsidP="007C3060">
      <w:pPr>
        <w:pStyle w:val="b-post"/>
      </w:pPr>
      <w:r w:rsidRPr="007C3060">
        <w:t>Post 92 (Ny) Refinansiering av eksisterende lån</w:t>
      </w:r>
    </w:p>
    <w:p w14:paraId="123EF105" w14:textId="77777777" w:rsidR="000A2A2B" w:rsidRPr="007C3060" w:rsidRDefault="000A2A2B" w:rsidP="007C3060">
      <w:r w:rsidRPr="007C3060">
        <w:t>Det foreslås å bevilge 2 000 mill. kroner til å refinansiere eksisterende lån til Norske tog.</w:t>
      </w:r>
    </w:p>
    <w:p w14:paraId="13B111C1" w14:textId="77777777" w:rsidR="000A2A2B" w:rsidRPr="007C3060" w:rsidRDefault="000A2A2B" w:rsidP="007C3060">
      <w:pPr>
        <w:pStyle w:val="b-post"/>
      </w:pPr>
      <w:r w:rsidRPr="007C3060">
        <w:t>Post 96 (Ny) Aksjer</w:t>
      </w:r>
    </w:p>
    <w:p w14:paraId="0B02D0CA" w14:textId="77777777" w:rsidR="000A2A2B" w:rsidRPr="007C3060" w:rsidRDefault="000A2A2B" w:rsidP="007C3060">
      <w:r w:rsidRPr="007C3060">
        <w:t>Det foreslås å bevilge til sammen 395,2 mill. kroner i økt aksjekapital i Norske tog AS.</w:t>
      </w:r>
    </w:p>
    <w:p w14:paraId="0610874A" w14:textId="77777777" w:rsidR="000A2A2B" w:rsidRPr="007C3060" w:rsidRDefault="000A2A2B" w:rsidP="007C3060">
      <w:pPr>
        <w:pStyle w:val="avsnitt-undertittel"/>
      </w:pPr>
      <w:r w:rsidRPr="007C3060">
        <w:t>Ny finansieringsmodell</w:t>
      </w:r>
    </w:p>
    <w:p w14:paraId="4322D44F" w14:textId="77777777" w:rsidR="000A2A2B" w:rsidRPr="007C3060" w:rsidRDefault="000A2A2B" w:rsidP="007C3060">
      <w:r w:rsidRPr="007C3060">
        <w:t>I forbindelse med ny finansieringsmodell for Norske tog er det behov for å øke egenkapitalen i selskapet med 43,1 mill. kroner. Dette skal dekke andelen av Norske togs egenkapitalbehov i andre halvår 2025 som føres «under streken».</w:t>
      </w:r>
    </w:p>
    <w:p w14:paraId="2A37BDE8" w14:textId="77777777" w:rsidR="000A2A2B" w:rsidRPr="007C3060" w:rsidRDefault="000A2A2B" w:rsidP="007C3060">
      <w:pPr>
        <w:pStyle w:val="avsnitt-undertittel"/>
      </w:pPr>
      <w:r w:rsidRPr="007C3060">
        <w:t>Overføring av togmateriell</w:t>
      </w:r>
    </w:p>
    <w:p w14:paraId="377D33A4" w14:textId="77777777" w:rsidR="000A2A2B" w:rsidRPr="007C3060" w:rsidRDefault="000A2A2B" w:rsidP="007C3060">
      <w:r w:rsidRPr="007C3060">
        <w:t xml:space="preserve">Med virkning fra 1. april 2025 ble Flytogets togmateriell overført til Norske tog AS på ekstraordinære generalforsamlinger i selskapene 7. februar 2025. Transaksjonen ble gjennomført ved </w:t>
      </w:r>
      <w:r w:rsidRPr="007C3060">
        <w:lastRenderedPageBreak/>
        <w:t xml:space="preserve">å øke aksjekapitalen i Norske tog med 352,1 mill. kroner gjennom et </w:t>
      </w:r>
      <w:proofErr w:type="spellStart"/>
      <w:r w:rsidRPr="007C3060">
        <w:t>tingsinnskudd</w:t>
      </w:r>
      <w:proofErr w:type="spellEnd"/>
      <w:r w:rsidRPr="007C3060">
        <w:t>. Det vises til omtale under kap. 1353, post 96 og kap. 4355, post 96.</w:t>
      </w:r>
    </w:p>
    <w:p w14:paraId="5932E38F" w14:textId="77777777" w:rsidR="000A2A2B" w:rsidRPr="007C3060" w:rsidRDefault="000A2A2B" w:rsidP="007C3060">
      <w:pPr>
        <w:pStyle w:val="b-budkaptit"/>
      </w:pPr>
      <w:r w:rsidRPr="007C3060">
        <w:t>Kap. 4354 Statens jernbanetilsyn</w:t>
      </w:r>
    </w:p>
    <w:p w14:paraId="1050BBA5" w14:textId="77777777" w:rsidR="000A2A2B" w:rsidRPr="007C3060" w:rsidRDefault="000A2A2B" w:rsidP="007C3060">
      <w:pPr>
        <w:pStyle w:val="b-post"/>
      </w:pPr>
      <w:r w:rsidRPr="007C3060">
        <w:t>Post 01 Gebyrer</w:t>
      </w:r>
    </w:p>
    <w:p w14:paraId="043B627E" w14:textId="77777777" w:rsidR="000A2A2B" w:rsidRPr="007C3060" w:rsidRDefault="000A2A2B" w:rsidP="007C3060">
      <w:r w:rsidRPr="007C3060">
        <w:t xml:space="preserve">Det foreslås å øke bevilgningen med 0,3 mill. kroner som følge av at det fra 1. juli 2025 innføres et saksbehandlingsgebyr for Statens jernbanetilsyns behandling av søknader om godkjenning av jernbanekjøretøy. Søknader kan i dag sendes enten til Statens jernbanetilsyn eller til European Union </w:t>
      </w:r>
      <w:proofErr w:type="spellStart"/>
      <w:r w:rsidRPr="007C3060">
        <w:t>Agency</w:t>
      </w:r>
      <w:proofErr w:type="spellEnd"/>
      <w:r w:rsidRPr="007C3060">
        <w:t xml:space="preserve"> for Railways (ERA). Når søknader sendes til sistnevnte, må søkerne betale et gebyr, mens Statens jernbanetilsyn hittil ikke har krevd gebyr.</w:t>
      </w:r>
    </w:p>
    <w:p w14:paraId="753E1C11" w14:textId="77777777" w:rsidR="000A2A2B" w:rsidRPr="007C3060" w:rsidRDefault="000A2A2B" w:rsidP="007C3060">
      <w:r w:rsidRPr="007C3060">
        <w:t>For å reflektere at inntektene nå stammer fra flere gebyrbelagte tjenester, foreslås navnet på posten endret til «Gebyrer».</w:t>
      </w:r>
    </w:p>
    <w:p w14:paraId="6AC79D07" w14:textId="77777777" w:rsidR="000A2A2B" w:rsidRPr="007C3060" w:rsidRDefault="000A2A2B" w:rsidP="007C3060">
      <w:pPr>
        <w:pStyle w:val="b-budkaptit"/>
      </w:pPr>
      <w:r w:rsidRPr="007C3060">
        <w:t>Kap. 4355 (Nytt) Flytoget AS</w:t>
      </w:r>
    </w:p>
    <w:p w14:paraId="06E00245" w14:textId="77777777" w:rsidR="000A2A2B" w:rsidRPr="007C3060" w:rsidRDefault="000A2A2B" w:rsidP="007C3060">
      <w:pPr>
        <w:pStyle w:val="b-post"/>
      </w:pPr>
      <w:r w:rsidRPr="007C3060">
        <w:t>Post 96 (Ny) Tilbakebetaling av aksjekapital</w:t>
      </w:r>
    </w:p>
    <w:p w14:paraId="5AC3B3C2" w14:textId="77777777" w:rsidR="000A2A2B" w:rsidRPr="007C3060" w:rsidRDefault="000A2A2B" w:rsidP="007C3060">
      <w:r w:rsidRPr="007C3060">
        <w:t>Det foreslås å bevilge 970 mill. kroner, jf. omtalen under kap. 1353, post 96 og kap. 1358, post 96.</w:t>
      </w:r>
    </w:p>
    <w:p w14:paraId="20D3F724" w14:textId="77777777" w:rsidR="000A2A2B" w:rsidRPr="007C3060" w:rsidRDefault="000A2A2B" w:rsidP="007C3060">
      <w:pPr>
        <w:pStyle w:val="Undertittel"/>
      </w:pPr>
      <w:r w:rsidRPr="007C3060">
        <w:t>Andre saker</w:t>
      </w:r>
    </w:p>
    <w:p w14:paraId="7EBCD580" w14:textId="77777777" w:rsidR="000A2A2B" w:rsidRPr="007C3060" w:rsidRDefault="000A2A2B" w:rsidP="007C3060">
      <w:pPr>
        <w:pStyle w:val="avsnitt-undertittel"/>
      </w:pPr>
      <w:r w:rsidRPr="007C3060">
        <w:t>Oppfølging av anmodningsvedtak om å gjøre lade-infrastruktur for ferjer mv. tilgjengelig for andre</w:t>
      </w:r>
    </w:p>
    <w:p w14:paraId="2D577CE6" w14:textId="77777777" w:rsidR="000A2A2B" w:rsidRPr="007C3060" w:rsidRDefault="000A2A2B" w:rsidP="007C3060">
      <w:r w:rsidRPr="007C3060">
        <w:t>Stortinget vedtok 21. november 2024 anmodningsvedtak nr. 35 og 36:</w:t>
      </w:r>
    </w:p>
    <w:p w14:paraId="105F3E87" w14:textId="77777777" w:rsidR="000A2A2B" w:rsidRPr="007C3060" w:rsidRDefault="000A2A2B" w:rsidP="007C3060">
      <w:pPr>
        <w:pStyle w:val="blokksit"/>
      </w:pPr>
      <w:r w:rsidRPr="007C3060">
        <w:t xml:space="preserve">«Stortinget ber regjeringa sette i gang </w:t>
      </w:r>
      <w:proofErr w:type="spellStart"/>
      <w:r w:rsidRPr="007C3060">
        <w:t>eit</w:t>
      </w:r>
      <w:proofErr w:type="spellEnd"/>
      <w:r w:rsidRPr="007C3060">
        <w:t xml:space="preserve"> arbeid der </w:t>
      </w:r>
      <w:proofErr w:type="spellStart"/>
      <w:r w:rsidRPr="007C3060">
        <w:t>ein</w:t>
      </w:r>
      <w:proofErr w:type="spellEnd"/>
      <w:r w:rsidRPr="007C3060">
        <w:t xml:space="preserve"> vurderer korleis og på kva måte infrastruktur på land for etablerte elektriske ferjer eller andre maritime fartøy kan </w:t>
      </w:r>
      <w:proofErr w:type="spellStart"/>
      <w:r w:rsidRPr="007C3060">
        <w:t>gjerast</w:t>
      </w:r>
      <w:proofErr w:type="spellEnd"/>
      <w:r w:rsidRPr="007C3060">
        <w:t xml:space="preserve"> </w:t>
      </w:r>
      <w:proofErr w:type="spellStart"/>
      <w:r w:rsidRPr="007C3060">
        <w:t>tilgjengeleg</w:t>
      </w:r>
      <w:proofErr w:type="spellEnd"/>
      <w:r w:rsidRPr="007C3060">
        <w:t xml:space="preserve"> for </w:t>
      </w:r>
      <w:proofErr w:type="spellStart"/>
      <w:r w:rsidRPr="007C3060">
        <w:t>annan</w:t>
      </w:r>
      <w:proofErr w:type="spellEnd"/>
      <w:r w:rsidRPr="007C3060">
        <w:t xml:space="preserve"> sjø- og landtransport, gjerne gjennom kommersielle lade- og </w:t>
      </w:r>
      <w:proofErr w:type="spellStart"/>
      <w:r w:rsidRPr="007C3060">
        <w:t>landstraumaktørar</w:t>
      </w:r>
      <w:proofErr w:type="spellEnd"/>
      <w:r w:rsidRPr="007C3060">
        <w:t>.»</w:t>
      </w:r>
    </w:p>
    <w:p w14:paraId="30EE72A6" w14:textId="77777777" w:rsidR="000A2A2B" w:rsidRPr="007C3060" w:rsidRDefault="000A2A2B" w:rsidP="007C3060">
      <w:pPr>
        <w:pStyle w:val="blokksit"/>
      </w:pPr>
      <w:r w:rsidRPr="007C3060">
        <w:t xml:space="preserve">«Stortinget ber regjeringa sikre at det for </w:t>
      </w:r>
      <w:proofErr w:type="spellStart"/>
      <w:r w:rsidRPr="007C3060">
        <w:t>komande</w:t>
      </w:r>
      <w:proofErr w:type="spellEnd"/>
      <w:r w:rsidRPr="007C3060">
        <w:t xml:space="preserve"> </w:t>
      </w:r>
      <w:proofErr w:type="spellStart"/>
      <w:r w:rsidRPr="007C3060">
        <w:t>offentlege</w:t>
      </w:r>
      <w:proofErr w:type="spellEnd"/>
      <w:r w:rsidRPr="007C3060">
        <w:t xml:space="preserve"> </w:t>
      </w:r>
      <w:proofErr w:type="spellStart"/>
      <w:r w:rsidRPr="007C3060">
        <w:t>anbod</w:t>
      </w:r>
      <w:proofErr w:type="spellEnd"/>
      <w:r w:rsidRPr="007C3060">
        <w:t xml:space="preserve"> for kommersielle ferjer og </w:t>
      </w:r>
      <w:proofErr w:type="spellStart"/>
      <w:r w:rsidRPr="007C3060">
        <w:t>hurtigbåtar</w:t>
      </w:r>
      <w:proofErr w:type="spellEnd"/>
      <w:r w:rsidRPr="007C3060">
        <w:t xml:space="preserve"> blir vurdert korleis el-infrastrukturen kan </w:t>
      </w:r>
      <w:proofErr w:type="spellStart"/>
      <w:r w:rsidRPr="007C3060">
        <w:t>tilgjengeleggjerast</w:t>
      </w:r>
      <w:proofErr w:type="spellEnd"/>
      <w:r w:rsidRPr="007C3060">
        <w:t xml:space="preserve"> for andre </w:t>
      </w:r>
      <w:proofErr w:type="spellStart"/>
      <w:r w:rsidRPr="007C3060">
        <w:t>brukarar</w:t>
      </w:r>
      <w:proofErr w:type="spellEnd"/>
      <w:r w:rsidRPr="007C3060">
        <w:t xml:space="preserve">, og stille krav om dette i </w:t>
      </w:r>
      <w:proofErr w:type="spellStart"/>
      <w:r w:rsidRPr="007C3060">
        <w:t>dei</w:t>
      </w:r>
      <w:proofErr w:type="spellEnd"/>
      <w:r w:rsidRPr="007C3060">
        <w:t xml:space="preserve"> </w:t>
      </w:r>
      <w:proofErr w:type="spellStart"/>
      <w:r w:rsidRPr="007C3060">
        <w:t>komande</w:t>
      </w:r>
      <w:proofErr w:type="spellEnd"/>
      <w:r w:rsidRPr="007C3060">
        <w:t xml:space="preserve"> </w:t>
      </w:r>
      <w:proofErr w:type="spellStart"/>
      <w:r w:rsidRPr="007C3060">
        <w:t>anboda</w:t>
      </w:r>
      <w:proofErr w:type="spellEnd"/>
      <w:r w:rsidRPr="007C3060">
        <w:t>.»</w:t>
      </w:r>
    </w:p>
    <w:p w14:paraId="46B10739" w14:textId="77777777" w:rsidR="000A2A2B" w:rsidRPr="007C3060" w:rsidRDefault="000A2A2B" w:rsidP="007C3060">
      <w:r w:rsidRPr="007C3060">
        <w:t>Det redegjøres samlet for oppfølgingen av de to vedtakene.</w:t>
      </w:r>
    </w:p>
    <w:p w14:paraId="106EE309" w14:textId="77777777" w:rsidR="000A2A2B" w:rsidRPr="007C3060" w:rsidRDefault="000A2A2B" w:rsidP="007C3060">
      <w:r w:rsidRPr="007C3060">
        <w:t xml:space="preserve">Som det går frem av omtalen i </w:t>
      </w:r>
      <w:proofErr w:type="spellStart"/>
      <w:r w:rsidRPr="007C3060">
        <w:t>Prop</w:t>
      </w:r>
      <w:proofErr w:type="spellEnd"/>
      <w:r w:rsidRPr="007C3060">
        <w:t>. 1 S (2024–2025) for Samferdselsdepartementet, ble muligheter og effekter av å tilpasse og åpne ladeinfrastrukturen for ferjer for annen sjøtransport og tyngre kjøretøy vurdert i forbindelse med arbeidet med Nasjonal transportplan 2025–2036. Statens vegvesen pekte da på en rekke utfordringer ved et slikt tiltak. Videre går det frem at departementet i supplerende tildelingsbrev nr. 4 for 2024 ba Statens vegvesen se nærmere på saken.</w:t>
      </w:r>
    </w:p>
    <w:p w14:paraId="09089522" w14:textId="77777777" w:rsidR="000A2A2B" w:rsidRPr="007C3060" w:rsidRDefault="000A2A2B" w:rsidP="007C3060">
      <w:r w:rsidRPr="007C3060">
        <w:t xml:space="preserve">For lading av fartøyer konkluderer Statens vegvesen med at etablert ladeinfrastruktur for ferjer er uegnet for annen sjøtransport. Det er vurdert at tilsvarende også gjelder for hurtigbåter, der utviklingen innen elektrifisering ligger noe etter ferjedriften. Etablert ladeinfrastruktur er ikke </w:t>
      </w:r>
      <w:r w:rsidRPr="007C3060">
        <w:lastRenderedPageBreak/>
        <w:t>standardisert, men er tilpasset de aktuelle fartøyene. Å åpne anleggene ville dessuten medført forstyrrelser i ferjetrafikken og båtrutene.</w:t>
      </w:r>
    </w:p>
    <w:p w14:paraId="294DEA0F" w14:textId="77777777" w:rsidR="000A2A2B" w:rsidRPr="007C3060" w:rsidRDefault="000A2A2B" w:rsidP="007C3060">
      <w:r w:rsidRPr="007C3060">
        <w:t>Også for tyngre kjøretøy må det ofte etableres ny infrastruktur. Det er ikke alltid mulig. Arealer ved ferjekaier er ofte begrenset, og det er mye trafikk når ferja kommer og går. Å legge til rette for lading vil medføre at trafikken øker ytterligere og påvirke trafikksikkerheten negativt. Hurtigbåtkaier er i utgangspunktet tilpasset passasjerer, ikke kjøretøy, og er ikke egnet for lading av bil. Det er heller ingen automatikk i at det er ledig effekt i strømnettet når ferja ikke er der for å lade, fordi det kan være behov for å lade andre ferjebatterier mens ferja er i overfart.</w:t>
      </w:r>
    </w:p>
    <w:p w14:paraId="2D18F779" w14:textId="77777777" w:rsidR="000A2A2B" w:rsidRPr="007C3060" w:rsidRDefault="000A2A2B" w:rsidP="007C3060">
      <w:r w:rsidRPr="007C3060">
        <w:t xml:space="preserve">Samferdselsdepartementet oppfatter at begge anmodningsvedtakene har til hensikt å øke lademulighetene for landtransport og sjøtransport og deler Stortingets ambisjoner på dette området. Når Stortinget peker særlig på å gjøre ladepunkter tilgjengelig for ferjer og hurtigbåter, legger departementet til grunn at det henger sammen med at en ønsker å utnytte allerede etablert ladeinfrastruktur. Men utredningene fra Statens vegvesen viser at det som regel må etableres ny infrastruktur hvis den skal brukes av flere, og at et generelt krav om at ladeinfrastrukturen for ferjer og hurtigbåter skal gjøres tilgjengelig for andre brukere kan bli kostbart og praktisk vanskelig. Regjeringen har dessuten tatt flere grep for å møte Stortingets ambisjoner om et godt ladetilbud for elektrisk sjø- og landtransport, som også gjør det mulig med lading på ferje- og </w:t>
      </w:r>
      <w:proofErr w:type="spellStart"/>
      <w:r w:rsidRPr="007C3060">
        <w:t>hurtigbåtkai</w:t>
      </w:r>
      <w:proofErr w:type="spellEnd"/>
      <w:r w:rsidRPr="007C3060">
        <w:t xml:space="preserve"> hvis dette er formålstjenlig.</w:t>
      </w:r>
    </w:p>
    <w:p w14:paraId="31DAB560" w14:textId="77777777" w:rsidR="000A2A2B" w:rsidRPr="007C3060" w:rsidRDefault="000A2A2B" w:rsidP="007C3060">
      <w:r w:rsidRPr="007C3060">
        <w:t xml:space="preserve">Statens vegvesen har i dokumentet </w:t>
      </w:r>
      <w:proofErr w:type="spellStart"/>
      <w:r w:rsidRPr="007C3060">
        <w:t>Tungbilpakken</w:t>
      </w:r>
      <w:proofErr w:type="spellEnd"/>
      <w:r w:rsidRPr="007C3060">
        <w:t xml:space="preserve">: Hvile- og rasteplasser for tunge kjøretøy langs riksvei presentert arbeidet for å oppfylle </w:t>
      </w:r>
      <w:proofErr w:type="spellStart"/>
      <w:r w:rsidRPr="007C3060">
        <w:t>tungbilpakken</w:t>
      </w:r>
      <w:proofErr w:type="spellEnd"/>
      <w:r w:rsidRPr="007C3060">
        <w:t xml:space="preserve"> i Nasjonal transportplan 2025–2036. Her har vegvesenet identifisert behovet for ladeplasser og trukket frem prioriterte strekninger samt redegjort for hvordan nasjonale og europeiske mål for hvile- og ladeplasser for tunge kjøretøy langs riksveier skal nås. Viktige momenter i vurderingene av hvor ladeplassene skal plasseres, er både å sikre tilstrekkelig lademuligheter, og at avstanden mellom ladepunktene ikke blir for stor. Statens vegvesen har sett både på muligheter på eksisterende døgnhvileplasser og rasteplasser, men også på muligheter for å utnytte andre arealer. Det er også mulig å vurdere om områder knyttet til enkelte ferjekaier er egnet. På den måten vil vurderingen av hvor det bør etableres nye ladeplasser for tungtransporten være en del av en helhetlig plan.</w:t>
      </w:r>
    </w:p>
    <w:p w14:paraId="2E6CE43D" w14:textId="77777777" w:rsidR="000A2A2B" w:rsidRPr="007C3060" w:rsidRDefault="000A2A2B" w:rsidP="007C3060">
      <w:r w:rsidRPr="007C3060">
        <w:t xml:space="preserve">Gjennom </w:t>
      </w:r>
      <w:proofErr w:type="spellStart"/>
      <w:r w:rsidRPr="007C3060">
        <w:t>Enova</w:t>
      </w:r>
      <w:proofErr w:type="spellEnd"/>
      <w:r w:rsidRPr="007C3060">
        <w:t xml:space="preserve"> er det ordninger for å støtte etablering av ladeinfrastruktur både for tungtransport på vei og for sjøtransport. I programmet </w:t>
      </w:r>
      <w:proofErr w:type="spellStart"/>
      <w:r w:rsidRPr="007C3060">
        <w:t>Underveislading</w:t>
      </w:r>
      <w:proofErr w:type="spellEnd"/>
      <w:r w:rsidRPr="007C3060">
        <w:t xml:space="preserve"> for tunge kjøretøy tilbyr </w:t>
      </w:r>
      <w:proofErr w:type="spellStart"/>
      <w:r w:rsidRPr="007C3060">
        <w:t>Enova</w:t>
      </w:r>
      <w:proofErr w:type="spellEnd"/>
      <w:r w:rsidRPr="007C3060">
        <w:t xml:space="preserve"> støtte til utbygging av offentlig tilgjengelige ladestasjoner for tyngre kjøretøy. Programmet ble etablert i juni 2023. Ved utgangen av 2024 var det gitt tilsagn om 48 offentlige ladestasjoner, med til sammen 276 ladepunkter. De fleste stasjonene skal bygges langs veistrekninger som i dag er sterkt trafikkerte av tung godstrafikk, men det er også gitt tilskudd til ladestasjoner i mindre trafikkerte områder. </w:t>
      </w:r>
      <w:proofErr w:type="spellStart"/>
      <w:r w:rsidRPr="007C3060">
        <w:t>Enova</w:t>
      </w:r>
      <w:proofErr w:type="spellEnd"/>
      <w:r w:rsidRPr="007C3060">
        <w:t xml:space="preserve"> vil i 2025 fortsette støtten til ladestasjoner for tunge kjøretøy. Det er konkurranse om midlene, og søknadene rangeres etter kostnadseffektivitet. Det er ikke noe i ordningen som er til hinder for at </w:t>
      </w:r>
      <w:proofErr w:type="spellStart"/>
      <w:r w:rsidRPr="007C3060">
        <w:t>Enova</w:t>
      </w:r>
      <w:proofErr w:type="spellEnd"/>
      <w:r w:rsidRPr="007C3060">
        <w:t xml:space="preserve"> kan støtte et ladetilbud på en ferjekai hvis det søkes om dette, og det er praktisk mulig og andre kriterier er oppfylt. For å gjøre det mulig å søke om støtte for å etablere ladestasjoner på begge sider av et ferjesamband, blir veistrekninger med ferjeovergang delt opp når </w:t>
      </w:r>
      <w:proofErr w:type="spellStart"/>
      <w:r w:rsidRPr="007C3060">
        <w:t>Enova</w:t>
      </w:r>
      <w:proofErr w:type="spellEnd"/>
      <w:r w:rsidRPr="007C3060">
        <w:t xml:space="preserve"> vurderer avstanden mellom ladestasjonene. Hittil har det ikke vært søknader knyttet til ferjekaier, noe som indikerer at kommersielle ladeoperatører ikke vurderer disse som praktiske eller attraktive steder for ladestasjoner for tungbil.</w:t>
      </w:r>
    </w:p>
    <w:p w14:paraId="227CD320" w14:textId="77777777" w:rsidR="000A2A2B" w:rsidRPr="007C3060" w:rsidRDefault="000A2A2B" w:rsidP="007C3060">
      <w:proofErr w:type="spellStart"/>
      <w:r w:rsidRPr="007C3060">
        <w:lastRenderedPageBreak/>
        <w:t>Enova</w:t>
      </w:r>
      <w:proofErr w:type="spellEnd"/>
      <w:r w:rsidRPr="007C3060">
        <w:t xml:space="preserve"> har også lansert programmet Ladeanlegg for fartøy der aktører som ønsker å etablere og eie et allment tilgjengelig ladeanlegg for fartøyer i Norge kan søke om støtte. Første søknadsfrist var i mars 2025. Også i dette programmet er det konkurranse om midlene. Det er et krav at infrastrukturen skal etableres i en norsk havn eller et havneanlegg som er allment tilgjengelig, blant annet eventuelle egnede ferje- og hurtigbåtkaier.</w:t>
      </w:r>
    </w:p>
    <w:p w14:paraId="29BC39BC" w14:textId="77777777" w:rsidR="000A2A2B" w:rsidRPr="007C3060" w:rsidRDefault="000A2A2B" w:rsidP="007C3060">
      <w:r w:rsidRPr="007C3060">
        <w:t>Samferdselsdepartementet vurderer at disse tiltakene oppfyller intensjonen i de to anmodningsvedtakene.</w:t>
      </w:r>
    </w:p>
    <w:p w14:paraId="34FFA33C" w14:textId="77777777" w:rsidR="000A2A2B" w:rsidRPr="007C3060" w:rsidRDefault="000A2A2B" w:rsidP="007C3060">
      <w:pPr>
        <w:pStyle w:val="avsnitt-undertittel"/>
      </w:pPr>
      <w:r w:rsidRPr="007C3060">
        <w:t>Oppfølging av anmodningsvedtak om tilskudds-ordning for langdistansebusser</w:t>
      </w:r>
    </w:p>
    <w:p w14:paraId="4E2608A4" w14:textId="77777777" w:rsidR="000A2A2B" w:rsidRPr="007C3060" w:rsidRDefault="000A2A2B" w:rsidP="007C3060">
      <w:r w:rsidRPr="007C3060">
        <w:t>Stortinget fattet 21. juni 2024 anmodningsvedtak nr. 918:</w:t>
      </w:r>
    </w:p>
    <w:p w14:paraId="24265F3C" w14:textId="77777777" w:rsidR="000A2A2B" w:rsidRPr="007C3060" w:rsidRDefault="000A2A2B" w:rsidP="007C3060">
      <w:pPr>
        <w:pStyle w:val="blokksit"/>
      </w:pPr>
      <w:r w:rsidRPr="007C3060">
        <w:t>«Stortinget ber regjeringen i forbindelse med statsbudsjettet for 2025 gi en vurdering av en eventuell tilskuddsordning til langdistanse-busser på strekninger uten tog og tilsvarende kommersielle tilbud.»</w:t>
      </w:r>
    </w:p>
    <w:p w14:paraId="6F204A99" w14:textId="77777777" w:rsidR="000A2A2B" w:rsidRPr="007C3060" w:rsidRDefault="000A2A2B" w:rsidP="007C3060">
      <w:r w:rsidRPr="007C3060">
        <w:t xml:space="preserve">I </w:t>
      </w:r>
      <w:proofErr w:type="spellStart"/>
      <w:r w:rsidRPr="007C3060">
        <w:t>Prop</w:t>
      </w:r>
      <w:proofErr w:type="spellEnd"/>
      <w:r w:rsidRPr="007C3060">
        <w:t>. 1 S (2024–2025) for Samferdselsdepartementet redegjorde departementet for at det i dag fins både kommersielle og fylkeskommunale langdistansebusser, og at en tilskuddsordning som retter seg mot et særskilt rutetilbud ikke vil være i samsvar med ansvarsdelingen i sektoren og hovedprinsippene for finansiering av kollektivtransporten. Videre ble det opplyst at en slik tilskuddsordning ville være vanskelig å administrere, særlig med tanke på grensegangen mot de kommersielle ekspressbussene. Departementet ville imidlertid foreta en nærmere vurdering av å innføre en eventuell tilskuddsordning og komme tilbake til Stortinget.</w:t>
      </w:r>
    </w:p>
    <w:p w14:paraId="44DACC90" w14:textId="77777777" w:rsidR="000A2A2B" w:rsidRPr="007C3060" w:rsidRDefault="000A2A2B" w:rsidP="007C3060">
      <w:r w:rsidRPr="007C3060">
        <w:t xml:space="preserve">I </w:t>
      </w:r>
      <w:proofErr w:type="spellStart"/>
      <w:r w:rsidRPr="007C3060">
        <w:t>Innst</w:t>
      </w:r>
      <w:proofErr w:type="spellEnd"/>
      <w:r w:rsidRPr="007C3060">
        <w:t>. 146 (2024–2025) ba flertallet i kontroll- og konstitusjonskomiteen, medlemmene fra Arbeiderpartiet, Senterpartiet, Fremskrittspartiet, Sosialistisk Venstreparti, Rødt og Venstre, regjeringen ferdigstille sin vurdering innen revidert nasjonalbudsjett 2025.</w:t>
      </w:r>
    </w:p>
    <w:p w14:paraId="18E68941" w14:textId="77777777" w:rsidR="000A2A2B" w:rsidRPr="007C3060" w:rsidRDefault="000A2A2B" w:rsidP="007C3060">
      <w:r w:rsidRPr="007C3060">
        <w:t>Samferdselsdepartementet ga i supplerende tildelingsbrev nr. 14 for 2024 Jernbanedirektoratet, i samråd med Statens vegvesen, i oppdrag å utrede en mulig tilskuddsordning for lang-distansebusser på strekninger uten togtilbud eller tilsvarende kommersielle alternativ. Jernbanedirektoratet skal levere sin rapport i oktober 2025, og departementet vil da vurdere om det er hensiktsmessig og mulig å etablere en slik ordning. Samferdselsdepartementet vil komme tilbake til Stortinget på egnet måte.</w:t>
      </w:r>
    </w:p>
    <w:p w14:paraId="5F2C4D64" w14:textId="77777777" w:rsidR="000A2A2B" w:rsidRPr="007C3060" w:rsidRDefault="000A2A2B" w:rsidP="007C3060">
      <w:pPr>
        <w:pStyle w:val="avsnitt-undertittel"/>
      </w:pPr>
      <w:r w:rsidRPr="007C3060">
        <w:t xml:space="preserve">Orientering om nedleggelse av nedre del av </w:t>
      </w:r>
      <w:proofErr w:type="spellStart"/>
      <w:r w:rsidRPr="007C3060">
        <w:t>Brevikbanen</w:t>
      </w:r>
      <w:proofErr w:type="spellEnd"/>
    </w:p>
    <w:p w14:paraId="41A1D9CF" w14:textId="77777777" w:rsidR="000A2A2B" w:rsidRPr="007C3060" w:rsidRDefault="000A2A2B" w:rsidP="007C3060">
      <w:proofErr w:type="spellStart"/>
      <w:r w:rsidRPr="007C3060">
        <w:t>Brevikbanen</w:t>
      </w:r>
      <w:proofErr w:type="spellEnd"/>
      <w:r w:rsidRPr="007C3060">
        <w:t xml:space="preserve"> er en jernbanestrekning på rundt ti kilometer som går mellom Eidanger og Brevik i Telemark fylke. Det har ikke vært togtrafikk på nedre del av banen (om lag 1,5 kilometer) på mange år, og den er i svært dårlig stand. Å sette den i stand vil medføre høye investeringskostnader, samtidig som markedsgrunnlaget er begrenset. Det tas derfor sikte på at nedre del av strekningen tas ut av det nasjonale jernbanenettet og frigis til andre formål. Etterbruk av banestrekningen vurderes på vanlig måte av Bane NOR som infrastruktureier i dialog med lokale myndigheter.</w:t>
      </w:r>
    </w:p>
    <w:p w14:paraId="792DA3ED" w14:textId="77777777" w:rsidR="000A2A2B" w:rsidRPr="007C3060" w:rsidRDefault="000A2A2B" w:rsidP="007C3060">
      <w:pPr>
        <w:pStyle w:val="Overskrift2"/>
      </w:pPr>
      <w:r w:rsidRPr="007C3060">
        <w:lastRenderedPageBreak/>
        <w:t>Klima- og miljødepartementet</w:t>
      </w:r>
    </w:p>
    <w:p w14:paraId="66F6B11C" w14:textId="77777777" w:rsidR="000A2A2B" w:rsidRPr="007C3060" w:rsidRDefault="000A2A2B" w:rsidP="007C3060">
      <w:pPr>
        <w:pStyle w:val="b-budkaptit"/>
      </w:pPr>
      <w:r w:rsidRPr="007C3060">
        <w:t>Kap. 1400 Klima- og miljødepartementet</w:t>
      </w:r>
    </w:p>
    <w:p w14:paraId="20F55C4F" w14:textId="77777777" w:rsidR="000A2A2B" w:rsidRPr="007C3060" w:rsidRDefault="000A2A2B" w:rsidP="007C3060">
      <w:pPr>
        <w:pStyle w:val="b-post"/>
      </w:pPr>
      <w:r w:rsidRPr="007C3060">
        <w:t>Post 01 Driftsutgifter</w:t>
      </w:r>
    </w:p>
    <w:p w14:paraId="7FE31411" w14:textId="77777777" w:rsidR="000A2A2B" w:rsidRPr="007C3060" w:rsidRDefault="000A2A2B" w:rsidP="007C3060">
      <w:r w:rsidRPr="007C3060">
        <w:t>Posten foreslås økt med 3,2 mill. kroner mot tilsvarende reduksjon på kap. 1400, post 21 til Klima- og miljødepartementets arbeid med plastforurensning. Midlene skal finansiere faste stillinger og tilhørende driftskostnader.</w:t>
      </w:r>
    </w:p>
    <w:p w14:paraId="4585DA6B" w14:textId="77777777" w:rsidR="000A2A2B" w:rsidRPr="007C3060" w:rsidRDefault="000A2A2B" w:rsidP="007C3060">
      <w:pPr>
        <w:pStyle w:val="b-post"/>
      </w:pPr>
      <w:r w:rsidRPr="007C3060">
        <w:t>Post 21 Spesielle driftsutgifter</w:t>
      </w:r>
    </w:p>
    <w:p w14:paraId="3B1919A8" w14:textId="77777777" w:rsidR="000A2A2B" w:rsidRPr="007C3060" w:rsidRDefault="000A2A2B" w:rsidP="007C3060">
      <w:r w:rsidRPr="007C3060">
        <w:t>Posten foreslås redusert med 3,2 mill. kroner mot tilsvarende økning på kap. 1400, post 01, for å finansiere arbeidet med plastforurensning. Midlene skal finansiere faste stillinger og tilhørende driftskostnader.</w:t>
      </w:r>
    </w:p>
    <w:p w14:paraId="4CFA1341" w14:textId="77777777" w:rsidR="000A2A2B" w:rsidRPr="007C3060" w:rsidRDefault="000A2A2B" w:rsidP="007C3060">
      <w:r w:rsidRPr="007C3060">
        <w:t>Samtidig foreslås posten økt med 2 mill. kroner mot tilsvarende reduksjon på kap. 1400, post 76, for å følge opp arbeidet med matsvinnloven, herunder utredning og utforming av nærmere forskrifter som skal supplere og utfylle loven.</w:t>
      </w:r>
    </w:p>
    <w:p w14:paraId="30C17A8F" w14:textId="77777777" w:rsidR="000A2A2B" w:rsidRPr="007C3060" w:rsidRDefault="000A2A2B" w:rsidP="007C3060">
      <w:r w:rsidRPr="007C3060">
        <w:t>Samlet foreslås bevilgningen på posten redusert med 1,2 mill. kroner.</w:t>
      </w:r>
    </w:p>
    <w:p w14:paraId="0987808B" w14:textId="77777777" w:rsidR="000A2A2B" w:rsidRPr="007C3060" w:rsidRDefault="000A2A2B" w:rsidP="007C3060">
      <w:pPr>
        <w:pStyle w:val="b-post"/>
      </w:pPr>
      <w:r w:rsidRPr="007C3060">
        <w:t>Post 76 Støtte til nasjonale og internasjonale miljøtiltak, kan overføres</w:t>
      </w:r>
    </w:p>
    <w:p w14:paraId="2E5AF7A4" w14:textId="77777777" w:rsidR="000A2A2B" w:rsidRPr="007C3060" w:rsidRDefault="000A2A2B" w:rsidP="007C3060">
      <w:r w:rsidRPr="007C3060">
        <w:t>Posten foreslås redusert med 2 mill. kroner mot tilsvarende økning på kap. 1400, post 21, for å følge opp arbeidet med matsvinnloven, herunder utredning og utforming av nærmere forskrifter som skal supplere og utfylle loven.</w:t>
      </w:r>
    </w:p>
    <w:p w14:paraId="72DB0952" w14:textId="77777777" w:rsidR="000A2A2B" w:rsidRPr="007C3060" w:rsidRDefault="000A2A2B" w:rsidP="007C3060">
      <w:pPr>
        <w:pStyle w:val="b-budkaptit"/>
      </w:pPr>
      <w:r w:rsidRPr="007C3060">
        <w:t>Kap. 1412 Meteorologiformål</w:t>
      </w:r>
    </w:p>
    <w:p w14:paraId="58017836" w14:textId="77777777" w:rsidR="000A2A2B" w:rsidRPr="007C3060" w:rsidRDefault="000A2A2B" w:rsidP="007C3060">
      <w:pPr>
        <w:pStyle w:val="b-post"/>
      </w:pPr>
      <w:r w:rsidRPr="007C3060">
        <w:t>Post 70 Internasjonale samarbeidsprosjekter</w:t>
      </w:r>
    </w:p>
    <w:p w14:paraId="4B6D9F56" w14:textId="77777777" w:rsidR="000A2A2B" w:rsidRPr="007C3060" w:rsidRDefault="000A2A2B" w:rsidP="007C3060">
      <w:r w:rsidRPr="007C3060">
        <w:t>Bevilgningen på posten dekker kontingenter til deltakelse i internasjonale meteorologiske organisasjoner. Bevilgningen på posten foreslås redusert med 13,7 mill. kroner i hovedsak som følge av reduksjoner i kontingenten for EUMETSAT og endringer i valutakurser.</w:t>
      </w:r>
    </w:p>
    <w:p w14:paraId="4786796A" w14:textId="77777777" w:rsidR="000A2A2B" w:rsidRPr="007C3060" w:rsidRDefault="000A2A2B" w:rsidP="007C3060">
      <w:pPr>
        <w:pStyle w:val="b-budkaptit"/>
      </w:pPr>
      <w:r w:rsidRPr="007C3060">
        <w:t>Kap. 1420 Miljødirektoratet</w:t>
      </w:r>
    </w:p>
    <w:p w14:paraId="0CECA2D0" w14:textId="77777777" w:rsidR="000A2A2B" w:rsidRPr="007C3060" w:rsidRDefault="000A2A2B" w:rsidP="007C3060">
      <w:pPr>
        <w:pStyle w:val="b-post"/>
      </w:pPr>
      <w:r w:rsidRPr="007C3060">
        <w:t>Post 01 Driftsutgifter</w:t>
      </w:r>
    </w:p>
    <w:p w14:paraId="6D2ECE17" w14:textId="77777777" w:rsidR="000A2A2B" w:rsidRPr="007C3060" w:rsidRDefault="000A2A2B" w:rsidP="007C3060">
      <w:r w:rsidRPr="007C3060">
        <w:t>Bevilgningen på posten foreslås økt med 3,2 mill. kroner, mot tilsvarende reduksjon under kap. 1420, post 31, for å finansiere to faste årsverk i Statens naturoppsyn som skal arbeide med naturrestaurering. Arbeidsomfanget med naturrestaurering har økt vesentlig som følge av at Stortingets bevilgninger til naturrestaurering har nær tredoblet seg på tre år, fra om lag 36 mill. kroner i 2023 til om lag 110 mill. kroner i 2025-budsjettet.</w:t>
      </w:r>
    </w:p>
    <w:p w14:paraId="37A541F7" w14:textId="77777777" w:rsidR="000A2A2B" w:rsidRPr="007C3060" w:rsidRDefault="000A2A2B" w:rsidP="007C3060">
      <w:r w:rsidRPr="007C3060">
        <w:t xml:space="preserve">Videre foreslås posten økt med 2,4 mill. kroner mot tilsvarende reduksjon under kap. 1420 post 60, for å øke kapasiteten til saksbehandling av tilskuddsordningen Natursats. Ordningen gir </w:t>
      </w:r>
      <w:r w:rsidRPr="007C3060">
        <w:lastRenderedPageBreak/>
        <w:t>tilskudd til kommuner for utarbeiding av kommunaldelplan for naturmangfold, til revidering av slik plan, til å gå gjennom eldre arealplaner og vurdere om disse er i tråd med oppdatert kunnskap (såkalt planvask), og til lokale tiltak som forbedrer tilstanden i naturen. Bevilgning og søknadsmengde under Natursats er økt fra 3 mill. kroner i 2023 til 118 mill. kroner i 2025-budsjettet. Se også omtale av omdisponeringene under kap. 1420, post 31 og kap. 1420, post 60.</w:t>
      </w:r>
    </w:p>
    <w:p w14:paraId="59E07313" w14:textId="77777777" w:rsidR="000A2A2B" w:rsidRPr="007C3060" w:rsidRDefault="000A2A2B" w:rsidP="007C3060">
      <w:r w:rsidRPr="007C3060">
        <w:t>Samlet foreslås bevilgningen på posten økt med 5,6 mill. kroner.</w:t>
      </w:r>
    </w:p>
    <w:p w14:paraId="12AB91A6" w14:textId="77777777" w:rsidR="000A2A2B" w:rsidRPr="007C3060" w:rsidRDefault="000A2A2B" w:rsidP="007C3060">
      <w:pPr>
        <w:pStyle w:val="b-post"/>
      </w:pPr>
      <w:r w:rsidRPr="007C3060">
        <w:t>Post 30 Statlige erverv, bevaring av viktige friluftslivsområder, kan overføres</w:t>
      </w:r>
    </w:p>
    <w:p w14:paraId="5AFF3670" w14:textId="77777777" w:rsidR="000A2A2B" w:rsidRPr="007C3060" w:rsidRDefault="000A2A2B" w:rsidP="007C3060">
      <w:r w:rsidRPr="007C3060">
        <w:t xml:space="preserve">Bevilgningen på posten foreslås økt med 4,8 mill. kroner som tilsvarer tilbakebetaling fra Forsvarsbygg for at forsvaret skal beholde eierskapet til </w:t>
      </w:r>
      <w:proofErr w:type="spellStart"/>
      <w:r w:rsidRPr="007C3060">
        <w:t>Vigdel</w:t>
      </w:r>
      <w:proofErr w:type="spellEnd"/>
      <w:r w:rsidRPr="007C3060">
        <w:t xml:space="preserve"> fort i Sola kommune, jf. tilsvarende økning for tilsvarende inntektspost under kap. 4420 post 40. Eiendommen var i prosess for å bli et statlig sikret friluftslivsområde, men på bakgrunn av forsvarssituasjonen har Forsvaret et fornyet behov for området.</w:t>
      </w:r>
    </w:p>
    <w:p w14:paraId="0BD85C2E" w14:textId="77777777" w:rsidR="000A2A2B" w:rsidRPr="007C3060" w:rsidRDefault="000A2A2B" w:rsidP="007C3060">
      <w:pPr>
        <w:pStyle w:val="b-post"/>
      </w:pPr>
      <w:r w:rsidRPr="007C3060">
        <w:t>Post 31 Tiltak i verneområder og naturrestaurering, kan overføres</w:t>
      </w:r>
    </w:p>
    <w:p w14:paraId="0654FCFF" w14:textId="77777777" w:rsidR="000A2A2B" w:rsidRPr="007C3060" w:rsidRDefault="000A2A2B" w:rsidP="007C3060">
      <w:r w:rsidRPr="007C3060">
        <w:t>Bevilgningen på posten foreslås redusert med 3,2 mill. kroner mot tilsvarende økning under kap. 1420, post 01, for å styrke Statens naturoppsyns arbeid med naturrestaurering, jf. omtale under kap. 1420, post 01.</w:t>
      </w:r>
    </w:p>
    <w:p w14:paraId="057A8387" w14:textId="77777777" w:rsidR="000A2A2B" w:rsidRPr="007C3060" w:rsidRDefault="000A2A2B" w:rsidP="007C3060">
      <w:pPr>
        <w:pStyle w:val="b-post"/>
      </w:pPr>
      <w:r w:rsidRPr="007C3060">
        <w:t>Post 60 Tilskudd til natursats – tiltak og planlegging for natur i kommunene, kan overføres</w:t>
      </w:r>
    </w:p>
    <w:p w14:paraId="4814910F" w14:textId="77777777" w:rsidR="000A2A2B" w:rsidRPr="007C3060" w:rsidRDefault="000A2A2B" w:rsidP="007C3060">
      <w:r w:rsidRPr="007C3060">
        <w:t>Bevilgningen på posten dekker utgifter til tilskuddsordningen Natursats. Ordningen gir tilskudd til kommuner for utarbeiding av kommunal-delplan for naturmangfold, til revidering av slik plan, til å gå gjennom eldre arealplaner og vurdere om disse er i tråd med oppdatert kunnskap (såkalt planvask), og til lokale tiltak som forbedrer tilstanden i naturen. En del av tiltakene det er gitt tilsagn til så langt i 2025 vil pågå i to til tre år før ferdigstillelse. Det foreslås derfor å redusere bevilgningen på posten med 30 mill. kroner, samtidig som det opprettes en tilsagnsfullmakt på 30 mill. kroner, jf. forslag til romertallsvedtak.</w:t>
      </w:r>
    </w:p>
    <w:p w14:paraId="580DBD12" w14:textId="77777777" w:rsidR="000A2A2B" w:rsidRPr="007C3060" w:rsidRDefault="000A2A2B" w:rsidP="007C3060">
      <w:r w:rsidRPr="007C3060">
        <w:t>Bevilgningen på posten foreslås ytterligere redusert med 2,4 mill. kroner mot tilsvarende økning under kap. 1420, post 01, for å øke Miljødirektoratets kapasitet til saksbehandling av ordningen Natursats, jf. omtale under kap. 1420, post 01.</w:t>
      </w:r>
    </w:p>
    <w:p w14:paraId="221B4677" w14:textId="77777777" w:rsidR="000A2A2B" w:rsidRPr="007C3060" w:rsidRDefault="000A2A2B" w:rsidP="007C3060">
      <w:r w:rsidRPr="007C3060">
        <w:t>Samlet foreslås bevilgningen på posten redusert med 32,4 mill. kroner.</w:t>
      </w:r>
    </w:p>
    <w:p w14:paraId="0B6AFE6D" w14:textId="77777777" w:rsidR="000A2A2B" w:rsidRPr="007C3060" w:rsidRDefault="000A2A2B" w:rsidP="007C3060">
      <w:pPr>
        <w:pStyle w:val="b-post"/>
      </w:pPr>
      <w:r w:rsidRPr="007C3060">
        <w:t>Post 61 Tilskudd til klimatiltak og klimatilpasning, kan overføres</w:t>
      </w:r>
    </w:p>
    <w:p w14:paraId="22AF621B" w14:textId="77777777" w:rsidR="000A2A2B" w:rsidRPr="007C3060" w:rsidRDefault="000A2A2B" w:rsidP="007C3060">
      <w:r w:rsidRPr="007C3060">
        <w:t>Bevilgningen på posten ble i forliket om statsbudsjett for 2025 økt med 100 mill. kroner til tilskuddsordningen Klimasats. Ordningen innebærer at kommuner, fylkeskommuner og Longyearbyens lokalstyre kan søke om støtte for å dekke deler av kostnaden til ulike klimaprosjekter. Prognoser viser at dette ikke vil komme til utbetaling i 2025. Bevilgningen på posten foreslås derfor redusert med 100 mill. kroner mot tilsvarende økning av tilsagnsfullmakten, jf. forslag til romertallsvedtak</w:t>
      </w:r>
    </w:p>
    <w:p w14:paraId="3D537CBA" w14:textId="77777777" w:rsidR="000A2A2B" w:rsidRPr="007C3060" w:rsidRDefault="000A2A2B" w:rsidP="007C3060">
      <w:pPr>
        <w:pStyle w:val="b-post"/>
      </w:pPr>
      <w:r w:rsidRPr="007C3060">
        <w:lastRenderedPageBreak/>
        <w:t>Post 62 Tilskudd til grønn skipsfart, kan overføres</w:t>
      </w:r>
    </w:p>
    <w:p w14:paraId="46E4BA05" w14:textId="77777777" w:rsidR="000A2A2B" w:rsidRPr="007C3060" w:rsidRDefault="000A2A2B" w:rsidP="007C3060">
      <w:r w:rsidRPr="007C3060">
        <w:t>Bevilgningen på posten foreslås økt med 11,5 mill. kroner for å dekke forventede utbetalinger i 2025 til tidligere gitte tilsagn.</w:t>
      </w:r>
    </w:p>
    <w:p w14:paraId="4FC13279" w14:textId="77777777" w:rsidR="000A2A2B" w:rsidRPr="007C3060" w:rsidRDefault="000A2A2B" w:rsidP="007C3060">
      <w:pPr>
        <w:pStyle w:val="b-post"/>
      </w:pPr>
      <w:r w:rsidRPr="007C3060">
        <w:t>Post 69 Oppryddingstiltak, kan overføres, kan nyttes under postene 39 og 79</w:t>
      </w:r>
    </w:p>
    <w:p w14:paraId="41BA31EF" w14:textId="77777777" w:rsidR="000A2A2B" w:rsidRPr="007C3060" w:rsidRDefault="000A2A2B" w:rsidP="007C3060">
      <w:r w:rsidRPr="007C3060">
        <w:t>Som følge av forsinkelser knyttet til oppryddingsprosjektet ved Knaben gruver til 2026, foreslås bestillingsfullmakten økt med 4 mill. kroner, slik at ny samlet ramme for nytt og gammelt ansvar skal ikke overstiger 9 mill. kroner, jf. forslag til romertallsvedtak.</w:t>
      </w:r>
    </w:p>
    <w:p w14:paraId="1F1A7FD5" w14:textId="77777777" w:rsidR="000A2A2B" w:rsidRPr="007C3060" w:rsidRDefault="000A2A2B" w:rsidP="007C3060">
      <w:r w:rsidRPr="007C3060">
        <w:t>Avfallssorteringsanlegget Miljøservice Eide AS i Hustadvika kommune i Møre og Romsdal gikk konkurs i november 2020. Det er fortsatt lagret store mengder avfall på tomten etter avviklet drift. Regjeringen foreslår at det innenfor gjeldende bevilgning på posten kan benyttes 26,3 mill. kroner for å sikre en forsvarlig opprydding av avfall over bakken på forurenset tomt i Hustadvika kommune i Møre og Romsdal.</w:t>
      </w:r>
    </w:p>
    <w:p w14:paraId="56A6D855" w14:textId="77777777" w:rsidR="000A2A2B" w:rsidRPr="007C3060" w:rsidRDefault="000A2A2B" w:rsidP="007C3060">
      <w:pPr>
        <w:pStyle w:val="b-post"/>
      </w:pPr>
      <w:r w:rsidRPr="007C3060">
        <w:t>Post 76 Refusjon ved innlevering av klima- og miljøskadelige stoffer, overslagsbevilgning</w:t>
      </w:r>
    </w:p>
    <w:p w14:paraId="59C6196E" w14:textId="77777777" w:rsidR="000A2A2B" w:rsidRPr="007C3060" w:rsidRDefault="000A2A2B" w:rsidP="007C3060">
      <w:r w:rsidRPr="007C3060">
        <w:t>Bevilgningen på posten foreslås økt med 70,2 mill. kroner, som følge av opptrapping av avgiftssats på utslipp under innsatsfordelingen og feilestimering av innlevering av volum. I tillegg oppstod det før årsskiftet forsinkelser med destruksjon av en tank med HFK og PFK, noe som medfører at en refusjonsutbetaling på om lag 30 mill. kroner blir gjennomført i 2025, og ikke i 2024.</w:t>
      </w:r>
    </w:p>
    <w:p w14:paraId="1FCA8806" w14:textId="4F159D4F" w:rsidR="000A2A2B" w:rsidRPr="007C3060" w:rsidRDefault="000A2A2B" w:rsidP="007C3060">
      <w:pPr>
        <w:pStyle w:val="b-post"/>
      </w:pPr>
      <w:r w:rsidRPr="007C3060">
        <w:t>Post 80 Tilskudd til tiltak for å ta vare på natur, kan overføres</w:t>
      </w:r>
    </w:p>
    <w:p w14:paraId="37D119B5" w14:textId="77777777" w:rsidR="000A2A2B" w:rsidRPr="007C3060" w:rsidRDefault="000A2A2B" w:rsidP="007C3060">
      <w:r w:rsidRPr="007C3060">
        <w:t>Bevilgningen på posten foreslås redusert med 0,8 mill. kroner mot tilsvarende økning under kap. 1420, post 85, for kompensasjon til stiftelsen Nasjonalt villakssenter, jf. omtale under kap. 1420, post 85.</w:t>
      </w:r>
    </w:p>
    <w:p w14:paraId="6BD41230" w14:textId="77777777" w:rsidR="000A2A2B" w:rsidRPr="007C3060" w:rsidRDefault="000A2A2B" w:rsidP="007C3060">
      <w:r w:rsidRPr="007C3060">
        <w:t>Videre foreslås posten redusert med 0,6 mill. kroner mot tilsvarende økning under kap. 1471, post 01, til informasjonssikkerhetstiltak hos Norsk Polarinstitutt, jf. omtale under kap. 1471, post 01.</w:t>
      </w:r>
    </w:p>
    <w:p w14:paraId="41CAA8AF" w14:textId="77777777" w:rsidR="000A2A2B" w:rsidRPr="007C3060" w:rsidRDefault="000A2A2B" w:rsidP="007C3060">
      <w:r w:rsidRPr="007C3060">
        <w:t>Samlet foreslås posten redusert med 1,4 mill. kroner.</w:t>
      </w:r>
    </w:p>
    <w:p w14:paraId="16B6151F" w14:textId="77777777" w:rsidR="000A2A2B" w:rsidRPr="007C3060" w:rsidRDefault="000A2A2B" w:rsidP="007C3060">
      <w:pPr>
        <w:pStyle w:val="b-post"/>
      </w:pPr>
      <w:r w:rsidRPr="007C3060">
        <w:t>Post 85 Tilskudd til besøkssenter for natur og verdensarv, kan overføres</w:t>
      </w:r>
    </w:p>
    <w:p w14:paraId="62550E0B" w14:textId="77777777" w:rsidR="000A2A2B" w:rsidRPr="007C3060" w:rsidRDefault="000A2A2B" w:rsidP="007C3060">
      <w:r w:rsidRPr="007C3060">
        <w:t>Bevilgningen på posten foreslås økt med 0,8 mill. kroner mot tilsvarende reduksjon under kap. 1420, post 80. Midlene skal benyttes til kompensasjon for omstillingskostnader og ekstraarbeid i forbindelse med å omlegge stiftelsen Nasjonalt -villakssenter.</w:t>
      </w:r>
    </w:p>
    <w:p w14:paraId="74089648" w14:textId="77777777" w:rsidR="000A2A2B" w:rsidRPr="007C3060" w:rsidRDefault="000A2A2B" w:rsidP="007C3060">
      <w:r w:rsidRPr="007C3060">
        <w:t xml:space="preserve">Stiftelsen Nasjonalt villakssenter ble etablert i 2019, og har siden fått midler øremerket i de årlige budsjettene over kap. 1420, post 85. For å sikre tilstrekkelig kvalitet på besøkssentre for -villaks, og for å følge opp regjeringens arbeid med reduksjon i antall øremerkede tilskuddsmottakere, ble det igangsatt en prosess for å autorisere besøkssentre for villaks. Denne prosessen ble varslet i </w:t>
      </w:r>
      <w:proofErr w:type="spellStart"/>
      <w:r w:rsidRPr="007C3060">
        <w:t>Prop</w:t>
      </w:r>
      <w:proofErr w:type="spellEnd"/>
      <w:r w:rsidRPr="007C3060">
        <w:t xml:space="preserve">. 1 S (2023–2024). Det ble i mai 2024 utlyst autorisasjon av fire besøkssentre </w:t>
      </w:r>
      <w:r w:rsidRPr="007C3060">
        <w:lastRenderedPageBreak/>
        <w:t>for villaks, og fire sentre ble autorisert i desember 2024. Som en konsekvens av omleggingen utgikk tilskuddet til Nasjonalt villakssenter, og beløpet er flyttet til de autoriserte besøkssentrene for villaks. Det vil på denne bakgrunn utbetales en kompensasjon til stiftelsen Nasjonalt villakssenter for omstillingskostnader og ekstraarbeid i forbindelse med å omlegge stiftelsen. Kompensasjonen vil utgjøre 1,8 mill. kroner, hvorav 0,8 mill. kroner er den foreslåtte økningen i bevilgningen og 1 mill. kroner er eksisterende midler på posten.</w:t>
      </w:r>
    </w:p>
    <w:p w14:paraId="087A43A4" w14:textId="77777777" w:rsidR="000A2A2B" w:rsidRPr="007C3060" w:rsidRDefault="000A2A2B" w:rsidP="007C3060">
      <w:pPr>
        <w:pStyle w:val="b-budkaptit"/>
      </w:pPr>
      <w:r w:rsidRPr="007C3060">
        <w:t>Kap. 1425 Fisketiltak</w:t>
      </w:r>
    </w:p>
    <w:p w14:paraId="5581AB3E" w14:textId="77777777" w:rsidR="000A2A2B" w:rsidRPr="007C3060" w:rsidRDefault="000A2A2B" w:rsidP="007C3060">
      <w:pPr>
        <w:pStyle w:val="b-post"/>
      </w:pPr>
      <w:r w:rsidRPr="007C3060">
        <w:t>Post 70 Tilskudd til fiskeformål, kan overføres</w:t>
      </w:r>
    </w:p>
    <w:p w14:paraId="6A9339FF" w14:textId="77777777" w:rsidR="000A2A2B" w:rsidRPr="007C3060" w:rsidRDefault="000A2A2B" w:rsidP="007C3060">
      <w:r w:rsidRPr="007C3060">
        <w:t>Postens bevilgning foreslås redusert med 2,4 mill. kroner grunnet lavere anslag for inntekter til Statens fiskefond, som finansierer utgiftsposten, jf. omtale under kap. 5578, post 72.</w:t>
      </w:r>
    </w:p>
    <w:p w14:paraId="2D24C8A0" w14:textId="77777777" w:rsidR="000A2A2B" w:rsidRPr="007C3060" w:rsidRDefault="000A2A2B" w:rsidP="007C3060">
      <w:pPr>
        <w:pStyle w:val="b-budkaptit"/>
      </w:pPr>
      <w:r w:rsidRPr="007C3060">
        <w:t>Kap. 1429 Riksantikvaren</w:t>
      </w:r>
    </w:p>
    <w:p w14:paraId="7731658F" w14:textId="77777777" w:rsidR="000A2A2B" w:rsidRPr="007C3060" w:rsidRDefault="000A2A2B" w:rsidP="007C3060">
      <w:pPr>
        <w:pStyle w:val="b-post"/>
      </w:pPr>
      <w:r w:rsidRPr="007C3060">
        <w:t>Post 73 Tilskudd til bygninger og anlegg fra middelalderen og brannsikring, kan overføres</w:t>
      </w:r>
    </w:p>
    <w:p w14:paraId="3D120B12" w14:textId="77777777" w:rsidR="000A2A2B" w:rsidRPr="007C3060" w:rsidRDefault="000A2A2B" w:rsidP="007C3060">
      <w:r w:rsidRPr="007C3060">
        <w:t>Bevilgningen på posten foreslås redusert med 5 mill. kroner som inndekning til informasjonssikkerhetstiltak hos Norsk Polarinstitutt, jf. omtale under kap. 1471, post 01.</w:t>
      </w:r>
    </w:p>
    <w:p w14:paraId="783F8F92" w14:textId="77777777" w:rsidR="000A2A2B" w:rsidRPr="007C3060" w:rsidRDefault="000A2A2B" w:rsidP="007C3060">
      <w:pPr>
        <w:pStyle w:val="b-budkaptit"/>
      </w:pPr>
      <w:r w:rsidRPr="007C3060">
        <w:t>Kap. 1432 Norsk kulturminnefond</w:t>
      </w:r>
    </w:p>
    <w:p w14:paraId="3973D2AB" w14:textId="77777777" w:rsidR="000A2A2B" w:rsidRPr="007C3060" w:rsidRDefault="000A2A2B" w:rsidP="007C3060">
      <w:pPr>
        <w:pStyle w:val="b-post"/>
      </w:pPr>
      <w:r w:rsidRPr="007C3060">
        <w:t>Post 50 Til disposisjon for tiltak på kulturmiljøfeltet</w:t>
      </w:r>
    </w:p>
    <w:p w14:paraId="2B65C310" w14:textId="77777777" w:rsidR="000A2A2B" w:rsidRPr="007C3060" w:rsidRDefault="000A2A2B" w:rsidP="007C3060">
      <w:r w:rsidRPr="007C3060">
        <w:t>Bevilgningen på posten foreslås redusert med 20 mill. kroner som inndekning til transport, logistikk og drift av forskningsstasjonen Troll på Antarktis, jf. omtale under kap. 1471, post 21.</w:t>
      </w:r>
    </w:p>
    <w:p w14:paraId="79F90796" w14:textId="77777777" w:rsidR="000A2A2B" w:rsidRPr="007C3060" w:rsidRDefault="000A2A2B" w:rsidP="007C3060">
      <w:pPr>
        <w:pStyle w:val="b-budkaptit"/>
      </w:pPr>
      <w:r w:rsidRPr="007C3060">
        <w:t>Kap. 1471 Norsk Polarinstitutt</w:t>
      </w:r>
    </w:p>
    <w:p w14:paraId="61A51055" w14:textId="77777777" w:rsidR="000A2A2B" w:rsidRPr="007C3060" w:rsidRDefault="000A2A2B" w:rsidP="007C3060">
      <w:pPr>
        <w:pStyle w:val="b-post"/>
      </w:pPr>
      <w:r w:rsidRPr="007C3060">
        <w:t>Post 01 Driftsutgifter</w:t>
      </w:r>
    </w:p>
    <w:p w14:paraId="14707D0D" w14:textId="77777777" w:rsidR="000A2A2B" w:rsidRPr="007C3060" w:rsidRDefault="000A2A2B" w:rsidP="007C3060">
      <w:r w:rsidRPr="007C3060">
        <w:t>Bevilgningen på posten foreslås økt med 74,3 mill. kroner som følge av oppdaterte anslag for inntekter fra eksterne oppdrag, jf. kap. 4471, post 03.</w:t>
      </w:r>
    </w:p>
    <w:p w14:paraId="3A7A0BFA" w14:textId="77777777" w:rsidR="000A2A2B" w:rsidRPr="007C3060" w:rsidRDefault="000A2A2B" w:rsidP="007C3060">
      <w:r w:rsidRPr="007C3060">
        <w:t>Bevilgningen foreslås videre økt med 5,6 mill. kroner til informasjonssikkerhetstiltak hos Norsk Polarinstitutt for å lukke sårbarheter, jf. omtale av omdisponering under kap. 1420, post 80 og kap. 1429, post 73. Bevilgningen foreslås økt med 6 mill. kroner for styrket forskningsledelse og forskningsnærvær på Svalbard, herunder flere forskere.</w:t>
      </w:r>
    </w:p>
    <w:p w14:paraId="772A4EC2" w14:textId="77777777" w:rsidR="000A2A2B" w:rsidRPr="007C3060" w:rsidRDefault="000A2A2B" w:rsidP="007C3060">
      <w:r w:rsidRPr="007C3060">
        <w:t xml:space="preserve">De foreslåtte økningene er nødvendige for at Norsk Polarinstitutt skal kunne videreføre aktiviteten sin, slik at de kan ivareta samfunnsoppdraget knyttet til kartlegging, miljøovervåking og </w:t>
      </w:r>
      <w:proofErr w:type="spellStart"/>
      <w:r w:rsidRPr="007C3060">
        <w:t>forvaltningsrettet</w:t>
      </w:r>
      <w:proofErr w:type="spellEnd"/>
      <w:r w:rsidRPr="007C3060">
        <w:t xml:space="preserve"> forskning i Arktis og Antarktis.</w:t>
      </w:r>
    </w:p>
    <w:p w14:paraId="2D1C599F" w14:textId="77777777" w:rsidR="000A2A2B" w:rsidRPr="007C3060" w:rsidRDefault="000A2A2B" w:rsidP="007C3060">
      <w:r w:rsidRPr="007C3060">
        <w:t xml:space="preserve">Videre foreslås det en forlengelse av </w:t>
      </w:r>
      <w:proofErr w:type="spellStart"/>
      <w:r w:rsidRPr="007C3060">
        <w:t>Radarsat</w:t>
      </w:r>
      <w:proofErr w:type="spellEnd"/>
      <w:r w:rsidRPr="007C3060">
        <w:t>-avtalen til første halvdel av 2026, jf. omtale under kap. 922, post 71 under Nærings- og fiskeridepartementet. Det foreslås på denne bakgrunn å rammeoverføre 0,8 mill. kroner til kap. 922, post 71 for å dekke Klima- og miljødepartementets andel av kostnaden for forlengelse av avtalen.</w:t>
      </w:r>
    </w:p>
    <w:p w14:paraId="33A6E707" w14:textId="77777777" w:rsidR="000A2A2B" w:rsidRPr="007C3060" w:rsidRDefault="000A2A2B" w:rsidP="007C3060">
      <w:r w:rsidRPr="007C3060">
        <w:lastRenderedPageBreak/>
        <w:t>Samlet foreslås bevilgningen økt med 85 mill. kroner.</w:t>
      </w:r>
    </w:p>
    <w:p w14:paraId="24F9CF36" w14:textId="77777777" w:rsidR="000A2A2B" w:rsidRPr="007C3060" w:rsidRDefault="000A2A2B" w:rsidP="007C3060">
      <w:pPr>
        <w:pStyle w:val="b-post"/>
      </w:pPr>
      <w:r w:rsidRPr="007C3060">
        <w:t>Post 21 Spesielle driftsutgifter, kan overføres</w:t>
      </w:r>
    </w:p>
    <w:p w14:paraId="1E8F1207" w14:textId="77777777" w:rsidR="000A2A2B" w:rsidRPr="007C3060" w:rsidRDefault="000A2A2B" w:rsidP="007C3060">
      <w:r w:rsidRPr="007C3060">
        <w:t>Bevilgningen på posten foreslås økt med 21,3 mill. kroner til transport, logistikk og drift av forskningsstasjonen Troll på Antarktis, jf. omtale av omdisponering under kap. 1432, post 50.</w:t>
      </w:r>
    </w:p>
    <w:p w14:paraId="71B34DFD" w14:textId="77777777" w:rsidR="000A2A2B" w:rsidRPr="007C3060" w:rsidRDefault="000A2A2B" w:rsidP="007C3060">
      <w:r w:rsidRPr="007C3060">
        <w:t>Forskningsstasjonen er avhengig av årlige anløp med logistikkfartøy for forsyninger av mat, drivstoff og materiell. Dette er en krevende logistikkoperasjon hvor alle forsyninger losses direkte fra fartøyet opp på en høy og dynamisk iskant, som er svært utfordrende på grunn av ustabil iskant, sterk strøm og passerende isfjell. Det er nødvendig med et større forsyningsfartøy, som gjør det mulig å bruke et annet losseområde med mer skjermet beliggenhet, men høyere iskant. Dette vil øke leveringssikkerheten for stasjonen, og gi en betydelig og helt nødvendig reduksjon av risikoen ved losseoperasjonen, både for fartøyet og for Norsk Polarinstitutts personell. Videre er det behov for å styrke bevilgningen på posten knyttet til drift av forskningsstasjonen Troll.</w:t>
      </w:r>
    </w:p>
    <w:p w14:paraId="06C3CCA3" w14:textId="77777777" w:rsidR="000A2A2B" w:rsidRPr="007C3060" w:rsidRDefault="000A2A2B" w:rsidP="007C3060">
      <w:pPr>
        <w:pStyle w:val="b-budkaptit"/>
      </w:pPr>
      <w:r w:rsidRPr="007C3060">
        <w:t>Kap. 1481 Klimakvoter</w:t>
      </w:r>
    </w:p>
    <w:p w14:paraId="208E4815" w14:textId="77777777" w:rsidR="000A2A2B" w:rsidRPr="007C3060" w:rsidRDefault="000A2A2B" w:rsidP="007C3060">
      <w:pPr>
        <w:pStyle w:val="b-post"/>
      </w:pPr>
      <w:r w:rsidRPr="007C3060">
        <w:t>Post 22 Internasjonalt samarbeid under Parisavtalens artikkel 6, kan overføres</w:t>
      </w:r>
    </w:p>
    <w:p w14:paraId="0D701052" w14:textId="77777777" w:rsidR="000A2A2B" w:rsidRPr="007C3060" w:rsidRDefault="000A2A2B" w:rsidP="007C3060">
      <w:r w:rsidRPr="007C3060">
        <w:t xml:space="preserve">Bevilgningen foreslås redusert med 142 mill. kroner som følge av justerte prognoser for kvotekjøp inneværende år. Det ble ikke inngått flere kjøpskontrakter for kvoter i 2024 gjennom Verdensbankfondet Transformative </w:t>
      </w:r>
      <w:proofErr w:type="spellStart"/>
      <w:r w:rsidRPr="007C3060">
        <w:t>Carbon</w:t>
      </w:r>
      <w:proofErr w:type="spellEnd"/>
      <w:r w:rsidRPr="007C3060">
        <w:t xml:space="preserve"> Asset </w:t>
      </w:r>
      <w:proofErr w:type="spellStart"/>
      <w:r w:rsidRPr="007C3060">
        <w:t>Facility</w:t>
      </w:r>
      <w:proofErr w:type="spellEnd"/>
      <w:r w:rsidRPr="007C3060">
        <w:t xml:space="preserve"> (TCAF).</w:t>
      </w:r>
    </w:p>
    <w:p w14:paraId="1F2EC03B" w14:textId="77777777" w:rsidR="000A2A2B" w:rsidRPr="007C3060" w:rsidRDefault="000A2A2B" w:rsidP="007C3060">
      <w:r w:rsidRPr="007C3060">
        <w:t xml:space="preserve">Stortinget vedtok ved behandlingen av </w:t>
      </w:r>
      <w:proofErr w:type="spellStart"/>
      <w:r w:rsidRPr="007C3060">
        <w:t>Prop</w:t>
      </w:r>
      <w:proofErr w:type="spellEnd"/>
      <w:r w:rsidRPr="007C3060">
        <w:t xml:space="preserve">. 1 S (2024–2025), jf. </w:t>
      </w:r>
      <w:proofErr w:type="spellStart"/>
      <w:r w:rsidRPr="007C3060">
        <w:t>Innst</w:t>
      </w:r>
      <w:proofErr w:type="spellEnd"/>
      <w:r w:rsidRPr="007C3060">
        <w:t xml:space="preserve">. 9 S (2024–2025) en fullmakt på 8,2 mrd. kroner for kjøp av klimakvoter under Parisavtalens artikkel 6. I løpet av 2025 vil det bli inngått en avtale med Asiabankens fond for kvotekjøp under </w:t>
      </w:r>
      <w:proofErr w:type="spellStart"/>
      <w:r w:rsidRPr="007C3060">
        <w:t>Climate</w:t>
      </w:r>
      <w:proofErr w:type="spellEnd"/>
      <w:r w:rsidRPr="007C3060">
        <w:t xml:space="preserve"> Action </w:t>
      </w:r>
      <w:proofErr w:type="spellStart"/>
      <w:r w:rsidRPr="007C3060">
        <w:t>Catalyst</w:t>
      </w:r>
      <w:proofErr w:type="spellEnd"/>
      <w:r w:rsidRPr="007C3060">
        <w:t xml:space="preserve"> Fund (CACF) med inntil 50 mill. USD, som dekkes av fullmakten. Fondet skal jobbe for utslippsreduksjoner i Asia og Stillehavsregionen under Paris-avtalens artikkel 6, og bidra til å utstede kvoter som Norge kan kjøpe. Innenfor gjeldende bevilgning på posten vil det i 2025 bli utbetalt 29 mill. kroner til fondet, som dekker nødvendige administrasjons- og programutviklingskostnader.</w:t>
      </w:r>
    </w:p>
    <w:p w14:paraId="5F9151E0" w14:textId="77777777" w:rsidR="000A2A2B" w:rsidRPr="007C3060" w:rsidRDefault="000A2A2B" w:rsidP="007C3060">
      <w:pPr>
        <w:pStyle w:val="b-budkaptit"/>
      </w:pPr>
      <w:r w:rsidRPr="007C3060">
        <w:t>Kap. 1482 Internasjonale klima- og utviklingstiltak</w:t>
      </w:r>
    </w:p>
    <w:p w14:paraId="64FEF24A" w14:textId="0B40B0ED" w:rsidR="000A2A2B" w:rsidRPr="007C3060" w:rsidRDefault="000A2A2B" w:rsidP="007C3060">
      <w:pPr>
        <w:pStyle w:val="b-post"/>
      </w:pPr>
      <w:r w:rsidRPr="007C3060">
        <w:t>Post 73 Klima- og skoginitiativet, kan overføres, kan nyttes under post 21</w:t>
      </w:r>
    </w:p>
    <w:p w14:paraId="23A1DAA6" w14:textId="77777777" w:rsidR="000A2A2B" w:rsidRPr="007C3060" w:rsidRDefault="000A2A2B" w:rsidP="007C3060">
      <w:r w:rsidRPr="007C3060">
        <w:t>Frivillig bidrag til Klimakonvensjonens sekretariat foreslås økt med 10 mill. kroner i 2025 innenfor uendret bevilgning på posten. Midlene belastes Klima- og skoginitiativets budsjettramme i 2025. Midlene skal brukes til Klimakonvensjonens arbeid med å forberede klimatoppmøtet i 2025 som holdes i Belem i Brasil.</w:t>
      </w:r>
    </w:p>
    <w:p w14:paraId="134DDD03" w14:textId="77777777" w:rsidR="000A2A2B" w:rsidRPr="007C3060" w:rsidRDefault="000A2A2B" w:rsidP="007C3060">
      <w:pPr>
        <w:pStyle w:val="b-budkaptit"/>
      </w:pPr>
      <w:r w:rsidRPr="007C3060">
        <w:lastRenderedPageBreak/>
        <w:t>Kap. 4420 Miljødirektoratet</w:t>
      </w:r>
    </w:p>
    <w:p w14:paraId="2D24733D" w14:textId="77777777" w:rsidR="000A2A2B" w:rsidRPr="007C3060" w:rsidRDefault="000A2A2B" w:rsidP="007C3060">
      <w:pPr>
        <w:pStyle w:val="b-post"/>
      </w:pPr>
      <w:r w:rsidRPr="007C3060">
        <w:t>Post 40 (Ny) Salg av eiendom og innløsning av festetomter i statlig sikrede friluftslivsområder</w:t>
      </w:r>
    </w:p>
    <w:p w14:paraId="6A65B902" w14:textId="77777777" w:rsidR="000A2A2B" w:rsidRPr="007C3060" w:rsidRDefault="000A2A2B" w:rsidP="007C3060">
      <w:r w:rsidRPr="007C3060">
        <w:t xml:space="preserve">Det foreslås </w:t>
      </w:r>
      <w:proofErr w:type="gramStart"/>
      <w:r w:rsidRPr="007C3060">
        <w:t>en bevilgningen</w:t>
      </w:r>
      <w:proofErr w:type="gramEnd"/>
      <w:r w:rsidRPr="007C3060">
        <w:t xml:space="preserve"> på 4,8 mill. kroner, som tilsvarer tilbakebetaling fra Forsvarsbygg for at forsvaret skal beholde eierskapet for </w:t>
      </w:r>
      <w:proofErr w:type="spellStart"/>
      <w:r w:rsidRPr="007C3060">
        <w:t>Vigdel</w:t>
      </w:r>
      <w:proofErr w:type="spellEnd"/>
      <w:r w:rsidRPr="007C3060">
        <w:t xml:space="preserve"> fort i Sola kommune, jf. tilsvarende økning for motsvarende utgiftspost under kap. 1420 post 30. Eiendommen var i prosess for å bli et statlig sikret friluftslivsområde, men på bakgrunn av forsvars-situasjonen har Forsvaret et fornyet behov for området.</w:t>
      </w:r>
    </w:p>
    <w:p w14:paraId="5B77775D" w14:textId="77777777" w:rsidR="000A2A2B" w:rsidRPr="007C3060" w:rsidRDefault="000A2A2B" w:rsidP="007C3060">
      <w:pPr>
        <w:pStyle w:val="b-budkaptit"/>
      </w:pPr>
      <w:r w:rsidRPr="007C3060">
        <w:t>Kap. 4471 Norsk Polarinstitutt</w:t>
      </w:r>
    </w:p>
    <w:p w14:paraId="112B0B5F" w14:textId="77777777" w:rsidR="000A2A2B" w:rsidRPr="007C3060" w:rsidRDefault="000A2A2B" w:rsidP="007C3060">
      <w:pPr>
        <w:pStyle w:val="b-post"/>
      </w:pPr>
      <w:r w:rsidRPr="007C3060">
        <w:t>Post 03 Inntekter fra diverse tjenesteyting</w:t>
      </w:r>
    </w:p>
    <w:p w14:paraId="3B5FF428" w14:textId="77777777" w:rsidR="000A2A2B" w:rsidRPr="007C3060" w:rsidRDefault="000A2A2B" w:rsidP="007C3060">
      <w:r w:rsidRPr="007C3060">
        <w:t>Bevilgningen på posten foreslås økt med 74,3 mill. kroner. Dette skyldes oppdaterte anslag for inntekter fra oppdragsfinansiert forskning. Det foreslås en tilsvarende økning av tilhørende utgifter, jf. kap. 1471, post 01.</w:t>
      </w:r>
    </w:p>
    <w:p w14:paraId="6B2688A8" w14:textId="77777777" w:rsidR="000A2A2B" w:rsidRPr="007C3060" w:rsidRDefault="000A2A2B" w:rsidP="007C3060">
      <w:pPr>
        <w:pStyle w:val="b-budkaptit"/>
      </w:pPr>
      <w:r w:rsidRPr="007C3060">
        <w:t>Kap. 4481 Salg av klimakvoter</w:t>
      </w:r>
    </w:p>
    <w:p w14:paraId="405584F9" w14:textId="77777777" w:rsidR="000A2A2B" w:rsidRPr="007C3060" w:rsidRDefault="000A2A2B" w:rsidP="007C3060">
      <w:pPr>
        <w:pStyle w:val="b-post"/>
      </w:pPr>
      <w:r w:rsidRPr="007C3060">
        <w:t>Post 01 Salgsinntekter</w:t>
      </w:r>
    </w:p>
    <w:p w14:paraId="2BDB2CAF" w14:textId="77777777" w:rsidR="000A2A2B" w:rsidRPr="007C3060" w:rsidRDefault="000A2A2B" w:rsidP="007C3060">
      <w:r w:rsidRPr="007C3060">
        <w:t>Inntekter fra kvotesalg i 2025 anslås til 2 357 mill. kroner. Dette er 777 mill. kroner lavere enn det som ligger i saldert budsjett for 2025. Årsaken til reduksjonen er nesten utelukkende at Norge får auksjonere færre klimakvoter, fordi flere klimakvoter skal tas ut av kvotemarkedet og settes inn på markedsstabiliseringsreserven enn lagt til grunn ved beregningen til saldert budsjett. I tillegg er kvoteprisen noe lavere og kronen har svekket seg mot euroen, sammenlignet med antakelsene til saldert budsjett.</w:t>
      </w:r>
    </w:p>
    <w:p w14:paraId="124E0274" w14:textId="77777777" w:rsidR="000A2A2B" w:rsidRPr="007C3060" w:rsidRDefault="000A2A2B" w:rsidP="007C3060">
      <w:r w:rsidRPr="007C3060">
        <w:t>Bevilgningen på posten foreslås dermed redusert med 777 mill. kroner.</w:t>
      </w:r>
    </w:p>
    <w:p w14:paraId="55C0DD8D" w14:textId="77777777" w:rsidR="000A2A2B" w:rsidRPr="007C3060" w:rsidRDefault="000A2A2B" w:rsidP="007C3060">
      <w:pPr>
        <w:pStyle w:val="b-budkaptit"/>
      </w:pPr>
      <w:r w:rsidRPr="007C3060">
        <w:t>Kap. 5578 Sektoravgifter under Klima- og miljødepartementet</w:t>
      </w:r>
    </w:p>
    <w:p w14:paraId="63005A04" w14:textId="77777777" w:rsidR="000A2A2B" w:rsidRPr="007C3060" w:rsidRDefault="000A2A2B" w:rsidP="007C3060">
      <w:pPr>
        <w:pStyle w:val="b-post"/>
      </w:pPr>
      <w:r w:rsidRPr="007C3060">
        <w:t xml:space="preserve">Post 72 </w:t>
      </w:r>
      <w:proofErr w:type="spellStart"/>
      <w:r w:rsidRPr="007C3060">
        <w:t>Fiskeravgifter</w:t>
      </w:r>
      <w:proofErr w:type="spellEnd"/>
    </w:p>
    <w:p w14:paraId="1F8A2598" w14:textId="77777777" w:rsidR="000A2A2B" w:rsidRPr="007C3060" w:rsidRDefault="000A2A2B" w:rsidP="007C3060">
      <w:r w:rsidRPr="007C3060">
        <w:t>Som følge av oppdaterte anslag om innbetalte -</w:t>
      </w:r>
      <w:proofErr w:type="spellStart"/>
      <w:r w:rsidRPr="007C3060">
        <w:t>fiskeravgifter</w:t>
      </w:r>
      <w:proofErr w:type="spellEnd"/>
      <w:r w:rsidRPr="007C3060">
        <w:t>, foreslås det at kap. 5578, post 72 reduseres med 2,4 mill. kroner, med tilsvarende nedjustering av motsvarende utgifter under kap. 1425, post 70.</w:t>
      </w:r>
    </w:p>
    <w:p w14:paraId="11D0FF67" w14:textId="77777777" w:rsidR="000A2A2B" w:rsidRPr="007C3060" w:rsidRDefault="000A2A2B" w:rsidP="007C3060">
      <w:pPr>
        <w:pStyle w:val="Undertittel"/>
      </w:pPr>
      <w:r w:rsidRPr="007C3060">
        <w:t>Andre saker</w:t>
      </w:r>
    </w:p>
    <w:p w14:paraId="19E2DB53" w14:textId="77777777" w:rsidR="000A2A2B" w:rsidRPr="007C3060" w:rsidRDefault="000A2A2B" w:rsidP="007C3060">
      <w:pPr>
        <w:pStyle w:val="avsnitt-undertittel"/>
      </w:pPr>
      <w:r w:rsidRPr="007C3060">
        <w:t xml:space="preserve">Avvikling av </w:t>
      </w:r>
      <w:proofErr w:type="spellStart"/>
      <w:r w:rsidRPr="007C3060">
        <w:t>Bjørnøen</w:t>
      </w:r>
      <w:proofErr w:type="spellEnd"/>
      <w:r w:rsidRPr="007C3060">
        <w:t xml:space="preserve"> AS</w:t>
      </w:r>
    </w:p>
    <w:p w14:paraId="2F04CEE1" w14:textId="77777777" w:rsidR="000A2A2B" w:rsidRPr="007C3060" w:rsidRDefault="000A2A2B" w:rsidP="007C3060">
      <w:r w:rsidRPr="007C3060">
        <w:t xml:space="preserve">Statens eierskap i </w:t>
      </w:r>
      <w:proofErr w:type="spellStart"/>
      <w:r w:rsidRPr="007C3060">
        <w:t>Bjørnøen</w:t>
      </w:r>
      <w:proofErr w:type="spellEnd"/>
      <w:r w:rsidRPr="007C3060">
        <w:t xml:space="preserve"> AS forvaltes i dag av Klima- og miljødepartementet. Staten eier samtlige aksjer i selskapet.</w:t>
      </w:r>
    </w:p>
    <w:p w14:paraId="66814B67" w14:textId="77777777" w:rsidR="000A2A2B" w:rsidRPr="007C3060" w:rsidRDefault="000A2A2B" w:rsidP="007C3060">
      <w:proofErr w:type="spellStart"/>
      <w:r w:rsidRPr="007C3060">
        <w:lastRenderedPageBreak/>
        <w:t>Bjørnøen</w:t>
      </w:r>
      <w:proofErr w:type="spellEnd"/>
      <w:r w:rsidRPr="007C3060">
        <w:t xml:space="preserve"> AS eier all grunn og noen kultur-historiske bygninger på Bjørnøya, og er administrativt underlagt Kings Bay AS, som også leverer forvaltningstjenester til </w:t>
      </w:r>
      <w:proofErr w:type="spellStart"/>
      <w:r w:rsidRPr="007C3060">
        <w:t>Bjørnøen</w:t>
      </w:r>
      <w:proofErr w:type="spellEnd"/>
      <w:r w:rsidRPr="007C3060">
        <w:t xml:space="preserve">. Selskapene har samme styre og administrerende direktør. Utover administrerende direktør har </w:t>
      </w:r>
      <w:proofErr w:type="spellStart"/>
      <w:r w:rsidRPr="007C3060">
        <w:t>Bjørnøen</w:t>
      </w:r>
      <w:proofErr w:type="spellEnd"/>
      <w:r w:rsidRPr="007C3060">
        <w:t xml:space="preserve"> AS ingen ansatte. Selskapet har ingen oppgaver utover å ivareta eiendomsretten til grunn og kulturhistoriske bygninger på Bjørnøya. Staten er eier av </w:t>
      </w:r>
      <w:proofErr w:type="spellStart"/>
      <w:r w:rsidRPr="007C3060">
        <w:t>Bjørnøen</w:t>
      </w:r>
      <w:proofErr w:type="spellEnd"/>
      <w:r w:rsidRPr="007C3060">
        <w:t xml:space="preserve"> AS for å ivareta statens eierinteresser til grunnen på Bjørnøya, jf. Meld. St. 6 (2022–2023) </w:t>
      </w:r>
      <w:r w:rsidRPr="007C3060">
        <w:rPr>
          <w:rStyle w:val="kursiv"/>
        </w:rPr>
        <w:t xml:space="preserve">Et grønnere og mer aktivt statlig eierskap </w:t>
      </w:r>
      <w:r w:rsidRPr="007C3060">
        <w:t>(eierskapsmeldingen).</w:t>
      </w:r>
    </w:p>
    <w:p w14:paraId="09369B11" w14:textId="77777777" w:rsidR="000A2A2B" w:rsidRPr="007C3060" w:rsidRDefault="000A2A2B" w:rsidP="007C3060">
      <w:r w:rsidRPr="007C3060">
        <w:t xml:space="preserve">Staten er den største grunneieren på Svalbard, og eier ved Nærings- og fiskeridepartementet i overkant av 98 pst. av all grunn direkte. Gjennom eierskapet i </w:t>
      </w:r>
      <w:proofErr w:type="spellStart"/>
      <w:r w:rsidRPr="007C3060">
        <w:t>Bjørnøen</w:t>
      </w:r>
      <w:proofErr w:type="spellEnd"/>
      <w:r w:rsidRPr="007C3060">
        <w:t xml:space="preserve"> AS eier staten indirekte grunnen på Bjørnøya. I Meld. St. 26 (2023–2024) </w:t>
      </w:r>
      <w:r w:rsidRPr="007C3060">
        <w:rPr>
          <w:rStyle w:val="kursiv"/>
        </w:rPr>
        <w:t>Svalbard</w:t>
      </w:r>
      <w:r w:rsidRPr="007C3060">
        <w:t xml:space="preserve"> (Svalbardmeldingen) står det at regjeringen vil vurdere om Kings Bay AS’ og </w:t>
      </w:r>
      <w:proofErr w:type="spellStart"/>
      <w:r w:rsidRPr="007C3060">
        <w:t>Bjørnøen</w:t>
      </w:r>
      <w:proofErr w:type="spellEnd"/>
      <w:r w:rsidRPr="007C3060">
        <w:t xml:space="preserve"> AS’ eiendomsrett til grunnen på Bjørnøya skal overføres til Nærings- og fiskeridepartementet, for å samle den statlige forvaltningen av grunnen på Svalbard.</w:t>
      </w:r>
    </w:p>
    <w:p w14:paraId="0EE79D31" w14:textId="77777777" w:rsidR="000A2A2B" w:rsidRPr="007C3060" w:rsidRDefault="000A2A2B" w:rsidP="007C3060">
      <w:r w:rsidRPr="007C3060">
        <w:t xml:space="preserve">Regjeringen foreslår å avvikle </w:t>
      </w:r>
      <w:proofErr w:type="spellStart"/>
      <w:r w:rsidRPr="007C3060">
        <w:t>Bjørnøen</w:t>
      </w:r>
      <w:proofErr w:type="spellEnd"/>
      <w:r w:rsidRPr="007C3060">
        <w:t xml:space="preserve"> AS. Selskapets eiendeler, det vil si særlig grunnen på Bjørnøya, kulturminner og bygninger som eies av </w:t>
      </w:r>
      <w:proofErr w:type="spellStart"/>
      <w:r w:rsidRPr="007C3060">
        <w:t>Bjørnøen</w:t>
      </w:r>
      <w:proofErr w:type="spellEnd"/>
      <w:r w:rsidRPr="007C3060">
        <w:t xml:space="preserve"> AS, vil da tilfalle Klima- og miljødepartementet som forvalter statens eierskap i selskapet. Formålet med avvikling er å samle den statlige forvaltningen av grunnen på Svalbard i Nærings- og fiskeridepartementet. Klima- og miljødepartementet vil gjennomgå selskapets eiendommer og verdier, og overføre ansvaret for forvaltning av grunnen til Nærings- og fiskeridepartementet. Klima- og miljødepartementet er ikke kjent med noen utestående forpliktelser i </w:t>
      </w:r>
      <w:proofErr w:type="spellStart"/>
      <w:r w:rsidRPr="007C3060">
        <w:t>Bjørnøen</w:t>
      </w:r>
      <w:proofErr w:type="spellEnd"/>
      <w:r w:rsidRPr="007C3060">
        <w:t xml:space="preserve"> AS. Fordeling av øvrige verdier og eiendeler vil skje i dialog med Nærings- og fiskeridepartementet, for å finne den mest hensiktsmessige løsningen for forvaltningen av dette, jf. forslag til romertallsvedtak.</w:t>
      </w:r>
    </w:p>
    <w:p w14:paraId="66861540" w14:textId="77777777" w:rsidR="000A2A2B" w:rsidRPr="007C3060" w:rsidRDefault="000A2A2B" w:rsidP="007C3060">
      <w:pPr>
        <w:pStyle w:val="Overskrift2"/>
      </w:pPr>
      <w:r w:rsidRPr="007C3060">
        <w:t>Digitaliserings- og forvaltningsdepartementet</w:t>
      </w:r>
    </w:p>
    <w:p w14:paraId="40EA17C9" w14:textId="77777777" w:rsidR="000A2A2B" w:rsidRPr="007C3060" w:rsidRDefault="000A2A2B" w:rsidP="007C3060">
      <w:pPr>
        <w:pStyle w:val="b-budkaptit"/>
      </w:pPr>
      <w:r w:rsidRPr="007C3060">
        <w:t>Kap. 1500 Digitaliserings- og forvaltningsdepartementet</w:t>
      </w:r>
    </w:p>
    <w:p w14:paraId="6F9F4432" w14:textId="77777777" w:rsidR="000A2A2B" w:rsidRPr="007C3060" w:rsidRDefault="000A2A2B" w:rsidP="007C3060">
      <w:pPr>
        <w:pStyle w:val="b-post"/>
      </w:pPr>
      <w:r w:rsidRPr="007C3060">
        <w:t>Post 01 Driftsutgifter</w:t>
      </w:r>
    </w:p>
    <w:p w14:paraId="4C082B9F" w14:textId="77777777" w:rsidR="000A2A2B" w:rsidRPr="007C3060" w:rsidRDefault="000A2A2B" w:rsidP="007C3060">
      <w:r w:rsidRPr="007C3060">
        <w:t>Bevilgningen dekker utgifter til lønn, husleie og andre faste driftsutgifter i Digitaliserings- og forvaltningsdepartementet.</w:t>
      </w:r>
    </w:p>
    <w:p w14:paraId="707E5D88" w14:textId="77777777" w:rsidR="000A2A2B" w:rsidRPr="007C3060" w:rsidRDefault="000A2A2B" w:rsidP="007C3060">
      <w:r w:rsidRPr="007C3060">
        <w:t>Det foreslås å øke bevilgningen med 2 mill. kroner for å sikre at departementet har tilstrekkelig med ressurser og tilgang på kompetanse til å følge opp gjennomføringen av nytt regjerings-kvartal.</w:t>
      </w:r>
    </w:p>
    <w:p w14:paraId="3AD72464" w14:textId="21B5B06D" w:rsidR="000A2A2B" w:rsidRPr="007C3060" w:rsidRDefault="000A2A2B" w:rsidP="007C3060">
      <w:pPr>
        <w:pStyle w:val="b-post"/>
      </w:pPr>
      <w:r w:rsidRPr="007C3060">
        <w:t xml:space="preserve">Post 21 Spesielle driftsutgifter, </w:t>
      </w:r>
      <w:r w:rsidRPr="007C3060">
        <w:rPr>
          <w:rStyle w:val="kursiv"/>
        </w:rPr>
        <w:t>kan overføres, kan nyttes under post 70</w:t>
      </w:r>
    </w:p>
    <w:p w14:paraId="6A9BDF13" w14:textId="77777777" w:rsidR="000A2A2B" w:rsidRPr="007C3060" w:rsidRDefault="000A2A2B" w:rsidP="007C3060">
      <w:r w:rsidRPr="007C3060">
        <w:t>Bevilgningen dekker Digitaliserings- og forvaltningsdepartementets behov for kjøp av statistikk, data, utredninger, evalueringer og formidling av kunnskap og gjennomføring av midlertidige tiltak og prosjekter. Det foreslås å redusere bevilgningen med 2,5 mill. kroner for å gjøre rom for andre prioriteringer.</w:t>
      </w:r>
    </w:p>
    <w:p w14:paraId="78C9D86E" w14:textId="77777777" w:rsidR="000A2A2B" w:rsidRPr="007C3060" w:rsidRDefault="000A2A2B" w:rsidP="007C3060">
      <w:pPr>
        <w:pStyle w:val="b-budkaptit"/>
      </w:pPr>
      <w:r w:rsidRPr="007C3060">
        <w:lastRenderedPageBreak/>
        <w:t>Kap. 1510 Departementenes sikkerhets- og serviceorganisasjon</w:t>
      </w:r>
    </w:p>
    <w:p w14:paraId="7280EFD1" w14:textId="77777777" w:rsidR="000A2A2B" w:rsidRPr="007C3060" w:rsidRDefault="000A2A2B" w:rsidP="007C3060">
      <w:pPr>
        <w:pStyle w:val="b-post"/>
      </w:pPr>
      <w:r w:rsidRPr="007C3060">
        <w:t>Post 01 Driftsutgifter</w:t>
      </w:r>
    </w:p>
    <w:p w14:paraId="577D0881" w14:textId="77777777" w:rsidR="000A2A2B" w:rsidRPr="007C3060" w:rsidRDefault="000A2A2B" w:rsidP="007C3060">
      <w:r w:rsidRPr="007C3060">
        <w:t>Bevilgningen dekker utgifter til lønn og andre driftsutgifter for Departementenes sikkerhets- og serviceorganisasjon. I tillegg dekker bevilgningen utgifter til fellestjenester for departements-fellesskapet og Statsministerens kontor.</w:t>
      </w:r>
    </w:p>
    <w:p w14:paraId="72BC2622" w14:textId="77777777" w:rsidR="000A2A2B" w:rsidRPr="007C3060" w:rsidRDefault="000A2A2B" w:rsidP="007C3060">
      <w:r w:rsidRPr="007C3060">
        <w:t>Det er behov for å flytte husleiemidler fra felles-areal for departementene til interne areal disponert av Departementenes sikkerhets- og serviceorganisasjon, slik at fordelingen blir korrekt. Det foreslås derfor å øke bevilgningen med 18,9 mill. kroner mot en tilsvarende reduksjon av bevilgningen på post 22, jf. omtale under post 22.</w:t>
      </w:r>
    </w:p>
    <w:p w14:paraId="370FEE6C" w14:textId="77777777" w:rsidR="000A2A2B" w:rsidRPr="007C3060" w:rsidRDefault="000A2A2B" w:rsidP="007C3060">
      <w:r w:rsidRPr="007C3060">
        <w:t>Departementenes sikkerhets- og serviceorganisasjon har en presset driftssituasjon. For å sikre tilstrekkelig handlingsrom for å gjennomføre nødvendige driftsaktiviteter, er det behov for å omdisponere midler knyttet til energikostnader og generelle utviklingsmidler. Det foreslås derfor å øke bevilgningen med 19,9 mill. kroner mot en reduksjon av post 22 med 9,9 mill. kroner og post 45 med 10 mill. kroner, jf. omtale under post 22 og post 45.</w:t>
      </w:r>
    </w:p>
    <w:p w14:paraId="793A79AD" w14:textId="77777777" w:rsidR="000A2A2B" w:rsidRPr="007C3060" w:rsidRDefault="000A2A2B" w:rsidP="007C3060">
      <w:r w:rsidRPr="007C3060">
        <w:t xml:space="preserve">Det foreslås å øke bevilgningen med 65 000 kroner til dekning av Departementenes digitaliseringsorganisasjons lisenser for </w:t>
      </w:r>
      <w:proofErr w:type="spellStart"/>
      <w:r w:rsidRPr="007C3060">
        <w:t>Jobbnorge</w:t>
      </w:r>
      <w:proofErr w:type="spellEnd"/>
      <w:r w:rsidRPr="007C3060">
        <w:t>, jf. omtale under kap. 1515, post 01.</w:t>
      </w:r>
    </w:p>
    <w:p w14:paraId="535AD6E3" w14:textId="77777777" w:rsidR="000A2A2B" w:rsidRPr="007C3060" w:rsidRDefault="000A2A2B" w:rsidP="007C3060">
      <w:r w:rsidRPr="007C3060">
        <w:t>Samlet foreslås det å øke bevilgningen med 38,8 mill. kroner.</w:t>
      </w:r>
    </w:p>
    <w:p w14:paraId="5EF291D0" w14:textId="77777777" w:rsidR="000A2A2B" w:rsidRPr="007C3060" w:rsidRDefault="000A2A2B" w:rsidP="007C3060">
      <w:pPr>
        <w:pStyle w:val="b-post"/>
      </w:pPr>
      <w:r w:rsidRPr="007C3060">
        <w:t>Post 22 Fellesutgifter</w:t>
      </w:r>
    </w:p>
    <w:p w14:paraId="1AD0C01E" w14:textId="77777777" w:rsidR="000A2A2B" w:rsidRPr="007C3060" w:rsidRDefault="000A2A2B" w:rsidP="007C3060">
      <w:r w:rsidRPr="007C3060">
        <w:t xml:space="preserve">Bevilgningen dekker husleie for fellesareal for departementene og avtalen til statsforvaltningen med </w:t>
      </w:r>
      <w:proofErr w:type="spellStart"/>
      <w:r w:rsidRPr="007C3060">
        <w:t>Kopinor</w:t>
      </w:r>
      <w:proofErr w:type="spellEnd"/>
      <w:r w:rsidRPr="007C3060">
        <w:t>.</w:t>
      </w:r>
    </w:p>
    <w:p w14:paraId="5566F36C" w14:textId="77777777" w:rsidR="000A2A2B" w:rsidRPr="007C3060" w:rsidRDefault="000A2A2B" w:rsidP="007C3060">
      <w:r w:rsidRPr="007C3060">
        <w:t>Det foreslås å redusere bevilgningen med 28,7 mill. kroner mot en tilsvarende økning av bevilgningen på post 01, jf. omtale under post 01.</w:t>
      </w:r>
    </w:p>
    <w:p w14:paraId="69955CBC" w14:textId="77777777" w:rsidR="000A2A2B" w:rsidRPr="007C3060" w:rsidRDefault="000A2A2B" w:rsidP="007C3060">
      <w:r w:rsidRPr="007C3060">
        <w:t>Det foreslås å redusere bevilgningen med 426 000 kroner i forbindelse med fordeling av priskompensasjon mellom Departementenes sikkerhets- og serviceorganisasjon og Departementenes digitaliseringsorganisasjon for 2025, jf. omtale under kap. 1515, post 01.</w:t>
      </w:r>
    </w:p>
    <w:p w14:paraId="221384B8" w14:textId="77777777" w:rsidR="000A2A2B" w:rsidRPr="007C3060" w:rsidRDefault="000A2A2B" w:rsidP="007C3060">
      <w:r w:rsidRPr="007C3060">
        <w:t>Samlet foreslås det å redusere bevilgningen med 29,2 mill. kroner.</w:t>
      </w:r>
    </w:p>
    <w:p w14:paraId="61D75A50" w14:textId="77777777" w:rsidR="000A2A2B" w:rsidRPr="007C3060" w:rsidRDefault="000A2A2B" w:rsidP="007C3060">
      <w:pPr>
        <w:pStyle w:val="b-post"/>
      </w:pPr>
      <w:r w:rsidRPr="007C3060">
        <w:t xml:space="preserve">Post 45 Større utstyrsanskaffelser og vedlikehold, </w:t>
      </w:r>
      <w:r w:rsidRPr="007C3060">
        <w:rPr>
          <w:rStyle w:val="kursiv"/>
        </w:rPr>
        <w:t>kan overføres</w:t>
      </w:r>
    </w:p>
    <w:p w14:paraId="1DB0963E" w14:textId="77777777" w:rsidR="000A2A2B" w:rsidRPr="007C3060" w:rsidRDefault="000A2A2B" w:rsidP="007C3060">
      <w:r w:rsidRPr="007C3060">
        <w:t>Bevilgningen dekker utgifter til investeringer, vedlikehold, utskifting av utstyr og utviklingskostnader til tjenesteleveranser innenfor tjenesteområdene HR-tjenester, fasilitetstjenester, inkludert anskaffelser, og vakt- og resepsjonstjenester.</w:t>
      </w:r>
    </w:p>
    <w:p w14:paraId="1A808093" w14:textId="77777777" w:rsidR="000A2A2B" w:rsidRPr="007C3060" w:rsidRDefault="000A2A2B" w:rsidP="007C3060">
      <w:r w:rsidRPr="007C3060">
        <w:t>Det foreslås å redusere bevilgningen med 10 mill. kroner mot en tilsvarende økning av bevilgningen på post 01, jf. omtale under post 01.</w:t>
      </w:r>
    </w:p>
    <w:p w14:paraId="4ED135C8" w14:textId="77777777" w:rsidR="000A2A2B" w:rsidRPr="007C3060" w:rsidRDefault="000A2A2B" w:rsidP="007C3060">
      <w:pPr>
        <w:pStyle w:val="b-budkaptit"/>
      </w:pPr>
      <w:r w:rsidRPr="007C3060">
        <w:lastRenderedPageBreak/>
        <w:t>Kap. 4510 Departementenes sikkerhets- og serviceorganisasjon</w:t>
      </w:r>
    </w:p>
    <w:p w14:paraId="4B092434" w14:textId="77777777" w:rsidR="000A2A2B" w:rsidRPr="007C3060" w:rsidRDefault="000A2A2B" w:rsidP="007C3060">
      <w:pPr>
        <w:pStyle w:val="b-post"/>
      </w:pPr>
      <w:r w:rsidRPr="007C3060">
        <w:t>Post 03 Brukerbetaling</w:t>
      </w:r>
    </w:p>
    <w:p w14:paraId="38BEC3F8" w14:textId="77777777" w:rsidR="000A2A2B" w:rsidRPr="007C3060" w:rsidRDefault="000A2A2B" w:rsidP="007C3060">
      <w:r w:rsidRPr="007C3060">
        <w:t>På posten føres brukerbetaling for tilleggstjenester til departementene og Statsministerens kontor.</w:t>
      </w:r>
    </w:p>
    <w:p w14:paraId="0970DC36" w14:textId="77777777" w:rsidR="000A2A2B" w:rsidRPr="007C3060" w:rsidRDefault="000A2A2B" w:rsidP="007C3060">
      <w:r w:rsidRPr="007C3060">
        <w:t>Det foreslås å redusere bevilgningen med 1,4 mill. kroner mot en tilsvarende økning av kap. 4515, post 02, jf. omtale under kap. 4515, post 02.</w:t>
      </w:r>
    </w:p>
    <w:p w14:paraId="49BCB24C" w14:textId="77777777" w:rsidR="000A2A2B" w:rsidRPr="007C3060" w:rsidRDefault="000A2A2B" w:rsidP="007C3060">
      <w:pPr>
        <w:pStyle w:val="b-budkaptit"/>
      </w:pPr>
      <w:r w:rsidRPr="007C3060">
        <w:t>Kap. 1511 Prosjekter tilknyttet nytt -regjeringskvartal</w:t>
      </w:r>
    </w:p>
    <w:p w14:paraId="6710EDAA" w14:textId="77777777" w:rsidR="000A2A2B" w:rsidRPr="007C3060" w:rsidRDefault="000A2A2B" w:rsidP="007C3060">
      <w:pPr>
        <w:pStyle w:val="b-post"/>
      </w:pPr>
      <w:r w:rsidRPr="007C3060">
        <w:t xml:space="preserve">Post 30 Ombygging av Ring 1, </w:t>
      </w:r>
      <w:r w:rsidRPr="007C3060">
        <w:rPr>
          <w:rStyle w:val="kursiv"/>
        </w:rPr>
        <w:t>kan overføres</w:t>
      </w:r>
    </w:p>
    <w:p w14:paraId="0F7A8DB8" w14:textId="77777777" w:rsidR="000A2A2B" w:rsidRPr="007C3060" w:rsidRDefault="000A2A2B" w:rsidP="007C3060">
      <w:r w:rsidRPr="007C3060">
        <w:t>Bevilgningen dekker utgifter til ombyggingen av Hammersborg- og Vaterlandstunnelen (Ring 1) for å ivareta nødvendig sikkerhet for nytt regjeringskvartal, samt utgifter til arbeid Statens veg-vesen utfører på vegne av Statsbygg i tilknytning til prosjektet.</w:t>
      </w:r>
    </w:p>
    <w:p w14:paraId="6B9B8217" w14:textId="77777777" w:rsidR="000A2A2B" w:rsidRPr="007C3060" w:rsidRDefault="000A2A2B" w:rsidP="007C3060">
      <w:r w:rsidRPr="007C3060">
        <w:t xml:space="preserve">Det foreslås å øke bevilgningen med 153 mill. kroner som følge av økt likviditetsbehov til </w:t>
      </w:r>
      <w:proofErr w:type="spellStart"/>
      <w:r w:rsidRPr="007C3060">
        <w:t>riving</w:t>
      </w:r>
      <w:proofErr w:type="spellEnd"/>
      <w:r w:rsidRPr="007C3060">
        <w:t xml:space="preserve"> av </w:t>
      </w:r>
      <w:proofErr w:type="spellStart"/>
      <w:r w:rsidRPr="007C3060">
        <w:t>hovedbrannstasjonen</w:t>
      </w:r>
      <w:proofErr w:type="spellEnd"/>
      <w:r w:rsidRPr="007C3060">
        <w:t xml:space="preserve"> i Oslo og bergarbeider i Kjeller 2 i nytt regjeringskvartal, som Statens vegvesen utfører på vegne av Statsbygg.</w:t>
      </w:r>
    </w:p>
    <w:p w14:paraId="47DA99AD" w14:textId="77777777" w:rsidR="000A2A2B" w:rsidRPr="007C3060" w:rsidRDefault="000A2A2B" w:rsidP="007C3060">
      <w:pPr>
        <w:pStyle w:val="b-budkaptit"/>
      </w:pPr>
      <w:r w:rsidRPr="007C3060">
        <w:t>Kap. 1512 Diverse fellestjenester</w:t>
      </w:r>
    </w:p>
    <w:p w14:paraId="28465C4A" w14:textId="77777777" w:rsidR="000A2A2B" w:rsidRPr="007C3060" w:rsidRDefault="000A2A2B" w:rsidP="007C3060">
      <w:pPr>
        <w:pStyle w:val="b-post"/>
      </w:pPr>
      <w:r w:rsidRPr="007C3060">
        <w:t xml:space="preserve">Post 27 Sak- og arkivløsning, </w:t>
      </w:r>
      <w:r w:rsidRPr="007C3060">
        <w:rPr>
          <w:rStyle w:val="kursiv"/>
        </w:rPr>
        <w:t>kan overføres</w:t>
      </w:r>
    </w:p>
    <w:p w14:paraId="2E4F3F93" w14:textId="77777777" w:rsidR="000A2A2B" w:rsidRPr="007C3060" w:rsidRDefault="000A2A2B" w:rsidP="007C3060">
      <w:r w:rsidRPr="007C3060">
        <w:t>Bevilgningen dekker utgifter til innføring av ny sak- og arkivløsning for Statsministerens kontor, departementene og Departementenes sikkerhets- og serviceorganisasjon.</w:t>
      </w:r>
    </w:p>
    <w:p w14:paraId="3146C930" w14:textId="77777777" w:rsidR="000A2A2B" w:rsidRPr="007C3060" w:rsidRDefault="000A2A2B" w:rsidP="007C3060">
      <w:r w:rsidRPr="007C3060">
        <w:t>Ny sak- og arkivløsning skal legges på den nye IKT-plattformen, som tidligst er klar i 2027. Digitaliserings- og forvaltningsdepartementet har derfor stanset videre innføring av ny sak- og arkivløsning. Inntil ny felles IKT-plattform er på plass, må departementene fortsatt benytte dagens sak- og arkivløsninger. På kort sikt er det behov for nødvendige tilpasninger og oppgraderinger av dagens løsninger. Videre vurderer Digitaliserings- og forvaltningsdepartementet i samråd med Departementenes digitaliseringsorganisasjon og de øvrige departementene hva som bør gjøres på lengre sikt når ny felles IKT-plattform er klar. Det foreslås på denne bakgrunn å redusere bevilgningen med 13,9 mill. kroner.</w:t>
      </w:r>
    </w:p>
    <w:p w14:paraId="03A107AA" w14:textId="77777777" w:rsidR="000A2A2B" w:rsidRPr="007C3060" w:rsidRDefault="000A2A2B" w:rsidP="007C3060">
      <w:pPr>
        <w:pStyle w:val="b-budkaptit"/>
      </w:pPr>
      <w:r w:rsidRPr="007C3060">
        <w:t>Kap. 1515 Departementenes -digitaliseringsorganisasjon</w:t>
      </w:r>
    </w:p>
    <w:p w14:paraId="53AFB456" w14:textId="77777777" w:rsidR="000A2A2B" w:rsidRPr="007C3060" w:rsidRDefault="000A2A2B" w:rsidP="007C3060">
      <w:pPr>
        <w:pStyle w:val="b-post"/>
      </w:pPr>
      <w:r w:rsidRPr="007C3060">
        <w:t>Post 01 Driftsutgifter</w:t>
      </w:r>
    </w:p>
    <w:p w14:paraId="16A62E32" w14:textId="77777777" w:rsidR="000A2A2B" w:rsidRPr="007C3060" w:rsidRDefault="000A2A2B" w:rsidP="007C3060">
      <w:r w:rsidRPr="007C3060">
        <w:t>Bevilgningen dekker utgifter til lønn og andre driftsutgifter for Departementenes digitaliseringsorganisasjon. I tillegg dekker bevilgningen utgifter til digitale fellestjenester for departements-fellesskapet og Statsministerens kontor.</w:t>
      </w:r>
    </w:p>
    <w:p w14:paraId="0046FDAC" w14:textId="77777777" w:rsidR="000A2A2B" w:rsidRPr="007C3060" w:rsidRDefault="000A2A2B" w:rsidP="007C3060">
      <w:r w:rsidRPr="007C3060">
        <w:t xml:space="preserve">For å gi Departementenes digitaliseringsorganisasjon tilstrekkelig handlingsrom til å etablere nye tjenester knyttet til prosjekt for sikker teknisk infrastruktur, foreslås det å øke bevilgningen </w:t>
      </w:r>
      <w:r w:rsidRPr="007C3060">
        <w:lastRenderedPageBreak/>
        <w:t>med 13,5 mill. kroner mot en tilsvarende reduksjon av bevilgningen på post 45, jf. omtale under post 45.</w:t>
      </w:r>
    </w:p>
    <w:p w14:paraId="3E7E6A3B" w14:textId="77777777" w:rsidR="000A2A2B" w:rsidRPr="007C3060" w:rsidRDefault="000A2A2B" w:rsidP="007C3060">
      <w:r w:rsidRPr="007C3060">
        <w:t>Det foreslås å øke bevilgningen med 426 000 kroner i forbindelse med fordeling av priskompensasjon mellom Departementenes sikkerhets- og serviceorganisasjon og Departementenes digitaliseringsorganisasjon, jf. omtale under kap. 1510, post 22.</w:t>
      </w:r>
    </w:p>
    <w:p w14:paraId="12BE1C80" w14:textId="77777777" w:rsidR="000A2A2B" w:rsidRPr="007C3060" w:rsidRDefault="000A2A2B" w:rsidP="007C3060">
      <w:r w:rsidRPr="007C3060">
        <w:t xml:space="preserve">Det foreslås å redusere bevilgningen med 65 000 kroner som følge av omdisponering til Departementenes sikkerhets- og serviceorganisasjons for lisenser for </w:t>
      </w:r>
      <w:proofErr w:type="spellStart"/>
      <w:r w:rsidRPr="007C3060">
        <w:t>Jobbnorge</w:t>
      </w:r>
      <w:proofErr w:type="spellEnd"/>
      <w:r w:rsidRPr="007C3060">
        <w:t>, jf. omtale under kap. 1510, post 01.</w:t>
      </w:r>
    </w:p>
    <w:p w14:paraId="22580BCE" w14:textId="77777777" w:rsidR="000A2A2B" w:rsidRPr="007C3060" w:rsidRDefault="000A2A2B" w:rsidP="007C3060">
      <w:r w:rsidRPr="007C3060">
        <w:t>Samlet foreslås det å øke bevilgningen med 13,9 mill. kroner.</w:t>
      </w:r>
    </w:p>
    <w:p w14:paraId="26C9A53F" w14:textId="77777777" w:rsidR="000A2A2B" w:rsidRPr="007C3060" w:rsidRDefault="000A2A2B" w:rsidP="007C3060">
      <w:pPr>
        <w:pStyle w:val="b-post"/>
      </w:pPr>
      <w:r w:rsidRPr="007C3060">
        <w:t xml:space="preserve">Post 45 Større utstyrsanskaffelser og vedlikehold, </w:t>
      </w:r>
      <w:r w:rsidRPr="007C3060">
        <w:rPr>
          <w:rStyle w:val="kursiv"/>
        </w:rPr>
        <w:t>kan overføres</w:t>
      </w:r>
    </w:p>
    <w:p w14:paraId="20D51956" w14:textId="77777777" w:rsidR="000A2A2B" w:rsidRPr="007C3060" w:rsidRDefault="000A2A2B" w:rsidP="007C3060">
      <w:r w:rsidRPr="007C3060">
        <w:t>Bevilgningen dekker utgifter til investeringer, vedlikehold, utskifting av utstyr og utviklingskostnader til tjenesteleveranser innenfor digitale tjenester.</w:t>
      </w:r>
    </w:p>
    <w:p w14:paraId="2A39BB9B" w14:textId="77777777" w:rsidR="000A2A2B" w:rsidRPr="007C3060" w:rsidRDefault="000A2A2B" w:rsidP="007C3060">
      <w:r w:rsidRPr="007C3060">
        <w:t>Prosjekt IKT i nytt regjeringskvartal, som omhandler å få på plass nødvendig IKT-utstyr i nytt regjeringskvartal byggetrinn 1, har ubrukte midler som i hovedsak skyldes at kostnadene knyttet til anskaffelse av ugradert og lavgradert IKT-nettverksutstyr har blitt mindre enn først estimert. Det foreslås å redusere bevilgningen med 35,7 mill. kroner mot en økning på post 01 med 13,5 mill. kroner, jf. omtale under post 01.</w:t>
      </w:r>
    </w:p>
    <w:p w14:paraId="03DEE81A" w14:textId="77777777" w:rsidR="000A2A2B" w:rsidRPr="007C3060" w:rsidRDefault="000A2A2B" w:rsidP="007C3060">
      <w:r w:rsidRPr="007C3060">
        <w:t>Program felles IKT-tjenester i departementsfellesskapet (Programmet) eies og styres i dag av Forsvarsdepartementet og Digitaliserings- og forvaltningsdepartementet i fellesskap. Budsjettmidlene til Programmet er bevilget på Forsvarsdepartementets kap. 1700, post 22. Programmet er per andre kvartal 2025 inne i en ny fase – gjennomføringsfasen – hvor det anskaffes og etableres en ny felles IKT-plattform for departementsfellesskapet. I henhold til plan inngås det kontrakter om anskaffelse av nye løsninger for felles IKT-plattform i mai 2025. Som følge av at Programmet er inne i gjennomføringsfasen med anskaffelse og etablering av en ny felles IKT-plattform, som senere skal overtas og driftes av Departementenes digitaliseringsorganisasjon, er det behov for å endre og tydeliggjøre styringsstrukturen for Programmet. Det foreslås at hele ansvaret for eierstyringen og oppfølgingen av Programmet, endringstrinn 1, 2 og 3, inkludert budsjettmidlene til Programmet, overføres fra Forsvarsdepartementet til Digitaliserings- og forvaltningsdepartementet fra og med 1. juli 2025. Videre legger Digitaliserings- og forvaltningsdepartementet opp til at Programmet skal plasseres organisatorisk i Departementenes digitaliseringsorganisasjon fra og med 1. juli 2025. Digitaliserings- og forvaltningsdepartementet vil være programeier. På denne bakgrunn foreslås det at bevilgningen økes med 438,9 mill. kroner mot en reduksjon på 360 mill. kroner på kap. 1700, post 22 og 78,9 mill. kroner på kap. 1740, post 01.</w:t>
      </w:r>
    </w:p>
    <w:p w14:paraId="197AE92A" w14:textId="77777777" w:rsidR="000A2A2B" w:rsidRPr="007C3060" w:rsidRDefault="000A2A2B" w:rsidP="007C3060">
      <w:r w:rsidRPr="007C3060">
        <w:t xml:space="preserve">Det vises til </w:t>
      </w:r>
      <w:proofErr w:type="spellStart"/>
      <w:r w:rsidRPr="007C3060">
        <w:t>Prop</w:t>
      </w:r>
      <w:proofErr w:type="spellEnd"/>
      <w:r w:rsidRPr="007C3060">
        <w:t xml:space="preserve">. 18 S (2022–2023) </w:t>
      </w:r>
      <w:proofErr w:type="spellStart"/>
      <w:r w:rsidRPr="007C3060">
        <w:rPr>
          <w:rStyle w:val="kursiv"/>
        </w:rPr>
        <w:t>Endringar</w:t>
      </w:r>
      <w:proofErr w:type="spellEnd"/>
      <w:r w:rsidRPr="007C3060">
        <w:rPr>
          <w:rStyle w:val="kursiv"/>
        </w:rPr>
        <w:t xml:space="preserve"> i statsbudsjettet 2022 under Forsvarsdepartementet</w:t>
      </w:r>
      <w:r w:rsidRPr="007C3060">
        <w:t xml:space="preserve"> om at Stortinget samtykker i at Forsvarsdepartementet og Kommunal- og </w:t>
      </w:r>
      <w:proofErr w:type="spellStart"/>
      <w:r w:rsidRPr="007C3060">
        <w:t>distriktsdepartementet</w:t>
      </w:r>
      <w:proofErr w:type="spellEnd"/>
      <w:r w:rsidRPr="007C3060">
        <w:t xml:space="preserve"> kan iverksette Program felles IKT-tjenester i departementsfellesskapet, med en kostnadsramme på 1 392 mill. 2023-kroner for endringstrinn 1 og 2. Det vises videre til </w:t>
      </w:r>
      <w:proofErr w:type="spellStart"/>
      <w:r w:rsidRPr="007C3060">
        <w:t>Prop</w:t>
      </w:r>
      <w:proofErr w:type="spellEnd"/>
      <w:r w:rsidRPr="007C3060">
        <w:t xml:space="preserve">. 1 S (2024–2025) for Forsvarsdepartementet. Som følge av at ansvaret overføres fra Forsvarsdepartementet til Digitaliserings- og forvaltningsdepartementet, må Digitaliserings- og </w:t>
      </w:r>
      <w:r w:rsidRPr="007C3060">
        <w:lastRenderedPageBreak/>
        <w:t>forvaltningsdepartementet få fullmakt til å pådra staten forpliktelser i investeringsprosjektet Program felles IKT-tjenester i departementsfellesskapet, jf. forslag til romertallsvedtak.</w:t>
      </w:r>
    </w:p>
    <w:p w14:paraId="1B4FC12F" w14:textId="77777777" w:rsidR="000A2A2B" w:rsidRPr="007C3060" w:rsidRDefault="000A2A2B" w:rsidP="007C3060">
      <w:r w:rsidRPr="007C3060">
        <w:t>Samlet foreslås det å øke bevilgningen på posten med 403,2 mill. kroner.</w:t>
      </w:r>
    </w:p>
    <w:p w14:paraId="5DB2E224" w14:textId="77777777" w:rsidR="000A2A2B" w:rsidRPr="007C3060" w:rsidRDefault="000A2A2B" w:rsidP="007C3060">
      <w:pPr>
        <w:pStyle w:val="b-budkaptit"/>
      </w:pPr>
      <w:r w:rsidRPr="007C3060">
        <w:t>Kap. 4515 Departementenes -digitaliseringsorganisasjon</w:t>
      </w:r>
    </w:p>
    <w:p w14:paraId="329A7684" w14:textId="77777777" w:rsidR="000A2A2B" w:rsidRPr="007C3060" w:rsidRDefault="000A2A2B" w:rsidP="007C3060">
      <w:pPr>
        <w:pStyle w:val="b-post"/>
      </w:pPr>
      <w:r w:rsidRPr="007C3060">
        <w:t>Post 02 Brukerbetalinger</w:t>
      </w:r>
    </w:p>
    <w:p w14:paraId="6AC16DF5" w14:textId="77777777" w:rsidR="000A2A2B" w:rsidRPr="007C3060" w:rsidRDefault="000A2A2B" w:rsidP="007C3060">
      <w:r w:rsidRPr="007C3060">
        <w:t>På posten føres brukerbetaling for tilleggstjenester til departementene og Statsministerens kontor.</w:t>
      </w:r>
    </w:p>
    <w:p w14:paraId="19A43F33" w14:textId="77777777" w:rsidR="000A2A2B" w:rsidRPr="007C3060" w:rsidRDefault="000A2A2B" w:rsidP="007C3060">
      <w:r w:rsidRPr="007C3060">
        <w:t>Det foreslås å øke bevilgningen med 1,4 mill. kroner mot en tilsvarende reduksjon av kap. 4510, post 03, jf. omtale under kap. 4510, post 03.</w:t>
      </w:r>
    </w:p>
    <w:p w14:paraId="4D195048" w14:textId="77777777" w:rsidR="000A2A2B" w:rsidRPr="007C3060" w:rsidRDefault="000A2A2B" w:rsidP="007C3060">
      <w:pPr>
        <w:pStyle w:val="b-budkaptit"/>
      </w:pPr>
      <w:r w:rsidRPr="007C3060">
        <w:t>Kap. 1530 Byggeprosjekter utenfor -husleieordningen</w:t>
      </w:r>
    </w:p>
    <w:p w14:paraId="5F29C24E" w14:textId="4BD023AD" w:rsidR="000A2A2B" w:rsidRPr="007C3060" w:rsidRDefault="000A2A2B" w:rsidP="007C3060">
      <w:pPr>
        <w:pStyle w:val="b-post"/>
      </w:pPr>
      <w:r w:rsidRPr="007C3060">
        <w:t xml:space="preserve">Post 33 Videreføring av byggeprosjekter, </w:t>
      </w:r>
      <w:r w:rsidRPr="007C3060">
        <w:rPr>
          <w:rStyle w:val="kursiv"/>
        </w:rPr>
        <w:t>kan overføres</w:t>
      </w:r>
    </w:p>
    <w:p w14:paraId="6010169B" w14:textId="77777777" w:rsidR="000A2A2B" w:rsidRPr="007C3060" w:rsidRDefault="000A2A2B" w:rsidP="007C3060">
      <w:r w:rsidRPr="007C3060">
        <w:t xml:space="preserve">Posten dekker midler til videreføring av byggeprosjekter som Stortinget tidligere har vedtatt å starte opp. Bevilgningen skal sikre </w:t>
      </w:r>
      <w:proofErr w:type="gramStart"/>
      <w:r w:rsidRPr="007C3060">
        <w:t>optimal</w:t>
      </w:r>
      <w:proofErr w:type="gramEnd"/>
      <w:r w:rsidRPr="007C3060">
        <w:t xml:space="preserve"> fremdrift i prosjekter under oppføring.</w:t>
      </w:r>
    </w:p>
    <w:p w14:paraId="64402434" w14:textId="77777777" w:rsidR="000A2A2B" w:rsidRPr="007C3060" w:rsidRDefault="000A2A2B" w:rsidP="007C3060">
      <w:r w:rsidRPr="007C3060">
        <w:t>Norsk havteknologisenter har et lavere likviditetsbehov enn det som ble bevilget i saldert budsjett. Årsaken er forsinkelser i prosjektet. Det foreslås derfor å redusere bevilgningen med 200 mill. kroner.</w:t>
      </w:r>
    </w:p>
    <w:p w14:paraId="0BB9CE50" w14:textId="77777777" w:rsidR="000A2A2B" w:rsidRPr="007C3060" w:rsidRDefault="000A2A2B" w:rsidP="007C3060">
      <w:pPr>
        <w:pStyle w:val="b-post"/>
      </w:pPr>
      <w:r w:rsidRPr="007C3060">
        <w:t xml:space="preserve">Post 36 Kunstnerisk utsmykking, </w:t>
      </w:r>
      <w:r w:rsidRPr="007C3060">
        <w:rPr>
          <w:rStyle w:val="kursiv"/>
        </w:rPr>
        <w:t>kan overføres</w:t>
      </w:r>
    </w:p>
    <w:p w14:paraId="722C8A5B" w14:textId="77777777" w:rsidR="000A2A2B" w:rsidRPr="007C3060" w:rsidRDefault="000A2A2B" w:rsidP="007C3060">
      <w:r w:rsidRPr="007C3060">
        <w:t>Posten dekker midler til kunstnerisk utsmykking av statlige bygg under oppføring. Midlene blir disponert av Kunst i offentlige rom (KORO). Midler til gjennomføring av konkurransen om det permanente, nasjonale minnestedet i regjeringskvartalet er bevilget over posten.</w:t>
      </w:r>
    </w:p>
    <w:p w14:paraId="31C4C736" w14:textId="77777777" w:rsidR="000A2A2B" w:rsidRPr="007C3060" w:rsidRDefault="000A2A2B" w:rsidP="007C3060">
      <w:r w:rsidRPr="007C3060">
        <w:t>KORO fikk i 2022 i oppdrag å gjennomføre en konkurranse og utvikle et forprosjekt med sikte på å etablere det nasjonale minnestedet i regjeringskvartalet. I april 2025 kåret juryen Matias Faldbakkens verk «En opprettholdelse» som vinner. Forprosjektet ferdigstilles sommeren 2025. For å starte detaljprosjektering og forberedelser til bygging av minnestedet, er det behov for 20 mill. kroner andre halvår 2025. Regjeringen vil komme tilbake til Stortinget med forslag til kostnadsramme etter fullført forprosjekt. Det foreslås å øke bevilgningen med 20 mill. kroner.</w:t>
      </w:r>
    </w:p>
    <w:p w14:paraId="651B29B9" w14:textId="77777777" w:rsidR="000A2A2B" w:rsidRPr="007C3060" w:rsidRDefault="000A2A2B" w:rsidP="007C3060">
      <w:r w:rsidRPr="007C3060">
        <w:t>Posten har videre et økt likviditetsbehov på 26,5 mill. kroner som følge av at det pågår flere store byggeprosjekter som skal ha kunstnerisk utsmykking.</w:t>
      </w:r>
    </w:p>
    <w:p w14:paraId="5E1C8681" w14:textId="77777777" w:rsidR="000A2A2B" w:rsidRPr="007C3060" w:rsidRDefault="000A2A2B" w:rsidP="007C3060">
      <w:r w:rsidRPr="007C3060">
        <w:t>Samlet foreslås det å øke bevilgningen med 46,5 mill. kroner.</w:t>
      </w:r>
    </w:p>
    <w:p w14:paraId="0760FD13" w14:textId="77777777" w:rsidR="000A2A2B" w:rsidRPr="007C3060" w:rsidRDefault="000A2A2B" w:rsidP="007C3060">
      <w:pPr>
        <w:pStyle w:val="b-post"/>
      </w:pPr>
      <w:r w:rsidRPr="007C3060">
        <w:t xml:space="preserve">Post 45 Større utstyrsanskaffelser og vedlikehold, </w:t>
      </w:r>
      <w:r w:rsidRPr="007C3060">
        <w:rPr>
          <w:rStyle w:val="kursiv"/>
        </w:rPr>
        <w:t>kan overføres</w:t>
      </w:r>
    </w:p>
    <w:p w14:paraId="2ED97F32" w14:textId="77777777" w:rsidR="000A2A2B" w:rsidRPr="007C3060" w:rsidRDefault="000A2A2B" w:rsidP="007C3060">
      <w:r w:rsidRPr="007C3060">
        <w:t xml:space="preserve">Bevilgningen gjelder de tilfeller der Statsbygg gis i oppdrag å prosjektere og bistå i anskaffelsen av brukerutstyr til byggeprosjektene. Det inkluderer også brukerutstyr til byggeprosjekter </w:t>
      </w:r>
      <w:r w:rsidRPr="007C3060">
        <w:lastRenderedPageBreak/>
        <w:t xml:space="preserve">på kap. 2445 </w:t>
      </w:r>
      <w:r w:rsidRPr="007C3060">
        <w:rPr>
          <w:rStyle w:val="kursiv"/>
        </w:rPr>
        <w:t>Statsbygg</w:t>
      </w:r>
      <w:r w:rsidRPr="007C3060">
        <w:t>. Bevilgningen gjelder også nødvendige sikringstiltak på Nationaltheatret.</w:t>
      </w:r>
    </w:p>
    <w:p w14:paraId="68F16AF7" w14:textId="77777777" w:rsidR="000A2A2B" w:rsidRPr="007C3060" w:rsidRDefault="000A2A2B" w:rsidP="007C3060">
      <w:r w:rsidRPr="007C3060">
        <w:t>Norsk havteknologisenter har et lavere likviditetsbehov enn det som ble bevilget i saldert budsjett. Årsaken er forsinkelser i prosjektet. Det foreslås derfor å redusere bevilgningen med 400 mill. kroner.</w:t>
      </w:r>
    </w:p>
    <w:p w14:paraId="10A182B7" w14:textId="77777777" w:rsidR="000A2A2B" w:rsidRPr="007C3060" w:rsidRDefault="000A2A2B" w:rsidP="007C3060">
      <w:pPr>
        <w:pStyle w:val="b-budkaptit"/>
      </w:pPr>
      <w:r w:rsidRPr="007C3060">
        <w:t>Kap. 2445 Statsbygg</w:t>
      </w:r>
    </w:p>
    <w:p w14:paraId="1F20590F" w14:textId="77777777" w:rsidR="000A2A2B" w:rsidRPr="007C3060" w:rsidRDefault="000A2A2B" w:rsidP="007C3060">
      <w:pPr>
        <w:pStyle w:val="b-post"/>
      </w:pPr>
      <w:r w:rsidRPr="007C3060">
        <w:t>Post 30 Prosjektering av bygg, kan overføres</w:t>
      </w:r>
    </w:p>
    <w:p w14:paraId="37055F3B" w14:textId="77777777" w:rsidR="000A2A2B" w:rsidRPr="007C3060" w:rsidRDefault="000A2A2B" w:rsidP="007C3060">
      <w:r w:rsidRPr="007C3060">
        <w:t>Bevilgningen gjelder midler til prosjektering av prioriterte ordinære byggeprosjekter frem til fullført forprosjekt.</w:t>
      </w:r>
    </w:p>
    <w:p w14:paraId="6423188C" w14:textId="77777777" w:rsidR="000A2A2B" w:rsidRPr="007C3060" w:rsidRDefault="000A2A2B" w:rsidP="007C3060">
      <w:r w:rsidRPr="007C3060">
        <w:t xml:space="preserve">Bredtveit fengsel og forvaringsanstalt stengte midlertidig 1. mars 2024 etter en brannteknisk gjennomgang som viser at opphold i bygget representerer en fare for liv og helse. Det er viktig å få etablert en langsiktig løsning for erstatning av fengslet. I </w:t>
      </w:r>
      <w:proofErr w:type="spellStart"/>
      <w:r w:rsidRPr="007C3060">
        <w:t>Prop</w:t>
      </w:r>
      <w:proofErr w:type="spellEnd"/>
      <w:r w:rsidRPr="007C3060">
        <w:t>. 1 S (2024–2025) for Justis- og beredskapsdepartementet vises det til at det i 2025 skal brukes 11 mill. kroner på forprosjektering av nytt kvinnefengsel i 2025, fordelt på 6 mill. kroner under kriminalomsorgen og 5 mill. kroner under Statsbygg. Ved en inkurie inngår ikke bevilgningen til Statsbygg i saldert budsjett for 2025. Det foreslås derfor å øke bevilgningen med 5 mill. kroner.</w:t>
      </w:r>
    </w:p>
    <w:p w14:paraId="3171A2F4" w14:textId="77777777" w:rsidR="000A2A2B" w:rsidRPr="007C3060" w:rsidRDefault="000A2A2B" w:rsidP="007C3060">
      <w:r w:rsidRPr="007C3060">
        <w:t>Forprosjekt for nytt bygg for Havforsknings-instituttet og Fiskeridirektoratet ble satt i gang i 2021. Kostnadsestimatet for prosjektet har økt. Noen arealer blir derfor tatt ut av prosjektet. Det foreslås å øke bevilgningen med 26 mill. kroner for å omprosjektere prosjektet.</w:t>
      </w:r>
    </w:p>
    <w:p w14:paraId="6F853A49" w14:textId="77777777" w:rsidR="000A2A2B" w:rsidRPr="007C3060" w:rsidRDefault="000A2A2B" w:rsidP="007C3060">
      <w:r w:rsidRPr="007C3060">
        <w:t>Samlet foreslås det å øke bevilgningen med 31 mill. kroner.</w:t>
      </w:r>
    </w:p>
    <w:p w14:paraId="651A05F1" w14:textId="77777777" w:rsidR="000A2A2B" w:rsidRPr="007C3060" w:rsidRDefault="000A2A2B" w:rsidP="007C3060">
      <w:pPr>
        <w:pStyle w:val="b-post"/>
      </w:pPr>
      <w:r w:rsidRPr="007C3060">
        <w:t xml:space="preserve">Post 31 Igangsetting av ordinære byggeprosjekter, </w:t>
      </w:r>
      <w:r w:rsidRPr="007C3060">
        <w:rPr>
          <w:rStyle w:val="kursiv"/>
        </w:rPr>
        <w:t>kan overføres</w:t>
      </w:r>
    </w:p>
    <w:p w14:paraId="3262DF78" w14:textId="77777777" w:rsidR="000A2A2B" w:rsidRPr="007C3060" w:rsidRDefault="000A2A2B" w:rsidP="007C3060">
      <w:r w:rsidRPr="007C3060">
        <w:t>Bevilgningen gjelder oppstart av nye byggeprosjekter innenfor statens husleieordning. Som følge av økt likviditetsbehov for byggetrinn 2 del I av nytt regjeringskvartal, foreslås det å øke bevilgningen med 120 mill. kroner.</w:t>
      </w:r>
    </w:p>
    <w:p w14:paraId="1623CE2C" w14:textId="77777777" w:rsidR="000A2A2B" w:rsidRPr="007C3060" w:rsidRDefault="000A2A2B" w:rsidP="007C3060">
      <w:pPr>
        <w:pStyle w:val="b-post"/>
      </w:pPr>
      <w:r w:rsidRPr="007C3060">
        <w:t xml:space="preserve">Post 49 Kjøp av eiendommer, </w:t>
      </w:r>
      <w:r w:rsidRPr="007C3060">
        <w:rPr>
          <w:rStyle w:val="kursiv"/>
        </w:rPr>
        <w:t>kan overføres</w:t>
      </w:r>
    </w:p>
    <w:p w14:paraId="76A91DB6" w14:textId="77777777" w:rsidR="000A2A2B" w:rsidRPr="007C3060" w:rsidRDefault="000A2A2B" w:rsidP="007C3060">
      <w:r w:rsidRPr="007C3060">
        <w:t>Bevilgningen gjelder kjøp av eiendom. Det er bevilget 307,5 mill. kroner til kjøp av Møllergata 23 og 25 til nytt regjeringskvartal. Kjøpesummen ble om lag 260 mill. kroner. Det foreslås derfor å redusere bevilgningen med 47,5 mill. kroner.</w:t>
      </w:r>
    </w:p>
    <w:p w14:paraId="50E5C401" w14:textId="77777777" w:rsidR="000A2A2B" w:rsidRPr="007C3060" w:rsidRDefault="000A2A2B" w:rsidP="007C3060">
      <w:pPr>
        <w:pStyle w:val="b-budkaptit"/>
      </w:pPr>
      <w:r w:rsidRPr="007C3060">
        <w:t>Kap. 1540 Digitaliseringsdirektoratet</w:t>
      </w:r>
    </w:p>
    <w:p w14:paraId="199D41FE" w14:textId="77777777" w:rsidR="000A2A2B" w:rsidRPr="007C3060" w:rsidRDefault="000A2A2B" w:rsidP="007C3060">
      <w:pPr>
        <w:pStyle w:val="b-post"/>
      </w:pPr>
      <w:r w:rsidRPr="007C3060">
        <w:t xml:space="preserve">Post 25 Medfinansieringsordning for digitaliseringsprosjekter, </w:t>
      </w:r>
      <w:r w:rsidRPr="007C3060">
        <w:rPr>
          <w:rStyle w:val="kursiv"/>
        </w:rPr>
        <w:t>kan overføres</w:t>
      </w:r>
    </w:p>
    <w:p w14:paraId="40F968C4" w14:textId="77777777" w:rsidR="000A2A2B" w:rsidRPr="007C3060" w:rsidRDefault="000A2A2B" w:rsidP="007C3060">
      <w:r w:rsidRPr="007C3060">
        <w:t>Formålet med bevilgningen er å bidra til gjennomføring av samfunnsøkonomisk lønnsomme digitaliseringsprosjekter og realisering av gevinster. Det er midler i ordningen som ikke er fordelt, blant annet som følge av at beløpet det er søkt om ikke fullt ut har samsvart med tilsagnsrammen. Bevilgningen foreslås derfor redusert med 0,5 mill. kroner.</w:t>
      </w:r>
    </w:p>
    <w:p w14:paraId="3B350996" w14:textId="77777777" w:rsidR="000A2A2B" w:rsidRPr="007C3060" w:rsidRDefault="000A2A2B" w:rsidP="007C3060">
      <w:pPr>
        <w:pStyle w:val="b-budkaptit"/>
      </w:pPr>
      <w:r w:rsidRPr="007C3060">
        <w:lastRenderedPageBreak/>
        <w:t xml:space="preserve">Kap. 1541 IT- og </w:t>
      </w:r>
      <w:proofErr w:type="spellStart"/>
      <w:r w:rsidRPr="007C3060">
        <w:t>ekompolitikk</w:t>
      </w:r>
      <w:proofErr w:type="spellEnd"/>
    </w:p>
    <w:p w14:paraId="7CBD85EC" w14:textId="77777777" w:rsidR="000A2A2B" w:rsidRPr="007C3060" w:rsidRDefault="000A2A2B" w:rsidP="007C3060">
      <w:pPr>
        <w:pStyle w:val="b-post"/>
      </w:pPr>
      <w:r w:rsidRPr="007C3060">
        <w:t xml:space="preserve">Post 22 Utvikling, gjennomføring og samordning av IT- og </w:t>
      </w:r>
      <w:proofErr w:type="spellStart"/>
      <w:r w:rsidRPr="007C3060">
        <w:t>ekompolitikken</w:t>
      </w:r>
      <w:proofErr w:type="spellEnd"/>
      <w:r w:rsidRPr="007C3060">
        <w:t xml:space="preserve">, </w:t>
      </w:r>
      <w:r w:rsidRPr="007C3060">
        <w:rPr>
          <w:rStyle w:val="kursiv"/>
        </w:rPr>
        <w:t>kan overføres, kan nyttes under post 70</w:t>
      </w:r>
    </w:p>
    <w:p w14:paraId="0DC7A50D" w14:textId="77777777" w:rsidR="000A2A2B" w:rsidRPr="007C3060" w:rsidRDefault="000A2A2B" w:rsidP="007C3060">
      <w:r w:rsidRPr="007C3060">
        <w:t xml:space="preserve">Bevilgningen benyttes til tiltak for å gjennomføre og utvikle IT- og </w:t>
      </w:r>
      <w:proofErr w:type="spellStart"/>
      <w:r w:rsidRPr="007C3060">
        <w:t>ekompolitikken</w:t>
      </w:r>
      <w:proofErr w:type="spellEnd"/>
      <w:r w:rsidRPr="007C3060">
        <w:t>.</w:t>
      </w:r>
    </w:p>
    <w:p w14:paraId="3F139001" w14:textId="77777777" w:rsidR="000A2A2B" w:rsidRPr="007C3060" w:rsidRDefault="000A2A2B" w:rsidP="007C3060">
      <w:r w:rsidRPr="007C3060">
        <w:t>Norge deltar Programmet for et digitalt Europa (DIGITAL) i perioden 2021–2027. Norges forskningsråd har sammen med Innovasjon Norge og Digitaliseringsdirektoratet det løpende ansvaret for oppfølging av norsk deltakelse i DIGITAL. Bevilgningen foreslås redusert med 1 mill. kroner mot en tilsvarende økning på kap. 285, post 21 for å dekke Forskningsrådets virksomhetskostnader knyttet til koordineringsaktivitetene.</w:t>
      </w:r>
    </w:p>
    <w:p w14:paraId="6C885D9D" w14:textId="77777777" w:rsidR="000A2A2B" w:rsidRPr="007C3060" w:rsidRDefault="000A2A2B" w:rsidP="007C3060">
      <w:r w:rsidRPr="007C3060">
        <w:t xml:space="preserve">Som følge av at Norge skal arrangere </w:t>
      </w:r>
      <w:proofErr w:type="spellStart"/>
      <w:r w:rsidRPr="007C3060">
        <w:t>Internet</w:t>
      </w:r>
      <w:proofErr w:type="spellEnd"/>
      <w:r w:rsidRPr="007C3060">
        <w:t xml:space="preserve"> </w:t>
      </w:r>
      <w:proofErr w:type="spellStart"/>
      <w:r w:rsidRPr="007C3060">
        <w:t>Governance</w:t>
      </w:r>
      <w:proofErr w:type="spellEnd"/>
      <w:r w:rsidRPr="007C3060">
        <w:t xml:space="preserve"> Forum 2025 (IGF) er det bevilget 119,9 mill. kroner på posten til utgifter knyttet til arrangementet. Det foreslås å redusere bevilgningen med 3 mill. kroner mot en tilsvarende økning av bevilgningen på kap. 440 </w:t>
      </w:r>
      <w:r w:rsidRPr="007C3060">
        <w:rPr>
          <w:rStyle w:val="kursiv"/>
        </w:rPr>
        <w:t>Politiet</w:t>
      </w:r>
      <w:r w:rsidRPr="007C3060">
        <w:t xml:space="preserve">, post 01 </w:t>
      </w:r>
      <w:r w:rsidRPr="007C3060">
        <w:rPr>
          <w:rStyle w:val="kursiv"/>
        </w:rPr>
        <w:t>Driftsutgifter</w:t>
      </w:r>
      <w:r w:rsidRPr="007C3060">
        <w:t xml:space="preserve"> til dekning av politiets utgifter under arrangementet.</w:t>
      </w:r>
    </w:p>
    <w:p w14:paraId="467C356A" w14:textId="77777777" w:rsidR="000A2A2B" w:rsidRPr="007C3060" w:rsidRDefault="000A2A2B" w:rsidP="007C3060">
      <w:r w:rsidRPr="007C3060">
        <w:t xml:space="preserve">Innenfor bevilgningen på posten dekkes Digitaliserings- og forvaltningsdepartementets medlemskontingent til Digital Norway – Toppindustrisenteret med 3 mill. kroner, jf. </w:t>
      </w:r>
      <w:proofErr w:type="spellStart"/>
      <w:r w:rsidRPr="007C3060">
        <w:t>Prop</w:t>
      </w:r>
      <w:proofErr w:type="spellEnd"/>
      <w:r w:rsidRPr="007C3060">
        <w:t xml:space="preserve">. 1 S (2024–2025) for Digitaliserings- og forvaltningsdepartementet. Det foreslås en </w:t>
      </w:r>
      <w:proofErr w:type="spellStart"/>
      <w:r w:rsidRPr="007C3060">
        <w:t>engangsøkning</w:t>
      </w:r>
      <w:proofErr w:type="spellEnd"/>
      <w:r w:rsidRPr="007C3060">
        <w:t xml:space="preserve"> av tilskuddet på 0,5 mill. kroner innenfor gjeldende bevilgning. Økningen er knyttet til at Digital Norway skal lede sekretariatet til ekspertgruppen for ansvarlig utvikling og bruk av KI-assistenter. Tilskuddet må ses i sammenheng med Digitaliserings- og forvaltningsdepartementets samarbeidsavtale med Digital Norway.</w:t>
      </w:r>
    </w:p>
    <w:p w14:paraId="2619F435" w14:textId="77777777" w:rsidR="000A2A2B" w:rsidRPr="007C3060" w:rsidRDefault="000A2A2B" w:rsidP="007C3060">
      <w:r w:rsidRPr="007C3060">
        <w:t>Samlet foreslås det å redusere bevilgningen med 4 mill. kroner.</w:t>
      </w:r>
    </w:p>
    <w:p w14:paraId="4CBA60C8" w14:textId="77777777" w:rsidR="000A2A2B" w:rsidRPr="007C3060" w:rsidRDefault="000A2A2B" w:rsidP="007C3060">
      <w:pPr>
        <w:pStyle w:val="b-budkaptit"/>
      </w:pPr>
      <w:r w:rsidRPr="007C3060">
        <w:t>Kap. 1543 Nasjonal -kommunikasjonsmyndighet</w:t>
      </w:r>
    </w:p>
    <w:p w14:paraId="251FB618" w14:textId="77777777" w:rsidR="000A2A2B" w:rsidRPr="007C3060" w:rsidRDefault="000A2A2B" w:rsidP="007C3060">
      <w:pPr>
        <w:pStyle w:val="b-post"/>
      </w:pPr>
      <w:r w:rsidRPr="007C3060">
        <w:t>Post 01 Driftsutgifter</w:t>
      </w:r>
    </w:p>
    <w:p w14:paraId="4C997D9A" w14:textId="77777777" w:rsidR="000A2A2B" w:rsidRPr="007C3060" w:rsidRDefault="000A2A2B" w:rsidP="007C3060">
      <w:r w:rsidRPr="007C3060">
        <w:t>Bevilgningen dekker lønn til ansatte, husleie og andre faste driftsutgifter for Nasjonal kommunikasjonsmyndighet.</w:t>
      </w:r>
    </w:p>
    <w:p w14:paraId="37745057" w14:textId="77777777" w:rsidR="000A2A2B" w:rsidRPr="007C3060" w:rsidRDefault="000A2A2B" w:rsidP="007C3060">
      <w:r w:rsidRPr="007C3060">
        <w:t xml:space="preserve">Nasjonal kommunikasjonsmyndighet har rollen som koordinerende markedstilsyn etter KI-forordningen og som nasjonal koordinator etter Digital Services </w:t>
      </w:r>
      <w:proofErr w:type="spellStart"/>
      <w:r w:rsidRPr="007C3060">
        <w:t>Act</w:t>
      </w:r>
      <w:proofErr w:type="spellEnd"/>
      <w:r w:rsidRPr="007C3060">
        <w:t xml:space="preserve"> (DSA). Det er behov for omfattende bistand fra virksomheten i arbeidet med å </w:t>
      </w:r>
      <w:proofErr w:type="gramStart"/>
      <w:r w:rsidRPr="007C3060">
        <w:t>implementere</w:t>
      </w:r>
      <w:proofErr w:type="gramEnd"/>
      <w:r w:rsidRPr="007C3060">
        <w:t xml:space="preserve"> disse forordningene. Det foreslås derfor å øke bevilgningen med 2,6 mill. kroner til arbeidet som skal Nasjonal kommunikasjons-myndighet skal gjøre i andre halvår 2025.</w:t>
      </w:r>
    </w:p>
    <w:p w14:paraId="043AF9D1" w14:textId="77777777" w:rsidR="000A2A2B" w:rsidRPr="007C3060" w:rsidRDefault="000A2A2B" w:rsidP="007C3060">
      <w:pPr>
        <w:pStyle w:val="b-post"/>
      </w:pPr>
      <w:r w:rsidRPr="007C3060">
        <w:t xml:space="preserve">Post 70 Telesikkerhet og -beredskap, </w:t>
      </w:r>
      <w:r w:rsidRPr="007C3060">
        <w:rPr>
          <w:rStyle w:val="kursiv"/>
        </w:rPr>
        <w:t>kan overføres</w:t>
      </w:r>
    </w:p>
    <w:p w14:paraId="658E8317" w14:textId="77777777" w:rsidR="000A2A2B" w:rsidRPr="007C3060" w:rsidRDefault="000A2A2B" w:rsidP="007C3060">
      <w:r w:rsidRPr="007C3060">
        <w:t xml:space="preserve">Bevilgningen skal bidra til å styrke beredskaps-evnen og gjøre </w:t>
      </w:r>
      <w:proofErr w:type="spellStart"/>
      <w:r w:rsidRPr="007C3060">
        <w:t>ekomnettene</w:t>
      </w:r>
      <w:proofErr w:type="spellEnd"/>
      <w:r w:rsidRPr="007C3060">
        <w:t xml:space="preserve"> </w:t>
      </w:r>
      <w:proofErr w:type="gramStart"/>
      <w:r w:rsidRPr="007C3060">
        <w:t>mer robuste</w:t>
      </w:r>
      <w:proofErr w:type="gramEnd"/>
      <w:r w:rsidRPr="007C3060">
        <w:t>, blant annet på grunn av mer ekstremvær, et endret trusselbilde og økt avhengighet til elektronisk kommunikasjon og digitale tjenester på tvers av alle sektorer. Det er nødvendig å gjennomføre styrkingstiltak på eksisterende fibersamband til Svalbard. Bevilgningen foreslås derfor økt med 8,1 mill. kroner.</w:t>
      </w:r>
    </w:p>
    <w:p w14:paraId="27480417" w14:textId="77777777" w:rsidR="000A2A2B" w:rsidRPr="007C3060" w:rsidRDefault="000A2A2B" w:rsidP="007C3060">
      <w:pPr>
        <w:pStyle w:val="b-budkaptit"/>
      </w:pPr>
      <w:r w:rsidRPr="007C3060">
        <w:lastRenderedPageBreak/>
        <w:t xml:space="preserve">Kap. 1560 </w:t>
      </w:r>
      <w:proofErr w:type="spellStart"/>
      <w:r w:rsidRPr="007C3060">
        <w:t>Tariffavtalte</w:t>
      </w:r>
      <w:proofErr w:type="spellEnd"/>
      <w:r w:rsidRPr="007C3060">
        <w:t xml:space="preserve"> avsetninger mv.</w:t>
      </w:r>
    </w:p>
    <w:p w14:paraId="10D1AE11" w14:textId="77777777" w:rsidR="000A2A2B" w:rsidRPr="007C3060" w:rsidRDefault="000A2A2B" w:rsidP="007C3060">
      <w:r w:rsidRPr="007C3060">
        <w:t xml:space="preserve">Forhandlinger mellom Digitaliserings- og forvaltningsdepartementet og hovedsammenslutningene i staten, som parter i </w:t>
      </w:r>
      <w:proofErr w:type="spellStart"/>
      <w:r w:rsidRPr="007C3060">
        <w:t>hovedtariffoppgjøret</w:t>
      </w:r>
      <w:proofErr w:type="spellEnd"/>
      <w:r w:rsidRPr="007C3060">
        <w:t xml:space="preserve"> i det statlige tariffområdet i 2024, ligger til grunn for forslag til avsetninger på kap. 1560, post 21 og 70.</w:t>
      </w:r>
    </w:p>
    <w:p w14:paraId="570F6F22" w14:textId="77777777" w:rsidR="000A2A2B" w:rsidRPr="007C3060" w:rsidRDefault="000A2A2B" w:rsidP="007C3060">
      <w:r w:rsidRPr="007C3060">
        <w:t xml:space="preserve">Ved </w:t>
      </w:r>
      <w:proofErr w:type="spellStart"/>
      <w:r w:rsidRPr="007C3060">
        <w:t>hovedtariffoppgjøret</w:t>
      </w:r>
      <w:proofErr w:type="spellEnd"/>
      <w:r w:rsidRPr="007C3060">
        <w:t xml:space="preserve"> for tariffperioden 2024–2026 ble det fremforhandlet til sammen 37 mill. kroner til medbestemmelse, samarbeid og kompetanseutvikling og omstillingsarbeid i staten, jf. hovedtariffavtalene pkt. 5.3 og 5.4. På grunn av tvister i </w:t>
      </w:r>
      <w:proofErr w:type="spellStart"/>
      <w:r w:rsidRPr="007C3060">
        <w:t>hovedtariffoppgjøret</w:t>
      </w:r>
      <w:proofErr w:type="spellEnd"/>
      <w:r w:rsidRPr="007C3060">
        <w:t xml:space="preserve"> i 2024 og Rikslønnsnemndas kjennelse, som ble </w:t>
      </w:r>
      <w:proofErr w:type="gramStart"/>
      <w:r w:rsidRPr="007C3060">
        <w:t>avgitt</w:t>
      </w:r>
      <w:proofErr w:type="gramEnd"/>
      <w:r w:rsidRPr="007C3060">
        <w:t xml:space="preserve"> i november 2024, ble det ikke bevilget midler på post 21 og 70 i 2024 i forbindelse med lønnsproposisjonen som normalt, og heller ikke i statsbudsjettet for 2025. Den største delen av den tariffavsatte avsetningen skal utbetales i 2025, jf. forslagene nedenfor.</w:t>
      </w:r>
    </w:p>
    <w:p w14:paraId="06274498" w14:textId="77777777" w:rsidR="000A2A2B" w:rsidRPr="007C3060" w:rsidRDefault="000A2A2B" w:rsidP="007C3060">
      <w:pPr>
        <w:pStyle w:val="b-post"/>
      </w:pPr>
      <w:r w:rsidRPr="007C3060">
        <w:t xml:space="preserve">Post 21(Ny) Spesielle driftsutgifter, </w:t>
      </w:r>
      <w:r w:rsidRPr="007C3060">
        <w:rPr>
          <w:rStyle w:val="kursiv"/>
        </w:rPr>
        <w:t>kan overføres, kan nyttes under post 70</w:t>
      </w:r>
    </w:p>
    <w:p w14:paraId="2B7F3B82" w14:textId="77777777" w:rsidR="000A2A2B" w:rsidRPr="007C3060" w:rsidRDefault="000A2A2B" w:rsidP="007C3060">
      <w:r w:rsidRPr="007C3060">
        <w:t>Bevilgningen er i hovedsak brukt til anskaffelser i forbindelse med de sentrale partenes satsinger på forsknings-, utviklings- og utredningsoppdrag. Dette er prosjekt der partene har felles interesser, blant annet knyttet til regel- og avtaleverket til staten.</w:t>
      </w:r>
    </w:p>
    <w:p w14:paraId="4B1ABE39" w14:textId="77777777" w:rsidR="000A2A2B" w:rsidRPr="007C3060" w:rsidRDefault="000A2A2B" w:rsidP="007C3060">
      <w:r w:rsidRPr="007C3060">
        <w:t xml:space="preserve">Av den </w:t>
      </w:r>
      <w:proofErr w:type="spellStart"/>
      <w:r w:rsidRPr="007C3060">
        <w:t>tariffavtalte</w:t>
      </w:r>
      <w:proofErr w:type="spellEnd"/>
      <w:r w:rsidRPr="007C3060">
        <w:t xml:space="preserve"> avsetningen vil 35 mill. kroner bli utbetalt i 2025, herunder 2 mill. kroner på denne posten. Det foreslås derfor en bevilgning på 2 mill. kroner.</w:t>
      </w:r>
    </w:p>
    <w:p w14:paraId="5C005BEF" w14:textId="0AF58ACD" w:rsidR="000A2A2B" w:rsidRPr="007C3060" w:rsidRDefault="000A2A2B" w:rsidP="007C3060">
      <w:pPr>
        <w:pStyle w:val="b-post"/>
      </w:pPr>
      <w:r w:rsidRPr="007C3060">
        <w:t xml:space="preserve">Post 70 (Ny) Kompetanseutvikling mv., </w:t>
      </w:r>
      <w:r w:rsidRPr="007C3060">
        <w:rPr>
          <w:rStyle w:val="kursiv"/>
        </w:rPr>
        <w:t>kan overføres, kan nyttes under post 21</w:t>
      </w:r>
    </w:p>
    <w:p w14:paraId="14D3C7C1" w14:textId="77777777" w:rsidR="000A2A2B" w:rsidRPr="007C3060" w:rsidRDefault="000A2A2B" w:rsidP="007C3060">
      <w:r w:rsidRPr="007C3060">
        <w:t>Bevilgningen gjelder tilskudd til kompetanse- og omstillingsarbeid. Tilskuddet skal legge til rette for god praktisering av tillitsvalgtes medbestemmelse, utvikle og effektivisere staten, og dessuten fremme et godt samarbeid mellom ledelsen og medarbeiderne, og mellom partene i virksomheten. Det gjennomføres utviklingsprosjekter og regionale samarbeidskonferanser.</w:t>
      </w:r>
    </w:p>
    <w:p w14:paraId="1BA2E81E" w14:textId="77777777" w:rsidR="000A2A2B" w:rsidRPr="007C3060" w:rsidRDefault="000A2A2B" w:rsidP="007C3060">
      <w:r w:rsidRPr="007C3060">
        <w:t xml:space="preserve">Av den </w:t>
      </w:r>
      <w:proofErr w:type="spellStart"/>
      <w:r w:rsidRPr="007C3060">
        <w:t>tariffavtalte</w:t>
      </w:r>
      <w:proofErr w:type="spellEnd"/>
      <w:r w:rsidRPr="007C3060">
        <w:t xml:space="preserve"> avsetningen vil 35 mill. kroner bli utbetalt i 2025, herunder 33 mill. kroner på denne posten. Det foreslås derfor en bevilgning på 33 mill. kroner.</w:t>
      </w:r>
    </w:p>
    <w:p w14:paraId="53AF98CB" w14:textId="77777777" w:rsidR="000A2A2B" w:rsidRPr="007C3060" w:rsidRDefault="000A2A2B" w:rsidP="007C3060">
      <w:pPr>
        <w:pStyle w:val="b-post"/>
      </w:pPr>
      <w:r w:rsidRPr="007C3060">
        <w:t>Post 71 Opplæring og utvikling av tillitsvalgte</w:t>
      </w:r>
    </w:p>
    <w:p w14:paraId="1285920B" w14:textId="77777777" w:rsidR="000A2A2B" w:rsidRPr="007C3060" w:rsidRDefault="000A2A2B" w:rsidP="007C3060">
      <w:r w:rsidRPr="007C3060">
        <w:t>Bevilgningen dekker tilskudd til opplæringstiltak for tillitsvalgte til organisasjonene i staten innenfor blant annet organisasjons- og tillitsvalgtarbeid, miljø- og vernearbeid, sykefravær, medbestemmelse, personalpolitiske spørsmål, omstilling, effektivisering og samfunnsøkonomi mv. Bevilgningen brukes i samsvar med særavtalen om opplærings- og utviklingsmidler (avtale om OU-midler).</w:t>
      </w:r>
    </w:p>
    <w:p w14:paraId="294071DC" w14:textId="77777777" w:rsidR="000A2A2B" w:rsidRPr="007C3060" w:rsidRDefault="000A2A2B" w:rsidP="007C3060">
      <w:r w:rsidRPr="007C3060">
        <w:t xml:space="preserve">Det vises til omtale av forhandlinger, tvister i </w:t>
      </w:r>
      <w:proofErr w:type="spellStart"/>
      <w:r w:rsidRPr="007C3060">
        <w:t>hovedtariffoppgjøret</w:t>
      </w:r>
      <w:proofErr w:type="spellEnd"/>
      <w:r w:rsidRPr="007C3060">
        <w:t xml:space="preserve"> og Rikslønnsnemndas kjennelse under kap. 1560, post 21 og 70 ovenfor. Bevilgningen ble økt med 14,2 mill. kroner i 2024, jf. </w:t>
      </w:r>
      <w:proofErr w:type="spellStart"/>
      <w:r w:rsidRPr="007C3060">
        <w:t>Prop</w:t>
      </w:r>
      <w:proofErr w:type="spellEnd"/>
      <w:r w:rsidRPr="007C3060">
        <w:t xml:space="preserve">. 34 S (2024–2025) </w:t>
      </w:r>
      <w:proofErr w:type="spellStart"/>
      <w:r w:rsidRPr="007C3060">
        <w:rPr>
          <w:rStyle w:val="kursiv"/>
        </w:rPr>
        <w:t>Endringar</w:t>
      </w:r>
      <w:proofErr w:type="spellEnd"/>
      <w:r w:rsidRPr="007C3060">
        <w:rPr>
          <w:rStyle w:val="kursiv"/>
        </w:rPr>
        <w:t xml:space="preserve"> i statsbudsjettet 2024 under Digitaliserings- og forvaltnings-departementet (</w:t>
      </w:r>
      <w:proofErr w:type="spellStart"/>
      <w:r w:rsidRPr="007C3060">
        <w:rPr>
          <w:rStyle w:val="kursiv"/>
        </w:rPr>
        <w:t>lønsforhandlingane</w:t>
      </w:r>
      <w:proofErr w:type="spellEnd"/>
      <w:r w:rsidRPr="007C3060">
        <w:rPr>
          <w:rStyle w:val="kursiv"/>
        </w:rPr>
        <w:t xml:space="preserve"> i det </w:t>
      </w:r>
      <w:proofErr w:type="spellStart"/>
      <w:r w:rsidRPr="007C3060">
        <w:rPr>
          <w:rStyle w:val="kursiv"/>
        </w:rPr>
        <w:t>statlege</w:t>
      </w:r>
      <w:proofErr w:type="spellEnd"/>
      <w:r w:rsidRPr="007C3060">
        <w:rPr>
          <w:rStyle w:val="kursiv"/>
        </w:rPr>
        <w:t xml:space="preserve"> tariff-området 2024) </w:t>
      </w:r>
      <w:r w:rsidRPr="007C3060">
        <w:t xml:space="preserve">og </w:t>
      </w:r>
      <w:proofErr w:type="spellStart"/>
      <w:r w:rsidRPr="007C3060">
        <w:t>Innst</w:t>
      </w:r>
      <w:proofErr w:type="spellEnd"/>
      <w:r w:rsidRPr="007C3060">
        <w:t>. 91 S (2024–2025). Til dekning av utgiftene i 2025 foreslås det å øke bevilgningen med 14,2 mill. kroner.</w:t>
      </w:r>
    </w:p>
    <w:p w14:paraId="285CD1CD" w14:textId="77777777" w:rsidR="000A2A2B" w:rsidRPr="007C3060" w:rsidRDefault="000A2A2B" w:rsidP="007C3060">
      <w:pPr>
        <w:pStyle w:val="b-post"/>
      </w:pPr>
      <w:r w:rsidRPr="007C3060">
        <w:lastRenderedPageBreak/>
        <w:t>Post 72 Pensjonskostnader tjenestemanns-organisasjonene</w:t>
      </w:r>
    </w:p>
    <w:p w14:paraId="0BE966E3" w14:textId="77777777" w:rsidR="000A2A2B" w:rsidRPr="007C3060" w:rsidRDefault="000A2A2B" w:rsidP="007C3060">
      <w:r w:rsidRPr="007C3060">
        <w:t xml:space="preserve">Virksomheter som er medlemmer i Statens pensjonskasse skal betale en </w:t>
      </w:r>
      <w:proofErr w:type="spellStart"/>
      <w:r w:rsidRPr="007C3060">
        <w:t>aktuarisk</w:t>
      </w:r>
      <w:proofErr w:type="spellEnd"/>
      <w:r w:rsidRPr="007C3060">
        <w:t xml:space="preserve"> beregnet premie (arbeidsgiverandel), slik det gjøres i privat sektor. Tjenestemannsorganisasjonene betaler ikke arbeidsgiverandel for ansatte som har ulønnet permisjon fra statlig virksomhet for å ha verv eller være ansatt i en slik organisasjon. I samsvar med permisjonsavtalen betaler organisasjonene kun 2 pst. medlemsinnskudd. For å synliggjøre statens årlige bidrag til tjenestemannsorganisasjonene på pensjonsområdet, budsjetteres disse premiekostnadene på en egen post i statsbudsjettet. Posten inkluderer også arbeidsgiveravgift.</w:t>
      </w:r>
    </w:p>
    <w:p w14:paraId="141CDBE6" w14:textId="77777777" w:rsidR="000A2A2B" w:rsidRPr="007C3060" w:rsidRDefault="000A2A2B" w:rsidP="007C3060">
      <w:r w:rsidRPr="007C3060">
        <w:t>Statens pensjonskasse fakturerer utgiftene halvårlig og etterskuddsvis. For tjenestemanns-organisasjonene består premieprognosen for 2025 derfor av fakturert premie for 2. halvår 2024 og premieprognose for 1. halvår 2025.</w:t>
      </w:r>
    </w:p>
    <w:p w14:paraId="322CBA55" w14:textId="77777777" w:rsidR="000A2A2B" w:rsidRPr="007C3060" w:rsidRDefault="000A2A2B" w:rsidP="007C3060">
      <w:r w:rsidRPr="007C3060">
        <w:t>Det foreslås å øke bevilgningen med 16 mill. kroner. Økningen skyldes at den faktiske premien for 2. halvår 2024 var høyere enn estimert, hovedsakelig på grunn av lønnsendringer.</w:t>
      </w:r>
    </w:p>
    <w:p w14:paraId="78F5160F" w14:textId="77777777" w:rsidR="000A2A2B" w:rsidRPr="007C3060" w:rsidRDefault="000A2A2B" w:rsidP="007C3060">
      <w:pPr>
        <w:pStyle w:val="b-budkaptit"/>
      </w:pPr>
      <w:r w:rsidRPr="007C3060">
        <w:t>Kap. 1565 Boliglånsordningen i Statens -pensjonskasse</w:t>
      </w:r>
    </w:p>
    <w:p w14:paraId="6D5C2CB7" w14:textId="77777777" w:rsidR="000A2A2B" w:rsidRPr="007C3060" w:rsidRDefault="000A2A2B" w:rsidP="007C3060">
      <w:pPr>
        <w:pStyle w:val="b-post"/>
      </w:pPr>
      <w:r w:rsidRPr="007C3060">
        <w:t>Post 01 Driftsutgifter</w:t>
      </w:r>
    </w:p>
    <w:p w14:paraId="042C5EA5" w14:textId="77777777" w:rsidR="000A2A2B" w:rsidRPr="007C3060" w:rsidRDefault="000A2A2B" w:rsidP="007C3060">
      <w:r w:rsidRPr="007C3060">
        <w:t>Bevilgningen dekker kostnadene til Statens pensjonskasse for å administrere boliglånsordningen. Hoveddelen av kostnadene dekkes av lånekundene gjennom betaling av ulike former for gebyr, jf. kap. 4565, post 01.</w:t>
      </w:r>
    </w:p>
    <w:p w14:paraId="3537A4A7" w14:textId="77777777" w:rsidR="000A2A2B" w:rsidRPr="007C3060" w:rsidRDefault="000A2A2B" w:rsidP="007C3060">
      <w:r w:rsidRPr="007C3060">
        <w:t>Administrasjonskostnadene anslås å utgjøre 56 mill. kroner i 2025, en reduksjon på 5 mill. kroner fra saldert budsjett for 2025. Kostnadene reduseres som følge av at det nå legges til grunn en lavere pris for forvaltning av løpende lån. Det foreslås derfor å redusere bevilgningen med 5 mill. kroner.</w:t>
      </w:r>
    </w:p>
    <w:p w14:paraId="32B463CD" w14:textId="77777777" w:rsidR="000A2A2B" w:rsidRPr="007C3060" w:rsidRDefault="000A2A2B" w:rsidP="007C3060">
      <w:pPr>
        <w:pStyle w:val="b-post"/>
      </w:pPr>
      <w:r w:rsidRPr="007C3060">
        <w:t xml:space="preserve">Post 90 Utlån, </w:t>
      </w:r>
      <w:r w:rsidRPr="007C3060">
        <w:rPr>
          <w:rStyle w:val="kursiv"/>
        </w:rPr>
        <w:t>overslagsbevilgning</w:t>
      </w:r>
    </w:p>
    <w:p w14:paraId="4D656DBD" w14:textId="77777777" w:rsidR="000A2A2B" w:rsidRPr="007C3060" w:rsidRDefault="000A2A2B" w:rsidP="007C3060">
      <w:r w:rsidRPr="007C3060">
        <w:t>Bevilgningen dekker forventede utbetalinger av nye lån i Statens pensjonskasse, og beregnede, men ikke betalte renter på lånene. Som følge av at det legges til grunn flere utbetalte lån, anslås det nå at utbetalte lån vil utgjøre 9 100 mill. kroner i 2025. Anslaget inkluderer 184 mill. kroner i beregnede opptjente renteinntekter ved utgangen av 2025. Det foreslås på denne bakgrunn å øke bevilgningen med 1 500 mill. kroner.</w:t>
      </w:r>
    </w:p>
    <w:p w14:paraId="472FC353" w14:textId="77777777" w:rsidR="000A2A2B" w:rsidRPr="007C3060" w:rsidRDefault="000A2A2B" w:rsidP="007C3060">
      <w:pPr>
        <w:pStyle w:val="b-budkaptit"/>
      </w:pPr>
      <w:r w:rsidRPr="007C3060">
        <w:t>Kap. 4565 Boliglånsordningen i Statens -pensjonskasse</w:t>
      </w:r>
    </w:p>
    <w:p w14:paraId="0E6534ED" w14:textId="77777777" w:rsidR="000A2A2B" w:rsidRPr="007C3060" w:rsidRDefault="000A2A2B" w:rsidP="007C3060">
      <w:pPr>
        <w:pStyle w:val="b-post"/>
      </w:pPr>
      <w:r w:rsidRPr="007C3060">
        <w:t>Post 01 Gebyrinntekter, lån</w:t>
      </w:r>
    </w:p>
    <w:p w14:paraId="5BAC1F8B" w14:textId="77777777" w:rsidR="000A2A2B" w:rsidRPr="007C3060" w:rsidRDefault="000A2A2B" w:rsidP="007C3060">
      <w:r w:rsidRPr="007C3060">
        <w:t>Bevilgningen gjelder innbetaling av gebyrer fra låntakerne i boliglånsordningen i Statens pensjonskasse i form av termingebyr, etablerings-gebyr, purregebyr o.l.</w:t>
      </w:r>
    </w:p>
    <w:p w14:paraId="75430138" w14:textId="77777777" w:rsidR="000A2A2B" w:rsidRPr="007C3060" w:rsidRDefault="000A2A2B" w:rsidP="007C3060">
      <w:r w:rsidRPr="007C3060">
        <w:t>Som følge av at det legges til grunn flere utbetalte lån og en høyere utlånsportefølje enn i saldert budsjett for 2025, anslås gebyrinntektene å utgjøre 50 mill. kroner i 2025. Det foreslås derfor å øke bevilgningen med 4 mill. kroner, jf. kap. 1565, post 01.</w:t>
      </w:r>
    </w:p>
    <w:p w14:paraId="2692A680" w14:textId="77777777" w:rsidR="000A2A2B" w:rsidRPr="007C3060" w:rsidRDefault="000A2A2B" w:rsidP="007C3060">
      <w:pPr>
        <w:pStyle w:val="b-post"/>
      </w:pPr>
      <w:r w:rsidRPr="007C3060">
        <w:lastRenderedPageBreak/>
        <w:t>Post 90 Tilbakebetaling av lån</w:t>
      </w:r>
    </w:p>
    <w:p w14:paraId="630A385E" w14:textId="77777777" w:rsidR="000A2A2B" w:rsidRPr="007C3060" w:rsidRDefault="000A2A2B" w:rsidP="007C3060">
      <w:r w:rsidRPr="007C3060">
        <w:t>På posten budsjetteres forventede innbetalinger av ordinære og ekstraordinære avdrag, innfrielser av boliglån og tilbakeføring av opptjente renter ved inngangen til året.</w:t>
      </w:r>
    </w:p>
    <w:p w14:paraId="1A214D03" w14:textId="77777777" w:rsidR="000A2A2B" w:rsidRPr="007C3060" w:rsidRDefault="000A2A2B" w:rsidP="007C3060">
      <w:r w:rsidRPr="007C3060">
        <w:t>På bakgrunn av utviklingen den siste tiden forventes det at gjennomsnittlig innfridd beløp, forventede ordinære avdrag og ekstraordinære avdrag økes sammenlignet med det som ble lagt til grunn i saldert budsjett for 2025. Det legges nå til grunn en innbetaling på 19 300 mill. kroner i 2025, inkludert om lag 208 mill. kroner i tilbakeføring av beregnede opptjente renter ved inngangen til 2025. Det foreslås derfor å øke bevilgningen med 3 800 mill. kroner.</w:t>
      </w:r>
    </w:p>
    <w:p w14:paraId="0A941DEC" w14:textId="77777777" w:rsidR="000A2A2B" w:rsidRPr="007C3060" w:rsidRDefault="000A2A2B" w:rsidP="007C3060">
      <w:pPr>
        <w:pStyle w:val="b-budkaptit"/>
      </w:pPr>
      <w:r w:rsidRPr="007C3060">
        <w:t>Kap. 5607 Renter av boliglånsordningen i Statens pensjonskasse</w:t>
      </w:r>
    </w:p>
    <w:p w14:paraId="6F4C9231" w14:textId="77777777" w:rsidR="000A2A2B" w:rsidRPr="007C3060" w:rsidRDefault="000A2A2B" w:rsidP="007C3060">
      <w:pPr>
        <w:pStyle w:val="b-post"/>
      </w:pPr>
      <w:r w:rsidRPr="007C3060">
        <w:t>Post 80 Renter</w:t>
      </w:r>
    </w:p>
    <w:p w14:paraId="67914920" w14:textId="77777777" w:rsidR="000A2A2B" w:rsidRPr="007C3060" w:rsidRDefault="000A2A2B" w:rsidP="007C3060">
      <w:r w:rsidRPr="007C3060">
        <w:t>Bevilgningen gjelder renteinntekter og opptjente, ikke betalte renter knyttet til boliglånsordningen i Statens pensjonskasse.</w:t>
      </w:r>
    </w:p>
    <w:p w14:paraId="4BAF3D0C" w14:textId="77777777" w:rsidR="000A2A2B" w:rsidRPr="007C3060" w:rsidRDefault="000A2A2B" w:rsidP="007C3060">
      <w:r w:rsidRPr="007C3060">
        <w:t>Renter av boliglånsordningen anslås til 3 951 mill. kroner i 2025. Dette er en økning på 7 mill. kroner sammenlignet med saldert budsjett for 2025. Økningen skyldes at anslaget for gjennomsnittlig låneportefølje er noe høyere enn det som ble anslått i saldert budsjett for 2025. Det foreslås derfor å øke bevilgningen med 7 mill. kroner.</w:t>
      </w:r>
    </w:p>
    <w:p w14:paraId="1CC5C8D5" w14:textId="77777777" w:rsidR="000A2A2B" w:rsidRPr="007C3060" w:rsidRDefault="000A2A2B" w:rsidP="007C3060">
      <w:pPr>
        <w:pStyle w:val="Undertittel"/>
      </w:pPr>
      <w:r w:rsidRPr="007C3060">
        <w:t>Andre saker</w:t>
      </w:r>
    </w:p>
    <w:p w14:paraId="6AB65431" w14:textId="77777777" w:rsidR="000A2A2B" w:rsidRPr="007C3060" w:rsidRDefault="000A2A2B" w:rsidP="007C3060">
      <w:pPr>
        <w:pStyle w:val="avsnitt-undertittel"/>
      </w:pPr>
      <w:r w:rsidRPr="007C3060">
        <w:t>Arkivverkets lokaler på Kongsberg</w:t>
      </w:r>
    </w:p>
    <w:p w14:paraId="6FC8BA35" w14:textId="77777777" w:rsidR="000A2A2B" w:rsidRPr="007C3060" w:rsidRDefault="000A2A2B" w:rsidP="007C3060">
      <w:r w:rsidRPr="007C3060">
        <w:t xml:space="preserve">Arkivverkets lokaler på Kongsberg overføres fra kap. 2445 </w:t>
      </w:r>
      <w:r w:rsidRPr="007C3060">
        <w:rPr>
          <w:rStyle w:val="kursiv"/>
        </w:rPr>
        <w:t>Statsbygg</w:t>
      </w:r>
      <w:r w:rsidRPr="007C3060">
        <w:t xml:space="preserve"> til kap. 1531 </w:t>
      </w:r>
      <w:r w:rsidRPr="007C3060">
        <w:rPr>
          <w:rStyle w:val="kursiv"/>
        </w:rPr>
        <w:t>Eiendommer til kongelige formål</w:t>
      </w:r>
      <w:r w:rsidRPr="007C3060">
        <w:t>. Eiendommen har en bokført verdi på 24,7 mill. kroner, og føres ut av Statsbyggs balanse ved å redusere aktiva med motpost gjeld. I tillegg til at Arkivverket fortsetter å bruke bygget, legges det til rette for en forsvarlig oppbevaring av deler av de kongelige samlinger.</w:t>
      </w:r>
    </w:p>
    <w:p w14:paraId="029C7E5D" w14:textId="77777777" w:rsidR="000A2A2B" w:rsidRPr="007C3060" w:rsidRDefault="000A2A2B" w:rsidP="007C3060">
      <w:pPr>
        <w:pStyle w:val="avsnitt-undertittel"/>
      </w:pPr>
      <w:r w:rsidRPr="007C3060">
        <w:t>Byggeprosjekter i reklamasjonsfasen og sluttoppgjør</w:t>
      </w:r>
    </w:p>
    <w:p w14:paraId="48A87A0B" w14:textId="77777777" w:rsidR="000A2A2B" w:rsidRPr="007C3060" w:rsidRDefault="000A2A2B" w:rsidP="007C3060">
      <w:r w:rsidRPr="007C3060">
        <w:t>Sluttoppgjøret i byggeprosjekter starter når bygningen blir overført til bruker. I tillegg varer reklamasjonsfasen i fem år etter at bygget er ferdig. Dette medfører at det kan inngås forpliktelser utover budsjettåret i flere år etter at bygget er ferdig og overlevert bruker.</w:t>
      </w:r>
    </w:p>
    <w:p w14:paraId="025EE40D" w14:textId="77777777" w:rsidR="000A2A2B" w:rsidRPr="007C3060" w:rsidRDefault="000A2A2B" w:rsidP="007C3060">
      <w:r w:rsidRPr="007C3060">
        <w:t xml:space="preserve">Digitaliserings- og forvaltningsdepartementet har i 2024 og 2025 ikke hatt fullmakt til å forplikte utover budsjettåret for ordinære byggeprosjekter i reklamasjonsfasen og sluttoppgjør for prosjekter som ble ferdigstilt før 2024. Årsaken er omlegging av investeringsfullmakt i </w:t>
      </w:r>
      <w:proofErr w:type="spellStart"/>
      <w:r w:rsidRPr="007C3060">
        <w:t>Prop</w:t>
      </w:r>
      <w:proofErr w:type="spellEnd"/>
      <w:r w:rsidRPr="007C3060">
        <w:t>. 1 S (2023–2024). Før 2024 var forpliktelser utover budsjettåret for reklamasjonsfase og sluttoppgjør inkludert i de årlige investeringsfullmaktene, men ved omleggingen av investeringsfullmakten falt dette ved en feil ut. Det foreslås derfor at Digitaliserings- og forvaltningsdepartementet får fullmakt til å inngå forpliktelser utover budsjettåret for ferdigstilte byggeprosjekter, jf. forslag til romertallsvedtak.</w:t>
      </w:r>
    </w:p>
    <w:p w14:paraId="0D5F67FF" w14:textId="77777777" w:rsidR="000A2A2B" w:rsidRPr="007C3060" w:rsidRDefault="000A2A2B" w:rsidP="007C3060">
      <w:pPr>
        <w:pStyle w:val="avsnitt-undertittel"/>
      </w:pPr>
      <w:r w:rsidRPr="007C3060">
        <w:lastRenderedPageBreak/>
        <w:t>Studenthybler ved brann- og redningsskolen i Tjeldsund</w:t>
      </w:r>
    </w:p>
    <w:p w14:paraId="202547A1" w14:textId="77777777" w:rsidR="000A2A2B" w:rsidRPr="007C3060" w:rsidRDefault="000A2A2B" w:rsidP="007C3060">
      <w:r w:rsidRPr="007C3060">
        <w:t>Da Stortinget vedtok kostnadsramme og oppstart for byggeprosjektet nye studenthybler ved brann- og redningsskolen i Tjeldsund i nysalderingen for 2023 var fullmakt om å forplikte staten utover budsjettåret uteglemt. Det foreslås derfor at Digitaliserings- og forvaltningsdepartementet får en slik fullmakt, jf. forslag til romertallsvedtak.</w:t>
      </w:r>
    </w:p>
    <w:p w14:paraId="5139B97D" w14:textId="77777777" w:rsidR="000A2A2B" w:rsidRPr="007C3060" w:rsidRDefault="000A2A2B" w:rsidP="007C3060">
      <w:pPr>
        <w:pStyle w:val="avsnitt-undertittel"/>
      </w:pPr>
      <w:r w:rsidRPr="007C3060">
        <w:t>Tilsagnsramme Norges forskningsråd</w:t>
      </w:r>
    </w:p>
    <w:p w14:paraId="2E8DCD9F" w14:textId="77777777" w:rsidR="000A2A2B" w:rsidRPr="007C3060" w:rsidRDefault="000A2A2B" w:rsidP="007C3060">
      <w:r w:rsidRPr="007C3060">
        <w:t xml:space="preserve">Bevilgningen på kap. 1500 </w:t>
      </w:r>
      <w:r w:rsidRPr="007C3060">
        <w:rPr>
          <w:rStyle w:val="kursiv"/>
        </w:rPr>
        <w:t>Digitaliserings- og forvaltningsdepartementet</w:t>
      </w:r>
      <w:r w:rsidRPr="007C3060">
        <w:t xml:space="preserve">, post 71 </w:t>
      </w:r>
      <w:r w:rsidRPr="007C3060">
        <w:rPr>
          <w:rStyle w:val="kursiv"/>
        </w:rPr>
        <w:t>Forskningsmidler til Norges forskningsråd</w:t>
      </w:r>
      <w:r w:rsidRPr="007C3060">
        <w:t xml:space="preserve"> dekker departementets behov for langsiktig kunnskapsoppbygging i regi av Norges forskningsråd. Forskningsrådet har fra og med 2025 gått over fra nettobudsjettering til bruttobudsjettering. Posten budsjetteres derfor med tilsagnsramme, tilsagnsfullmakt og bevilgning. Tilsagnsrammen angir rammen for nye tilsagn i det vedkommende budsjettåret.</w:t>
      </w:r>
    </w:p>
    <w:p w14:paraId="1116251B" w14:textId="77777777" w:rsidR="000A2A2B" w:rsidRPr="007C3060" w:rsidRDefault="000A2A2B" w:rsidP="007C3060">
      <w:r w:rsidRPr="007C3060">
        <w:t>For å opprettholde aktivitetsnivået i 2025 er tilsagnsrammen økt med 8,6 mill. kroner fra 113,2 mill. kroner til 121,8 mill. kroner. Vedtatt bevilgning på posten på 83,2 mill. kroner og tilsagnsfullmakten på 231,2 mill. kroner påvirkes ikke av dette.</w:t>
      </w:r>
    </w:p>
    <w:p w14:paraId="199A3635" w14:textId="77777777" w:rsidR="000A2A2B" w:rsidRPr="007C3060" w:rsidRDefault="000A2A2B" w:rsidP="007C3060">
      <w:pPr>
        <w:pStyle w:val="avsnitt-undertittel"/>
      </w:pPr>
      <w:r w:rsidRPr="007C3060">
        <w:t>Oppfølging av anmodningsvedtak 625 (2023–2024) – inkludere flere med funksjonshindre og hull i CV-en i arbeidslivet i staten</w:t>
      </w:r>
    </w:p>
    <w:p w14:paraId="4C1E47F9" w14:textId="77777777" w:rsidR="000A2A2B" w:rsidRPr="007C3060" w:rsidRDefault="000A2A2B" w:rsidP="007C3060">
      <w:r w:rsidRPr="007C3060">
        <w:t>Stortinget fattet 7. mars 2024 følgende anmodningsvedtak:</w:t>
      </w:r>
    </w:p>
    <w:p w14:paraId="40BC088E" w14:textId="77777777" w:rsidR="000A2A2B" w:rsidRPr="007C3060" w:rsidRDefault="000A2A2B" w:rsidP="007C3060">
      <w:pPr>
        <w:pStyle w:val="blokksit"/>
      </w:pPr>
      <w:r w:rsidRPr="007C3060">
        <w:t>«Stortinget ber regjeringen igangsette et arbeid for å utrede ytterligere og sterkere tiltak for å inkludere flere mennesker med funksjons-hindre og flere mennesker med hull i CV-en i arbeidslivet i staten, inkludert tiltak i statens arbeidsgiverpolitikk samt tiltak for å bygge ned samfunnsskapte funksjonshindre og diskriminering, og komme tilbake til Stortinget med forslag innen utgangen av vårsesjonen 2025.»</w:t>
      </w:r>
    </w:p>
    <w:p w14:paraId="08A0F50C" w14:textId="77777777" w:rsidR="000A2A2B" w:rsidRPr="007C3060" w:rsidRDefault="000A2A2B" w:rsidP="007C3060">
      <w:r w:rsidRPr="007C3060">
        <w:t>For regjeringen er det viktig å redusere utenforskap og få til økt inkludering. Regjeringen arbeider kontinuerlig med dette. For å følge opp anmodningsvedtaket har regjeringen vurdert tiltak som kan bidra til at flere mennesker med funksjonsnedsettelse og personer med hull i CV-en blir ansatt i staten. Det har vært holdt møte med både paraplyorganisasjonene for personer med funksjonsnedsettelse og hovedsammenslutningene i staten for innspill til regjeringens arbeid med oppfølging av anmodningsvedtaket. Det har også vært dialog med Arbeidsgiverrådet i staten.</w:t>
      </w:r>
    </w:p>
    <w:p w14:paraId="21E58F73" w14:textId="77777777" w:rsidR="000A2A2B" w:rsidRPr="007C3060" w:rsidRDefault="000A2A2B" w:rsidP="007C3060">
      <w:r w:rsidRPr="007C3060">
        <w:t xml:space="preserve">Den statlige arbeidsgiverpolitikken skal blant annet legge til rette for inkludering og mangfold. Regelverket åpner for bruk av moderat kvotering av personer med funksjonsnedsettelse og personer med hull i CV-en ved ansettelser i staten. I staten er det også etablert et </w:t>
      </w:r>
      <w:proofErr w:type="spellStart"/>
      <w:r w:rsidRPr="007C3060">
        <w:t>traineeprogram</w:t>
      </w:r>
      <w:proofErr w:type="spellEnd"/>
      <w:r w:rsidRPr="007C3060">
        <w:t xml:space="preserve"> for personer med funksjonsnedsettelse og personer med hull i CV-en, og som har høyere utdanning. -</w:t>
      </w:r>
      <w:proofErr w:type="spellStart"/>
      <w:r w:rsidRPr="007C3060">
        <w:t>Traineeprogrammet</w:t>
      </w:r>
      <w:proofErr w:type="spellEnd"/>
      <w:r w:rsidRPr="007C3060">
        <w:t xml:space="preserve"> er en del av statens satsing for å inkludere personer i denne målgruppen. Ledige stillinger lyses ut rettet mot kvalifiserte søkere i målgruppen. Det er videre gitt et unntak fra utlysningsplikten dersom statlige virksomheter vil ansette personer med funksjonsnedsettelse eller hull i CV-en med lønnstilskudd fra NAV i en midlertidig stilling. Slik kan personer i målgruppen få arbeidserfaring og kvalifisere seg for videre arbeid, samtidig som statlige virksomheter har mulighet til å ta deres arbeidskraft i bruk.</w:t>
      </w:r>
    </w:p>
    <w:p w14:paraId="7EBCEA31" w14:textId="77777777" w:rsidR="000A2A2B" w:rsidRPr="007C3060" w:rsidRDefault="000A2A2B" w:rsidP="007C3060">
      <w:r w:rsidRPr="007C3060">
        <w:lastRenderedPageBreak/>
        <w:t xml:space="preserve">Regjeringen vil styrke arbeidet med å inkludere flere personer med funksjonsnedsettelse og personer med hull i CV-en i arbeidslivet i staten gjennom aktiv formidling av de mulighetene statlige virksomheter har til å føre en inkluderende rekrutteringspraksis, og lete etter kompetanse blant hele befolkningen. Parallelt med dette vil regjeringen arbeide for at statlige virksomheter i forbindelse med utlysning av ledige stillinger går kritisk gjennom hvilke krav som stilles til kvalifikasjoner. Regjeringen anser det som viktig at virksomhetene, samtidig som de skal søke etter den kompetanse som er nødvendig for å løse samfunnsoppdraget, ikke stiller unødvendige krav som kan virke ekskluderende, særlig for enkelte utsatte grupper. Regjeringen ønsker å revitalisere </w:t>
      </w:r>
      <w:proofErr w:type="spellStart"/>
      <w:r w:rsidRPr="007C3060">
        <w:t>traineeprogrammet</w:t>
      </w:r>
      <w:proofErr w:type="spellEnd"/>
      <w:r w:rsidRPr="007C3060">
        <w:t xml:space="preserve"> gjennom aktiv promotering overfor de statlige virksomhetene for å gjøre det bedre kjent og øke bruken. </w:t>
      </w:r>
      <w:proofErr w:type="spellStart"/>
      <w:r w:rsidRPr="007C3060">
        <w:t>Trainee</w:t>
      </w:r>
      <w:proofErr w:type="spellEnd"/>
      <w:r w:rsidRPr="007C3060">
        <w:t>-ordningen skal også evalueres. Evalueringen skal munne ut i enkelte anbefalinger knyttet til hvordan programmet kan benyttes mer. Selv om faste hele stillinger er en viktig målsetning, vil Digitaliserings- og forvaltningsdepartementet undersøke om utlysning av deltidsstillinger i større grad kan bidra til at mennesker med funksjonsnedsettelse eller hull i CV-en kan bli ansatt i staten. Enkelte i målgruppen vil kunne ha behov for dette. Dersom mulighet for deltid synliggjøres i utlysningen, vil vi se om det kan bidra til at flere i målgruppen søker og kan bli ansatt i staten. Digitaliserings- og forvaltningsdepartementet skal sammen med hovedsammenslutningene i staten gjennomføre en større evaluering av mangfolds- og inkluderingsarbeidet i det statlige tariffområdet.</w:t>
      </w:r>
    </w:p>
    <w:p w14:paraId="30715B94" w14:textId="77777777" w:rsidR="000A2A2B" w:rsidRPr="007C3060" w:rsidRDefault="000A2A2B" w:rsidP="007C3060">
      <w:r w:rsidRPr="007C3060">
        <w:t xml:space="preserve">Videre finner regjeringen det naturlig å se dette anmodningsvedtaket i sammenheng med arbeidsmarkedsmeldingen, jf. Meld. St. 33 (2023–2024) </w:t>
      </w:r>
      <w:r w:rsidRPr="007C3060">
        <w:rPr>
          <w:rStyle w:val="kursiv"/>
        </w:rPr>
        <w:t>En forsterket arbeidslinje – flere i jobb og færre på trygd</w:t>
      </w:r>
      <w:r w:rsidRPr="007C3060">
        <w:t xml:space="preserve"> og </w:t>
      </w:r>
      <w:proofErr w:type="spellStart"/>
      <w:r w:rsidRPr="007C3060">
        <w:t>Innst</w:t>
      </w:r>
      <w:proofErr w:type="spellEnd"/>
      <w:r w:rsidRPr="007C3060">
        <w:t xml:space="preserve">. 150 S (2024–2025). I stortingsmeldingen fremmer regjeringen flere tiltak for økt deltakelse i arbeidslivet for personer som i dag står utenfor. Blant annet skal </w:t>
      </w:r>
      <w:proofErr w:type="spellStart"/>
      <w:r w:rsidRPr="007C3060">
        <w:t>traineeprogrammet</w:t>
      </w:r>
      <w:proofErr w:type="spellEnd"/>
      <w:r w:rsidRPr="007C3060">
        <w:t xml:space="preserve"> i staten evalueres, og det skal legges til rette for å øke bruken av systematisk samarbeid og strategiske partnerskap mellom Arbeids- og velferdsetaten og virksomheter i offentlig sektor. I stortingsmeldingen omtales også vurdering av kravene som stilles i utlysningstekster til stillinger og bruk av deltid som virkemidler for økt inkludering og sysselsetting.</w:t>
      </w:r>
    </w:p>
    <w:p w14:paraId="07D30753" w14:textId="77777777" w:rsidR="000A2A2B" w:rsidRPr="007C3060" w:rsidRDefault="000A2A2B" w:rsidP="007C3060">
      <w:r w:rsidRPr="007C3060">
        <w:t xml:space="preserve">Arbeidet for å bygge ned samfunnsskapte funksjonshindre og diskriminering er et løpende arbeid med å gjøre ulike deler av samfunnet mer universelt utformet, og bedre legge til rette for mennesker med funksjonsnedsettelse. I den forbindelse nevnes særlig handlingsplanen </w:t>
      </w:r>
      <w:r w:rsidRPr="007C3060">
        <w:rPr>
          <w:rStyle w:val="kursiv"/>
        </w:rPr>
        <w:t>Bærekraft og like muligheter – et universelt utformet Norge 2021–2025</w:t>
      </w:r>
      <w:r w:rsidRPr="007C3060">
        <w:t xml:space="preserve">, strategidokumentet </w:t>
      </w:r>
      <w:r w:rsidRPr="007C3060">
        <w:rPr>
          <w:rStyle w:val="kursiv"/>
        </w:rPr>
        <w:t xml:space="preserve">Et samfunn for alle – Regjeringens strategi for likestilling av mennesker med funksjonsnedsettelse for perioden 2020–2030 </w:t>
      </w:r>
      <w:r w:rsidRPr="007C3060">
        <w:t xml:space="preserve">og Meld. St. 8 (2022–2023) </w:t>
      </w:r>
      <w:proofErr w:type="spellStart"/>
      <w:r w:rsidRPr="007C3060">
        <w:rPr>
          <w:rStyle w:val="kursiv"/>
        </w:rPr>
        <w:t>Menneskerettar</w:t>
      </w:r>
      <w:proofErr w:type="spellEnd"/>
      <w:r w:rsidRPr="007C3060">
        <w:rPr>
          <w:rStyle w:val="kursiv"/>
        </w:rPr>
        <w:t xml:space="preserve"> for </w:t>
      </w:r>
      <w:proofErr w:type="spellStart"/>
      <w:r w:rsidRPr="007C3060">
        <w:rPr>
          <w:rStyle w:val="kursiv"/>
        </w:rPr>
        <w:t>personar</w:t>
      </w:r>
      <w:proofErr w:type="spellEnd"/>
      <w:r w:rsidRPr="007C3060">
        <w:rPr>
          <w:rStyle w:val="kursiv"/>
        </w:rPr>
        <w:t xml:space="preserve"> med utviklingshemming – Det handler om å bli </w:t>
      </w:r>
      <w:proofErr w:type="spellStart"/>
      <w:r w:rsidRPr="007C3060">
        <w:rPr>
          <w:rStyle w:val="kursiv"/>
        </w:rPr>
        <w:t>høyrt</w:t>
      </w:r>
      <w:proofErr w:type="spellEnd"/>
      <w:r w:rsidRPr="007C3060">
        <w:rPr>
          <w:rStyle w:val="kursiv"/>
        </w:rPr>
        <w:t xml:space="preserve"> og sett</w:t>
      </w:r>
      <w:r w:rsidRPr="007C3060">
        <w:t>.</w:t>
      </w:r>
    </w:p>
    <w:p w14:paraId="45CCA45D" w14:textId="77777777" w:rsidR="000A2A2B" w:rsidRPr="007C3060" w:rsidRDefault="000A2A2B" w:rsidP="007C3060">
      <w:r w:rsidRPr="007C3060">
        <w:t>Anmodningsvedtak nr. 625 (2023–2024) anses med dette som fulgt opp.</w:t>
      </w:r>
    </w:p>
    <w:p w14:paraId="56CA59E0" w14:textId="77777777" w:rsidR="000A2A2B" w:rsidRPr="007C3060" w:rsidRDefault="000A2A2B" w:rsidP="007C3060">
      <w:pPr>
        <w:pStyle w:val="avsnitt-undertittel"/>
      </w:pPr>
      <w:r w:rsidRPr="007C3060">
        <w:t>Statens lederlønnssystem</w:t>
      </w:r>
    </w:p>
    <w:p w14:paraId="2BE6DB44" w14:textId="77777777" w:rsidR="000A2A2B" w:rsidRPr="007C3060" w:rsidRDefault="000A2A2B" w:rsidP="007C3060">
      <w:r w:rsidRPr="007C3060">
        <w:t>Om lag 250 av statens øverste ledere er tilknyttet statens lederlønnssystem, blant annet departementsråder og ekspedisjonssjefer i departementene, samt toppledere i større etater og institusjoner, statsforvaltere og politimestere. Statens lederlønnssystem ble etablert i 1991. Ordningen kopler resultater og lønn tettere sammen, og legger til rette for økt mobilitet i lederstillingene.</w:t>
      </w:r>
    </w:p>
    <w:p w14:paraId="527680F7" w14:textId="77777777" w:rsidR="000A2A2B" w:rsidRPr="007C3060" w:rsidRDefault="000A2A2B" w:rsidP="007C3060">
      <w:r w:rsidRPr="007C3060">
        <w:t xml:space="preserve">Det er besluttet at taket på 2 mill. kroner, som har vært stående uendret siden 2015, skal justeres tilsvarende rammen for frontfaget. Det nye lønns-taket på statens lederlønnssystem er med </w:t>
      </w:r>
      <w:r w:rsidRPr="007C3060">
        <w:lastRenderedPageBreak/>
        <w:t>virkning fra 2024 på 2 104 000 kroner. Dette er et ledd i oppfølging av lederlønnsutvalgets anbefalinger. Lederlønnsutvalget ble oppnevnt av forrige regjering for å foreta en gjennomgang av statens lederlønnssystem.</w:t>
      </w:r>
    </w:p>
    <w:p w14:paraId="273E6597" w14:textId="77777777" w:rsidR="000A2A2B" w:rsidRPr="007C3060" w:rsidRDefault="000A2A2B" w:rsidP="007C3060">
      <w:pPr>
        <w:pStyle w:val="Overskrift2"/>
      </w:pPr>
      <w:r w:rsidRPr="007C3060">
        <w:t>Finansdepartementet</w:t>
      </w:r>
    </w:p>
    <w:p w14:paraId="1FCC0DE0" w14:textId="77777777" w:rsidR="000A2A2B" w:rsidRPr="007C3060" w:rsidRDefault="000A2A2B" w:rsidP="007C3060">
      <w:pPr>
        <w:pStyle w:val="b-budkaptit"/>
      </w:pPr>
      <w:r w:rsidRPr="007C3060">
        <w:t>Kap. 20 Statsministerens kontor</w:t>
      </w:r>
    </w:p>
    <w:p w14:paraId="723D10CE" w14:textId="77777777" w:rsidR="000A2A2B" w:rsidRPr="007C3060" w:rsidRDefault="000A2A2B" w:rsidP="007C3060">
      <w:pPr>
        <w:pStyle w:val="b-post"/>
      </w:pPr>
      <w:r w:rsidRPr="007C3060">
        <w:t>Post 01 Driftsutgifter</w:t>
      </w:r>
    </w:p>
    <w:p w14:paraId="2BBAA526" w14:textId="77777777" w:rsidR="000A2A2B" w:rsidRPr="007C3060" w:rsidRDefault="000A2A2B" w:rsidP="007C3060">
      <w:r w:rsidRPr="007C3060">
        <w:t>I kongelig resolusjon av 15. november 2024 ble det fattet vedtak om å overføre ansvaret for IKT-tjenesten ved Statsministerens kontor til Forsvarsdepartementet, ved Statens Graderte Plattform-tjenester (SGP). Fra og med 2025 er det overført fire ansatte fra SMK til SGP. For å dekke lønns-kostnadene til de overførte årsverkene foreslås det å redusere kap. 20, post 01 med 6 mill. kroner, mot tilsvarende økning av kap. 1740, post 01.</w:t>
      </w:r>
    </w:p>
    <w:p w14:paraId="325E7574" w14:textId="77777777" w:rsidR="000A2A2B" w:rsidRPr="007C3060" w:rsidRDefault="000A2A2B" w:rsidP="007C3060">
      <w:pPr>
        <w:pStyle w:val="b-budkaptit"/>
      </w:pPr>
      <w:r w:rsidRPr="007C3060">
        <w:t>Kap. 21 Statsrådet</w:t>
      </w:r>
    </w:p>
    <w:p w14:paraId="6CCCA407" w14:textId="77777777" w:rsidR="000A2A2B" w:rsidRPr="007C3060" w:rsidRDefault="000A2A2B" w:rsidP="007C3060">
      <w:pPr>
        <w:pStyle w:val="b-post"/>
      </w:pPr>
      <w:r w:rsidRPr="007C3060">
        <w:t>Post 01 Driftsutgifter</w:t>
      </w:r>
    </w:p>
    <w:p w14:paraId="01BD85ED" w14:textId="77777777" w:rsidR="000A2A2B" w:rsidRPr="007C3060" w:rsidRDefault="000A2A2B" w:rsidP="007C3060">
      <w:r w:rsidRPr="007C3060">
        <w:t>Stortinget vedtok 20. juni 2024 å øke godtgjørelsen til blant annet regjeringens medlemmer med virkning fra 1. mai 2024. Etter vanlig praksis justeres lønn til statssekretærer og statsrådenes politiske rådgivere tilsvarende. Merutgiftene i 2025 som følge av disse endringene er 8,2 mill. kroner og det foreslås å øke bevilgningen på kap. 21, post 01 med dette beløpet.</w:t>
      </w:r>
    </w:p>
    <w:p w14:paraId="5EC77F6E" w14:textId="77777777" w:rsidR="000A2A2B" w:rsidRPr="007C3060" w:rsidRDefault="000A2A2B" w:rsidP="007C3060">
      <w:pPr>
        <w:pStyle w:val="b-budkaptit"/>
      </w:pPr>
      <w:r w:rsidRPr="007C3060">
        <w:t>Kap. 41 Stortinget</w:t>
      </w:r>
    </w:p>
    <w:p w14:paraId="267090DB" w14:textId="77777777" w:rsidR="000A2A2B" w:rsidRPr="007C3060" w:rsidRDefault="000A2A2B" w:rsidP="007C3060">
      <w:pPr>
        <w:pStyle w:val="b-post"/>
      </w:pPr>
      <w:r w:rsidRPr="007C3060">
        <w:t>Post 45 Større utstyrsanskaffelser og vedlikehold, kan overføres</w:t>
      </w:r>
    </w:p>
    <w:p w14:paraId="4771EFA2" w14:textId="77777777" w:rsidR="000A2A2B" w:rsidRPr="007C3060" w:rsidRDefault="000A2A2B" w:rsidP="007C3060">
      <w:r w:rsidRPr="007C3060">
        <w:t xml:space="preserve">Stortinget ga 20. februar 2025 sitt samtykke til at det gjennomføres et forprosjekt for rehabilitering av Stortingets tilbygg mot Akersgata (vedtak 486, jf. </w:t>
      </w:r>
      <w:proofErr w:type="spellStart"/>
      <w:r w:rsidRPr="007C3060">
        <w:t>Innst</w:t>
      </w:r>
      <w:proofErr w:type="spellEnd"/>
      <w:r w:rsidRPr="007C3060">
        <w:t>. 131 S (2024–2025)). Stortinget ba samtidig om at Stortingets presidentskap sørger for at det fremmes forslag til bevilgning til forprosjektet i forbindelse med revidert nasjonalbudsjett for 2025.</w:t>
      </w:r>
    </w:p>
    <w:p w14:paraId="7902FE07" w14:textId="77777777" w:rsidR="000A2A2B" w:rsidRPr="007C3060" w:rsidRDefault="000A2A2B" w:rsidP="007C3060">
      <w:r w:rsidRPr="007C3060">
        <w:t>I nevnte innstilling er forprosjektet av Statsbygg estimert til å koste 52 mill. kroner. Stortingets interne prosjektkostnader kommer i tillegg, og er estimert til å koste 20 mill. kroner for forprosjektfasen. Totale kostnader ved forprosjektet er da estimert til 72 mill. kroner. Av dette vil 9,7 mill. kroner påløpe i 2025, mens resterende beløp påløper i 2026 og 2027.</w:t>
      </w:r>
    </w:p>
    <w:p w14:paraId="02D84D21" w14:textId="77777777" w:rsidR="000A2A2B" w:rsidRPr="007C3060" w:rsidRDefault="000A2A2B" w:rsidP="007C3060">
      <w:r w:rsidRPr="007C3060">
        <w:t>Det foreslås følgelig å øke bevilgningen under kap. 41, post 45 med 9,7 mill. kroner. Det fremmes også forslag til romertallsvedtak på rammen for forprosjektet, det vil si 72 mill. kroner.</w:t>
      </w:r>
    </w:p>
    <w:p w14:paraId="3F13A4C2" w14:textId="77777777" w:rsidR="000A2A2B" w:rsidRPr="007C3060" w:rsidRDefault="000A2A2B" w:rsidP="007C3060">
      <w:pPr>
        <w:pStyle w:val="b-post"/>
      </w:pPr>
      <w:r w:rsidRPr="007C3060">
        <w:t>Post 70 Tilskudd til partigruppene</w:t>
      </w:r>
    </w:p>
    <w:p w14:paraId="6FA4820A" w14:textId="77777777" w:rsidR="000A2A2B" w:rsidRPr="007C3060" w:rsidRDefault="000A2A2B" w:rsidP="007C3060">
      <w:r w:rsidRPr="007C3060">
        <w:t>I tråd med vedtak i Stortingets presidentskap foreslås posten økt med 3 mill. kroner til 258,3 mill. kroner.</w:t>
      </w:r>
    </w:p>
    <w:p w14:paraId="151DA921" w14:textId="77777777" w:rsidR="000A2A2B" w:rsidRPr="007C3060" w:rsidRDefault="000A2A2B" w:rsidP="007C3060">
      <w:pPr>
        <w:pStyle w:val="b-post"/>
      </w:pPr>
      <w:r w:rsidRPr="007C3060">
        <w:lastRenderedPageBreak/>
        <w:t>Post 73 Kontingenter, internasjonale delegasjoner</w:t>
      </w:r>
    </w:p>
    <w:p w14:paraId="2DEE1541" w14:textId="77777777" w:rsidR="000A2A2B" w:rsidRPr="007C3060" w:rsidRDefault="000A2A2B" w:rsidP="007C3060">
      <w:r w:rsidRPr="007C3060">
        <w:t>I tråd med vedtak i Stortingets presidentskap foreslås posten økt med 4,6 mill. kroner til 23,4 mill. kroner.</w:t>
      </w:r>
    </w:p>
    <w:p w14:paraId="21B23648" w14:textId="77777777" w:rsidR="000A2A2B" w:rsidRPr="007C3060" w:rsidRDefault="000A2A2B" w:rsidP="007C3060">
      <w:pPr>
        <w:pStyle w:val="b-budkaptit"/>
      </w:pPr>
      <w:r w:rsidRPr="007C3060">
        <w:t>Kap. 3041 Stortinget</w:t>
      </w:r>
    </w:p>
    <w:p w14:paraId="4CD92F90" w14:textId="77777777" w:rsidR="000A2A2B" w:rsidRPr="007C3060" w:rsidRDefault="000A2A2B" w:rsidP="007C3060">
      <w:pPr>
        <w:pStyle w:val="b-post"/>
      </w:pPr>
      <w:r w:rsidRPr="007C3060">
        <w:t>Post 01 Salgsinntekter</w:t>
      </w:r>
    </w:p>
    <w:p w14:paraId="4302851F" w14:textId="77777777" w:rsidR="000A2A2B" w:rsidRPr="007C3060" w:rsidRDefault="000A2A2B" w:rsidP="007C3060">
      <w:r w:rsidRPr="007C3060">
        <w:t>I tråd med vedtak i Stortingets presidentskap foreslås posten økt med 0,3 mill. kroner til 6,5 mill. kroner.</w:t>
      </w:r>
    </w:p>
    <w:p w14:paraId="52B9DFFC" w14:textId="77777777" w:rsidR="000A2A2B" w:rsidRPr="007C3060" w:rsidRDefault="000A2A2B" w:rsidP="007C3060">
      <w:pPr>
        <w:pStyle w:val="b-post"/>
      </w:pPr>
      <w:r w:rsidRPr="007C3060">
        <w:t>Post 03 Leieinntekter</w:t>
      </w:r>
    </w:p>
    <w:p w14:paraId="3FD2ABB3" w14:textId="77777777" w:rsidR="000A2A2B" w:rsidRPr="007C3060" w:rsidRDefault="000A2A2B" w:rsidP="007C3060">
      <w:r w:rsidRPr="007C3060">
        <w:t>I tråd med vedtak i Stortingets presidentskap foreslås posten økt med 1,4 mill. kroner til 3,8 mill. kroner.</w:t>
      </w:r>
    </w:p>
    <w:p w14:paraId="1011D41D" w14:textId="77777777" w:rsidR="000A2A2B" w:rsidRPr="007C3060" w:rsidRDefault="000A2A2B" w:rsidP="007C3060">
      <w:pPr>
        <w:pStyle w:val="b-budkaptit"/>
      </w:pPr>
      <w:r w:rsidRPr="007C3060">
        <w:t>Kap. 1600 Finansdepartementet</w:t>
      </w:r>
    </w:p>
    <w:p w14:paraId="17030719" w14:textId="77777777" w:rsidR="000A2A2B" w:rsidRPr="007C3060" w:rsidRDefault="000A2A2B" w:rsidP="007C3060">
      <w:pPr>
        <w:pStyle w:val="b-post"/>
      </w:pPr>
      <w:r w:rsidRPr="007C3060">
        <w:t>Post 21 Spesielle driftsutgifter, kan overføres</w:t>
      </w:r>
    </w:p>
    <w:p w14:paraId="6A340426" w14:textId="77777777" w:rsidR="000A2A2B" w:rsidRPr="007C3060" w:rsidRDefault="000A2A2B" w:rsidP="007C3060">
      <w:r w:rsidRPr="007C3060">
        <w:t>Det foreslås å redusere bevilgningen på posten med 9 mill. kroner for å dekke uforutsette merutgifter i SSB, jf. omtale under kap. 1620, post 01. Inndekningen muliggjøres blant annet av lavere kapasitet til gjennomføring av prosjekter og utredninger enn tidligere lagt til grunn.</w:t>
      </w:r>
    </w:p>
    <w:p w14:paraId="68901D3D" w14:textId="77777777" w:rsidR="000A2A2B" w:rsidRPr="007C3060" w:rsidRDefault="000A2A2B" w:rsidP="007C3060">
      <w:pPr>
        <w:pStyle w:val="b-budkaptit"/>
      </w:pPr>
      <w:r w:rsidRPr="007C3060">
        <w:t>Kap. 4600 Finansdepartementet</w:t>
      </w:r>
    </w:p>
    <w:p w14:paraId="7BBE9B87" w14:textId="77777777" w:rsidR="000A2A2B" w:rsidRPr="007C3060" w:rsidRDefault="000A2A2B" w:rsidP="007C3060">
      <w:pPr>
        <w:pStyle w:val="b-post"/>
      </w:pPr>
      <w:r w:rsidRPr="007C3060">
        <w:t>Post 95 (Ny) Fondskapital</w:t>
      </w:r>
    </w:p>
    <w:p w14:paraId="5A61793C" w14:textId="77777777" w:rsidR="000A2A2B" w:rsidRPr="007C3060" w:rsidRDefault="000A2A2B" w:rsidP="007C3060">
      <w:r w:rsidRPr="007C3060">
        <w:t xml:space="preserve">Statens obligasjonsfond ble opprettet i mars 2020 som et tiltak i møte med pandemien for å bidra til likviditet og kapitaltilgang i det norske obligasjonsmarkedet. Det ble ved opprettelsen av fondet lagt til grunn at det skulle være et midlertidig tiltak. Avvikling av fondet ble omtalt i Meld. St. 1 (2022–2023) </w:t>
      </w:r>
      <w:r w:rsidRPr="007C3060">
        <w:rPr>
          <w:rStyle w:val="kursiv"/>
        </w:rPr>
        <w:t>Nasjonalbudsjettet 2023</w:t>
      </w:r>
      <w:r w:rsidRPr="007C3060">
        <w:t>, herunder at Folketrygdfondet var bedt om å lage en plan for avvikling for godkjenning av departementet. Finansdepartementet godkjente i 2022 en plan om at fondet skulle avvikles i løpet av 2025. Markedsforholdene gjorde at avviklingen kunne skje raskere enn planlagt, og fondets investeringer i obligasjonsmarkedet ble avviklet mot slutten av 2024.</w:t>
      </w:r>
    </w:p>
    <w:p w14:paraId="6874E1EA" w14:textId="77777777" w:rsidR="000A2A2B" w:rsidRPr="007C3060" w:rsidRDefault="000A2A2B" w:rsidP="007C3060">
      <w:r w:rsidRPr="007C3060">
        <w:t>Regjeringen går inn for å avvikle Statens obligasjonsfond. Loven om Statens obligasjonsfond ble etablert som rammelov for beredskapsformål, og vil derfor ikke bli opphevet. Alle fondets midler er nå plassert i Norges Bank som et kontolån til staten. Ved utgangen av 2024 var 50 957 244 841 kroner plassert på denne kontoen. Det legges opp til at innestående på fondets konto overføres til statens foliokonto i etterkant av Stortingets behandling av denne proposisjonen.</w:t>
      </w:r>
    </w:p>
    <w:p w14:paraId="670BB628" w14:textId="77777777" w:rsidR="000A2A2B" w:rsidRPr="007C3060" w:rsidRDefault="000A2A2B" w:rsidP="007C3060">
      <w:r w:rsidRPr="007C3060">
        <w:t xml:space="preserve">På bakgrunn av ovennevnte foreslås det å opprette inntektsposten «Post 95 </w:t>
      </w:r>
      <w:r w:rsidRPr="007C3060">
        <w:rPr>
          <w:rStyle w:val="kursiv"/>
        </w:rPr>
        <w:t>Fondskapital</w:t>
      </w:r>
      <w:r w:rsidRPr="007C3060">
        <w:t>» og bevilge denne med 50 957,2 mill. kroner i 2025.</w:t>
      </w:r>
    </w:p>
    <w:p w14:paraId="475808CD" w14:textId="77777777" w:rsidR="000A2A2B" w:rsidRPr="007C3060" w:rsidRDefault="000A2A2B" w:rsidP="007C3060">
      <w:pPr>
        <w:pStyle w:val="b-budkaptit"/>
      </w:pPr>
      <w:r w:rsidRPr="007C3060">
        <w:lastRenderedPageBreak/>
        <w:t>Kap. 4602 Finanstilsynet</w:t>
      </w:r>
    </w:p>
    <w:p w14:paraId="17568C5F" w14:textId="77777777" w:rsidR="000A2A2B" w:rsidRPr="007C3060" w:rsidRDefault="000A2A2B" w:rsidP="007C3060">
      <w:pPr>
        <w:pStyle w:val="b-post"/>
      </w:pPr>
      <w:r w:rsidRPr="007C3060">
        <w:t>Post 03 Saksbehandlingsgebyr</w:t>
      </w:r>
    </w:p>
    <w:p w14:paraId="6E53E190" w14:textId="77777777" w:rsidR="000A2A2B" w:rsidRPr="007C3060" w:rsidRDefault="000A2A2B" w:rsidP="007C3060">
      <w:r w:rsidRPr="007C3060">
        <w:t>Det foreslås å øke posten med 2 mill. kroner. Økningen skylds økte gebyrinntekter som følge av overføring av oppgaver fra Oslo Børs.</w:t>
      </w:r>
    </w:p>
    <w:p w14:paraId="23015557" w14:textId="77777777" w:rsidR="000A2A2B" w:rsidRPr="007C3060" w:rsidRDefault="000A2A2B" w:rsidP="007C3060">
      <w:pPr>
        <w:pStyle w:val="b-budkaptit"/>
      </w:pPr>
      <w:r w:rsidRPr="007C3060">
        <w:t>Kap. 1610 Tolletaten</w:t>
      </w:r>
    </w:p>
    <w:p w14:paraId="0533A02F" w14:textId="77777777" w:rsidR="000A2A2B" w:rsidRPr="007C3060" w:rsidRDefault="000A2A2B" w:rsidP="007C3060">
      <w:pPr>
        <w:pStyle w:val="b-post"/>
      </w:pPr>
      <w:r w:rsidRPr="007C3060">
        <w:t>Post 01 Driftsutgifter</w:t>
      </w:r>
    </w:p>
    <w:p w14:paraId="2894D9AE" w14:textId="77777777" w:rsidR="000A2A2B" w:rsidRPr="007C3060" w:rsidRDefault="000A2A2B" w:rsidP="007C3060">
      <w:r w:rsidRPr="007C3060">
        <w:t>Det foreslås å redusere bevilgningen på posten med 0,443 mill. kroner jf. omtale under kap. 4610, post 04.</w:t>
      </w:r>
    </w:p>
    <w:p w14:paraId="716FC14C" w14:textId="77777777" w:rsidR="000A2A2B" w:rsidRPr="007C3060" w:rsidRDefault="000A2A2B" w:rsidP="007C3060">
      <w:pPr>
        <w:pStyle w:val="b-post"/>
      </w:pPr>
      <w:r w:rsidRPr="007C3060">
        <w:t>Post 45 Større utstyrsanskaffelser og vedlikehold, kan overføres</w:t>
      </w:r>
    </w:p>
    <w:p w14:paraId="67577FB0" w14:textId="77777777" w:rsidR="000A2A2B" w:rsidRPr="007C3060" w:rsidRDefault="000A2A2B" w:rsidP="007C3060">
      <w:r w:rsidRPr="007C3060">
        <w:t xml:space="preserve">Det er i 2025-budsjettet satt av 78 mill. kroner til arbeidet med Treff-satsingen i Tolletaten, jf. </w:t>
      </w:r>
      <w:proofErr w:type="spellStart"/>
      <w:r w:rsidRPr="007C3060">
        <w:t>Prop</w:t>
      </w:r>
      <w:proofErr w:type="spellEnd"/>
      <w:r w:rsidRPr="007C3060">
        <w:t xml:space="preserve">. 1 S (2024–2025) for Finansdepartementet. Det er senere blitt klart at prosjektperioden for satsingen må forlenges til 30. juni 2027. I lys av høringssvar, tilbakemeldinger og dialog med næringslivsaktørene og faktisk bruk av </w:t>
      </w:r>
      <w:proofErr w:type="spellStart"/>
      <w:r w:rsidRPr="007C3060">
        <w:t>Digitoll</w:t>
      </w:r>
      <w:proofErr w:type="spellEnd"/>
      <w:r w:rsidRPr="007C3060">
        <w:t xml:space="preserve"> er det besluttet at plikt til å oppfylle melde- og opplysningsplikten digitalt innføres fra 1. februar 2026. Deretter avvikles direktekjøring og det innføres plikt til å sende inn deklarasjon før eller ved grensepassering 1. september 2026. Det er gjort en oppdatert usikkerhetsanalyse som viser at verken styringsramme eller kostnadsramme må økes som følge av forlengelsen. Bevilgningsmessig vil det være behov for endringer i periodiseringen. Tolletaten vil i 2025 kunne klare seg med overførte midler og egenfinansiering. Det foreslås derfor å redusere bevilgningen på posten med 78 mill. kroner, mot en tilsvarende økning i 2026 og 2027.</w:t>
      </w:r>
    </w:p>
    <w:p w14:paraId="22CA5F2D" w14:textId="77777777" w:rsidR="000A2A2B" w:rsidRPr="007C3060" w:rsidRDefault="000A2A2B" w:rsidP="007C3060">
      <w:pPr>
        <w:pStyle w:val="b-budkaptit"/>
      </w:pPr>
      <w:r w:rsidRPr="007C3060">
        <w:t>Kap. 4610 Tolletaten</w:t>
      </w:r>
    </w:p>
    <w:p w14:paraId="48B20BD4" w14:textId="77777777" w:rsidR="000A2A2B" w:rsidRPr="007C3060" w:rsidRDefault="000A2A2B" w:rsidP="007C3060">
      <w:pPr>
        <w:pStyle w:val="b-post"/>
      </w:pPr>
      <w:r w:rsidRPr="007C3060">
        <w:t>Post 02 Andre inntekter</w:t>
      </w:r>
    </w:p>
    <w:p w14:paraId="717C8C9E" w14:textId="77777777" w:rsidR="000A2A2B" w:rsidRPr="007C3060" w:rsidRDefault="000A2A2B" w:rsidP="007C3060">
      <w:r w:rsidRPr="007C3060">
        <w:t>Det foreslås å øke bevilgningen på posten med 1 mill. kroner på grunn av økning i auksjons-inntekter.</w:t>
      </w:r>
    </w:p>
    <w:p w14:paraId="522B89F9" w14:textId="77777777" w:rsidR="000A2A2B" w:rsidRPr="007C3060" w:rsidRDefault="000A2A2B" w:rsidP="007C3060">
      <w:pPr>
        <w:pStyle w:val="b-post"/>
      </w:pPr>
      <w:r w:rsidRPr="007C3060">
        <w:t>Post 04 Diverse refusjoner</w:t>
      </w:r>
    </w:p>
    <w:p w14:paraId="6B5909F8" w14:textId="77777777" w:rsidR="000A2A2B" w:rsidRPr="007C3060" w:rsidRDefault="000A2A2B" w:rsidP="007C3060">
      <w:r w:rsidRPr="007C3060">
        <w:t>Det foreslås å redusere bevilgningen på posten med 0,4 mill. kroner. Reduksjon skyldes at Toll-etaten har redusert og til dels fjernet deltaker-avgiften på arrangementer og kurs. Det er merinntektsfullmakt på posten, og kap. 1610, post 01 reduseres derfor tilsvarende.</w:t>
      </w:r>
    </w:p>
    <w:p w14:paraId="51E05A3E" w14:textId="77777777" w:rsidR="000A2A2B" w:rsidRPr="007C3060" w:rsidRDefault="000A2A2B" w:rsidP="007C3060">
      <w:pPr>
        <w:pStyle w:val="b-post"/>
      </w:pPr>
      <w:r w:rsidRPr="007C3060">
        <w:t>Post 85 Tvangsmulkt og overtredelsesgebyr</w:t>
      </w:r>
    </w:p>
    <w:p w14:paraId="26F2CCC6" w14:textId="77777777" w:rsidR="000A2A2B" w:rsidRPr="007C3060" w:rsidRDefault="000A2A2B" w:rsidP="007C3060">
      <w:r w:rsidRPr="007C3060">
        <w:t>På grunnlag av regnskapsutviklingen foreslås en økning av bevilgningen på posten med 0,5 mill. kroner.</w:t>
      </w:r>
    </w:p>
    <w:p w14:paraId="4BA69003" w14:textId="77777777" w:rsidR="000A2A2B" w:rsidRPr="007C3060" w:rsidRDefault="000A2A2B" w:rsidP="007C3060">
      <w:pPr>
        <w:pStyle w:val="b-budkaptit"/>
      </w:pPr>
      <w:r w:rsidRPr="007C3060">
        <w:lastRenderedPageBreak/>
        <w:t>Kap. 1618 Skatteetaten</w:t>
      </w:r>
    </w:p>
    <w:p w14:paraId="4FEF92E3" w14:textId="77777777" w:rsidR="000A2A2B" w:rsidRPr="007C3060" w:rsidRDefault="000A2A2B" w:rsidP="007C3060">
      <w:pPr>
        <w:pStyle w:val="b-post"/>
      </w:pPr>
      <w:r w:rsidRPr="007C3060">
        <w:t>Post 01 Driftsutgifter</w:t>
      </w:r>
    </w:p>
    <w:p w14:paraId="34E2F977" w14:textId="77777777" w:rsidR="000A2A2B" w:rsidRPr="007C3060" w:rsidRDefault="000A2A2B" w:rsidP="007C3060">
      <w:r w:rsidRPr="007C3060">
        <w:t xml:space="preserve">Bevilgningen foreslås økt med 7 mill. kroner som følge av økte refusjoner av </w:t>
      </w:r>
      <w:proofErr w:type="spellStart"/>
      <w:r w:rsidRPr="007C3060">
        <w:t>print</w:t>
      </w:r>
      <w:proofErr w:type="spellEnd"/>
      <w:r w:rsidRPr="007C3060">
        <w:t>- og datatjenester i 2025, jf. omtale under kap. 4618, post 03.</w:t>
      </w:r>
    </w:p>
    <w:p w14:paraId="02890C65" w14:textId="77777777" w:rsidR="000A2A2B" w:rsidRPr="007C3060" w:rsidRDefault="000A2A2B" w:rsidP="007C3060">
      <w:r w:rsidRPr="007C3060">
        <w:t>Bevilgningen foreslås redusert med 3 mill. kroner som inndekning for økt bevilgning til Skatte-klagenemnda, jf. omtale under kap. 1619, post 01.</w:t>
      </w:r>
    </w:p>
    <w:p w14:paraId="5EAD4114" w14:textId="77777777" w:rsidR="000A2A2B" w:rsidRPr="007C3060" w:rsidRDefault="000A2A2B" w:rsidP="007C3060">
      <w:r w:rsidRPr="007C3060">
        <w:t>Samlet foreslås det å øke bevilgningen på kap. 1618, post 01, med 4 mill. kroner.</w:t>
      </w:r>
    </w:p>
    <w:p w14:paraId="37A6738F" w14:textId="77777777" w:rsidR="000A2A2B" w:rsidRPr="007C3060" w:rsidRDefault="000A2A2B" w:rsidP="007C3060">
      <w:pPr>
        <w:pStyle w:val="b-post"/>
      </w:pPr>
      <w:r w:rsidRPr="007C3060">
        <w:t>Post 22 Større IT-prosjekter, kan overføres</w:t>
      </w:r>
    </w:p>
    <w:p w14:paraId="07AC16E2" w14:textId="77777777" w:rsidR="000A2A2B" w:rsidRPr="007C3060" w:rsidRDefault="000A2A2B" w:rsidP="007C3060">
      <w:r w:rsidRPr="007C3060">
        <w:t xml:space="preserve">Det er i 2025 bevilget 250 mill. kroner i </w:t>
      </w:r>
      <w:proofErr w:type="spellStart"/>
      <w:r w:rsidRPr="007C3060">
        <w:t>oppstartsbevilgning</w:t>
      </w:r>
      <w:proofErr w:type="spellEnd"/>
      <w:r w:rsidRPr="007C3060">
        <w:t xml:space="preserve"> til steg 2 av programmet Fremtidens innkreving. Gjeldende prognose og gjennom-føringsplan for 2025 viser at behovet for midler i 2025 er høyere enn gjeldende bevilgning for i år. For å sikre hensiktsmessig fremdrift i programmet foreslås det å øke bevilgningen på posten med 40 mill. kroner. Ettersom programmet er satt opp med en Design-to-</w:t>
      </w:r>
      <w:proofErr w:type="spellStart"/>
      <w:r w:rsidRPr="007C3060">
        <w:t>cost</w:t>
      </w:r>
      <w:proofErr w:type="spellEnd"/>
      <w:r w:rsidRPr="007C3060">
        <w:t xml:space="preserve"> (DTC)-ramme påvirker endringen ikke kostnadsrammen og innebærer ikke økte kostnader, verken for steg 2 eller for programmet samlet sett.</w:t>
      </w:r>
    </w:p>
    <w:p w14:paraId="6FF69F16" w14:textId="77777777" w:rsidR="000A2A2B" w:rsidRPr="007C3060" w:rsidRDefault="000A2A2B" w:rsidP="007C3060">
      <w:pPr>
        <w:pStyle w:val="b-budkaptit"/>
      </w:pPr>
      <w:r w:rsidRPr="007C3060">
        <w:t>Kap. 1619 Skatteklagenemnda</w:t>
      </w:r>
    </w:p>
    <w:p w14:paraId="6341F7AA" w14:textId="77777777" w:rsidR="000A2A2B" w:rsidRPr="00530C99" w:rsidRDefault="000A2A2B" w:rsidP="007C3060">
      <w:pPr>
        <w:pStyle w:val="b-post"/>
      </w:pPr>
      <w:r w:rsidRPr="00530C99">
        <w:t>Post 01 Driftsutgifter</w:t>
      </w:r>
    </w:p>
    <w:p w14:paraId="74C72B84" w14:textId="77777777" w:rsidR="000A2A2B" w:rsidRPr="007C3060" w:rsidRDefault="000A2A2B" w:rsidP="007C3060">
      <w:r w:rsidRPr="007C3060">
        <w:t xml:space="preserve">Som opplyst også i forbindelse med nysalderingen for 2024, jf. </w:t>
      </w:r>
      <w:proofErr w:type="spellStart"/>
      <w:r w:rsidRPr="007C3060">
        <w:t>Prop</w:t>
      </w:r>
      <w:proofErr w:type="spellEnd"/>
      <w:r w:rsidRPr="007C3060">
        <w:t>. 36 S (2024–2025), har det vist seg at Skatteklagenemnda har store utfordringer med å få ned restansenivået innenfor dagens bevilgning. Aktivitetsnivået i nemnda er høyere enn tidligere forutsatt, og for å opprettholde dagens bemannings- og aktivitetsnivå er det behov for en tilleggstildeling også i 2025. Det foreslås å øke bevilgningen på posten med 3 mill. kroner gjennom omdisponering fra Skatteetatens kap. 1618, post 01.</w:t>
      </w:r>
    </w:p>
    <w:p w14:paraId="17DD6356" w14:textId="77777777" w:rsidR="000A2A2B" w:rsidRPr="007C3060" w:rsidRDefault="000A2A2B" w:rsidP="007C3060">
      <w:pPr>
        <w:pStyle w:val="b-budkaptit"/>
      </w:pPr>
      <w:r w:rsidRPr="007C3060">
        <w:t>Kap. 4618 Skatteetaten</w:t>
      </w:r>
    </w:p>
    <w:p w14:paraId="2338A1CD" w14:textId="77777777" w:rsidR="000A2A2B" w:rsidRPr="007C3060" w:rsidRDefault="000A2A2B" w:rsidP="007C3060">
      <w:pPr>
        <w:pStyle w:val="b-post"/>
      </w:pPr>
      <w:r w:rsidRPr="007C3060">
        <w:t>Post 03 Andre inntekter</w:t>
      </w:r>
    </w:p>
    <w:p w14:paraId="4EA3FADB" w14:textId="77777777" w:rsidR="000A2A2B" w:rsidRPr="007C3060" w:rsidRDefault="000A2A2B" w:rsidP="007C3060">
      <w:r w:rsidRPr="007C3060">
        <w:t xml:space="preserve">Det foreslås å øke bevilgningen på posten med 7 mill. kroner. Posten omfatter blant annet refusjoner for </w:t>
      </w:r>
      <w:proofErr w:type="spellStart"/>
      <w:r w:rsidRPr="007C3060">
        <w:t>print</w:t>
      </w:r>
      <w:proofErr w:type="spellEnd"/>
      <w:r w:rsidRPr="007C3060">
        <w:t>- og datatjenester som blir utført for andre statlige virksomheter. Den nye ordningen hvor refusjoner faktureres direkte fra ekstern leverandør er forsinket. Den gamle ordningen hvor Skatteetaten må inntektsføre refusjoner må derfor videreføres noe inn i 2025. Det er merinntektsfullmakt på posten og økningen innebærer at også kap. 1618, post 01 økes tilsvarende.</w:t>
      </w:r>
    </w:p>
    <w:p w14:paraId="03DB850B" w14:textId="77777777" w:rsidR="000A2A2B" w:rsidRPr="007C3060" w:rsidRDefault="000A2A2B" w:rsidP="007C3060">
      <w:pPr>
        <w:pStyle w:val="b-post"/>
      </w:pPr>
      <w:r w:rsidRPr="007C3060">
        <w:t>Post 05 Gebyr for utleggsforretninger</w:t>
      </w:r>
    </w:p>
    <w:p w14:paraId="178BB68A" w14:textId="77777777" w:rsidR="000A2A2B" w:rsidRPr="007C3060" w:rsidRDefault="000A2A2B" w:rsidP="007C3060">
      <w:r w:rsidRPr="007C3060">
        <w:t>På grunnlag av regnskapsutviklingen foreslås det å øke bevilgningen på posten med 20 mill. kroner.</w:t>
      </w:r>
    </w:p>
    <w:p w14:paraId="65E680CE" w14:textId="77777777" w:rsidR="000A2A2B" w:rsidRPr="007C3060" w:rsidRDefault="000A2A2B" w:rsidP="007C3060">
      <w:pPr>
        <w:pStyle w:val="b-post"/>
      </w:pPr>
      <w:r w:rsidRPr="007C3060">
        <w:lastRenderedPageBreak/>
        <w:t>Post 85 Inngått på tapsførte lån mv.</w:t>
      </w:r>
    </w:p>
    <w:p w14:paraId="56E85346" w14:textId="77777777" w:rsidR="000A2A2B" w:rsidRPr="007C3060" w:rsidRDefault="000A2A2B" w:rsidP="007C3060">
      <w:r w:rsidRPr="007C3060">
        <w:t>På grunnlag av regnskapsutviklingen foreslås bevilgningen på posten redusert med 60 mill. kroner. Inntektene på denne posten kommer i stor grad av tvangsinnfordring, og er avhengig av at etaten finner utleggsobjekt.</w:t>
      </w:r>
    </w:p>
    <w:p w14:paraId="29CF889C" w14:textId="77777777" w:rsidR="000A2A2B" w:rsidRPr="007C3060" w:rsidRDefault="000A2A2B" w:rsidP="007C3060">
      <w:pPr>
        <w:pStyle w:val="b-post"/>
      </w:pPr>
      <w:r w:rsidRPr="007C3060">
        <w:t>Post 86 Bøter, inndragninger mv.</w:t>
      </w:r>
    </w:p>
    <w:p w14:paraId="19B89CE5" w14:textId="77777777" w:rsidR="000A2A2B" w:rsidRPr="007C3060" w:rsidRDefault="000A2A2B" w:rsidP="007C3060">
      <w:r w:rsidRPr="007C3060">
        <w:t>På grunnlag av regnskapsutviklingen og nedgang i antall krav i 2024 foreslås bevilgningen på posten redusert med 100 mill. kroner.</w:t>
      </w:r>
    </w:p>
    <w:p w14:paraId="5A67B6F6" w14:textId="77777777" w:rsidR="000A2A2B" w:rsidRPr="007C3060" w:rsidRDefault="000A2A2B" w:rsidP="007C3060">
      <w:pPr>
        <w:pStyle w:val="b-post"/>
      </w:pPr>
      <w:r w:rsidRPr="007C3060">
        <w:t>Post 89 Overtredelsesgebyr og tvangsmulkt</w:t>
      </w:r>
    </w:p>
    <w:p w14:paraId="57E2D6EE" w14:textId="77777777" w:rsidR="000A2A2B" w:rsidRPr="007C3060" w:rsidRDefault="000A2A2B" w:rsidP="007C3060">
      <w:r w:rsidRPr="007C3060">
        <w:t>På grunnlag av regnskapsutviklingen foreslås det å øke bevilgningen på posten med 25 mill. kroner. Økningen skyldes også at det i 2025-budsjettet ikke ble tatt høyde for at tvangsmulkt etter OTP-loven fra 2025 skal føres på denne posten.</w:t>
      </w:r>
    </w:p>
    <w:p w14:paraId="345C40F4" w14:textId="77777777" w:rsidR="000A2A2B" w:rsidRPr="007C3060" w:rsidRDefault="000A2A2B" w:rsidP="007C3060">
      <w:pPr>
        <w:pStyle w:val="b-budkaptit"/>
      </w:pPr>
      <w:r w:rsidRPr="007C3060">
        <w:t>Kap. 1620 Statistisk sentralbyrå</w:t>
      </w:r>
    </w:p>
    <w:p w14:paraId="523497F9" w14:textId="77777777" w:rsidR="000A2A2B" w:rsidRPr="007C3060" w:rsidRDefault="000A2A2B" w:rsidP="007C3060">
      <w:pPr>
        <w:pStyle w:val="b-post"/>
      </w:pPr>
      <w:r w:rsidRPr="007C3060">
        <w:t>Post 01 Driftsutgifter</w:t>
      </w:r>
    </w:p>
    <w:p w14:paraId="46B7024D" w14:textId="77777777" w:rsidR="000A2A2B" w:rsidRPr="007C3060" w:rsidRDefault="000A2A2B" w:rsidP="007C3060">
      <w:pPr>
        <w:pStyle w:val="avsnitt-undertittel"/>
      </w:pPr>
      <w:r w:rsidRPr="007C3060">
        <w:t>Skatteberegningsmodellen LOTTE</w:t>
      </w:r>
    </w:p>
    <w:p w14:paraId="75E00B74" w14:textId="77777777" w:rsidR="000A2A2B" w:rsidRPr="007C3060" w:rsidRDefault="000A2A2B" w:rsidP="007C3060">
      <w:r w:rsidRPr="007C3060">
        <w:t>Det foreslås å øke bevilgningen med 1,6 mill. kroner for å ivareta SSBs behov for å opprettholde ressurs-innsatsen til å utføre beregninger i skatteberegningsmodellen LOTTE.</w:t>
      </w:r>
    </w:p>
    <w:p w14:paraId="2F2445EC" w14:textId="77777777" w:rsidR="000A2A2B" w:rsidRPr="007C3060" w:rsidRDefault="000A2A2B" w:rsidP="007C3060">
      <w:pPr>
        <w:pStyle w:val="avsnitt-undertittel"/>
      </w:pPr>
      <w:r w:rsidRPr="007C3060">
        <w:t>SSBs flytting på Kongsvinger</w:t>
      </w:r>
    </w:p>
    <w:p w14:paraId="1D9B2E0D" w14:textId="77777777" w:rsidR="000A2A2B" w:rsidRPr="007C3060" w:rsidRDefault="000A2A2B" w:rsidP="007C3060">
      <w:r w:rsidRPr="007C3060">
        <w:t>Det foreslås å øke bevilgningen med 5 mill. kroner for å dekke merkostnader i forbindelse med SSBs flytting på Kongsvinger.</w:t>
      </w:r>
    </w:p>
    <w:p w14:paraId="65426EDB" w14:textId="77777777" w:rsidR="000A2A2B" w:rsidRPr="007C3060" w:rsidRDefault="000A2A2B" w:rsidP="007C3060">
      <w:pPr>
        <w:pStyle w:val="avsnitt-undertittel"/>
      </w:pPr>
      <w:r w:rsidRPr="007C3060">
        <w:t>Veiledningsmiljø for forsøk i offentlig forvaltning</w:t>
      </w:r>
    </w:p>
    <w:p w14:paraId="40A3A1FF" w14:textId="77777777" w:rsidR="000A2A2B" w:rsidRPr="007C3060" w:rsidRDefault="000A2A2B" w:rsidP="007C3060">
      <w:r w:rsidRPr="007C3060">
        <w:t>Det foreslås å øke bevilgningen med 3,4 mill. kroner for å opprette en veiledningstjeneste i SSB, for forsøk i offentlig forvaltning. Tiltaket skal lette planleggingen av forsøk gjennom i en tidlig fase å gi forvaltningsorganet veiledning om de særlige praktiske, metodiske, juridiske og etiske spørsmål forsøk kan reise.</w:t>
      </w:r>
    </w:p>
    <w:p w14:paraId="608A96B1" w14:textId="77777777" w:rsidR="000A2A2B" w:rsidRPr="007C3060" w:rsidRDefault="000A2A2B" w:rsidP="007C3060">
      <w:pPr>
        <w:pStyle w:val="avsnitt-undertittel"/>
      </w:pPr>
      <w:r w:rsidRPr="007C3060">
        <w:t>Oppsummering</w:t>
      </w:r>
    </w:p>
    <w:p w14:paraId="3FC3E316" w14:textId="77777777" w:rsidR="000A2A2B" w:rsidRPr="007C3060" w:rsidRDefault="000A2A2B" w:rsidP="007C3060">
      <w:r w:rsidRPr="007C3060">
        <w:t>Samlet foreslås det å øke bevilgningen på kap. 1620, post 01 med 10 mill. kroner. Økningen dekkes gjennom en omdisponering på 9 mill. kroner fra kap. 1600, post 21 og 1 mill. kroner fra kap. 201, post 21.</w:t>
      </w:r>
    </w:p>
    <w:p w14:paraId="58EB9437" w14:textId="77777777" w:rsidR="000A2A2B" w:rsidRPr="007C3060" w:rsidRDefault="000A2A2B" w:rsidP="007C3060">
      <w:pPr>
        <w:pStyle w:val="b-budkaptit"/>
      </w:pPr>
      <w:r w:rsidRPr="007C3060">
        <w:lastRenderedPageBreak/>
        <w:t>Kap. 1650 Statsgjeld, renter mv.</w:t>
      </w:r>
    </w:p>
    <w:p w14:paraId="60A1D7EC" w14:textId="77777777" w:rsidR="000A2A2B" w:rsidRPr="007C3060" w:rsidRDefault="000A2A2B" w:rsidP="007C3060">
      <w:pPr>
        <w:pStyle w:val="b-post"/>
      </w:pPr>
      <w:r w:rsidRPr="007C3060">
        <w:t>Post 89 Renter og provisjon mv. på innenlandsk statsgjeld, overslagsbevilgning</w:t>
      </w:r>
    </w:p>
    <w:p w14:paraId="3BE55FB0" w14:textId="77777777" w:rsidR="000A2A2B" w:rsidRPr="007C3060" w:rsidRDefault="000A2A2B" w:rsidP="007C3060">
      <w:r w:rsidRPr="007C3060">
        <w:t>Bevilgningsbehovet på posten er usikkert og varierer med størrelsen på og sammensetningen av statsgjelden samt endringer i rentenivået. Bevilgningen på posten foreslås økt med 574 mill. kroner til 17 000,2 mill. kroner. Hovedårsaken til endringen er økte renter.</w:t>
      </w:r>
    </w:p>
    <w:p w14:paraId="6994AC71" w14:textId="77777777" w:rsidR="000A2A2B" w:rsidRPr="007C3060" w:rsidRDefault="000A2A2B" w:rsidP="007C3060">
      <w:pPr>
        <w:pStyle w:val="b-budkaptit"/>
      </w:pPr>
      <w:r w:rsidRPr="007C3060">
        <w:t>Kap. 1651 Statsgjeld, avdrag og innløsning</w:t>
      </w:r>
    </w:p>
    <w:p w14:paraId="07A84C29" w14:textId="77777777" w:rsidR="000A2A2B" w:rsidRPr="007C3060" w:rsidRDefault="000A2A2B" w:rsidP="007C3060">
      <w:pPr>
        <w:pStyle w:val="b-post"/>
        <w:rPr>
          <w:rStyle w:val="kursiv"/>
        </w:rPr>
      </w:pPr>
      <w:r w:rsidRPr="007C3060">
        <w:rPr>
          <w:rStyle w:val="kursiv"/>
        </w:rPr>
        <w:t>Post 98 Avdrag på innenlandsk statsgjeld, overslagsbevilgning</w:t>
      </w:r>
    </w:p>
    <w:p w14:paraId="5E7E83F4" w14:textId="77777777" w:rsidR="000A2A2B" w:rsidRPr="007C3060" w:rsidRDefault="000A2A2B" w:rsidP="007C3060">
      <w:r w:rsidRPr="007C3060">
        <w:t>Bevilgningen foreslås redusert med 1 970 mill. kroner, til 61 847 mill. kroner. Reduksjonen skyldes Norges Banks tilbakekjøp av obligasjoner høsten 2024 som forfaller i 2025.</w:t>
      </w:r>
    </w:p>
    <w:p w14:paraId="36991749" w14:textId="77777777" w:rsidR="000A2A2B" w:rsidRPr="007C3060" w:rsidRDefault="000A2A2B" w:rsidP="007C3060">
      <w:pPr>
        <w:pStyle w:val="b-budkaptit"/>
      </w:pPr>
      <w:r w:rsidRPr="007C3060">
        <w:t>Kap. 2309 Tilfeldige utgifter</w:t>
      </w:r>
    </w:p>
    <w:p w14:paraId="2A1F17B9" w14:textId="77777777" w:rsidR="000A2A2B" w:rsidRPr="00530C99" w:rsidRDefault="000A2A2B" w:rsidP="007C3060">
      <w:pPr>
        <w:pStyle w:val="b-post"/>
      </w:pPr>
      <w:r w:rsidRPr="00530C99">
        <w:t>Post 01 Driftsutgifter</w:t>
      </w:r>
    </w:p>
    <w:p w14:paraId="05DDE3A3" w14:textId="77777777" w:rsidR="000A2A2B" w:rsidRPr="007C3060" w:rsidRDefault="000A2A2B" w:rsidP="007C3060">
      <w:r w:rsidRPr="007C3060">
        <w:t>Bevilgningen er motpost til tilleggsbevilgninger til blant annet forhandlinger hvor staten er part, herunder lønnsoppgjøret for statsansatte, takstoppgjøret for privatpraktiserende leger, fysioterapeuter og psykologer samt til uforutsette utgifter.</w:t>
      </w:r>
    </w:p>
    <w:p w14:paraId="2C728602" w14:textId="77777777" w:rsidR="000A2A2B" w:rsidRPr="007C3060" w:rsidRDefault="000A2A2B" w:rsidP="007C3060">
      <w:r w:rsidRPr="007C3060">
        <w:t>Bevilgningsbehovet til inntektsoppgjør mv. er usikkert og avhenger av utfallet av lønnsforhandlingene. I lys av at lønnsvekstanslaget for 2025 nå er lavere enn lagt til grunn i Saldert budsjett 2025, foreslås bevilgningen redusert med 200 mill. kroner.</w:t>
      </w:r>
    </w:p>
    <w:p w14:paraId="408BD17E" w14:textId="77777777" w:rsidR="000A2A2B" w:rsidRPr="007C3060" w:rsidRDefault="000A2A2B" w:rsidP="007C3060">
      <w:pPr>
        <w:pStyle w:val="b-budkaptit"/>
      </w:pPr>
      <w:r w:rsidRPr="007C3060">
        <w:t>Kap. 2800 Statens pensjonsfond utland</w:t>
      </w:r>
    </w:p>
    <w:p w14:paraId="4EF0B5A6" w14:textId="77777777" w:rsidR="000A2A2B" w:rsidRPr="007C3060" w:rsidRDefault="000A2A2B" w:rsidP="007C3060">
      <w:pPr>
        <w:pStyle w:val="b-post"/>
      </w:pPr>
      <w:r w:rsidRPr="007C3060">
        <w:t>Post 96 Finansposter overført til fondet</w:t>
      </w:r>
    </w:p>
    <w:p w14:paraId="03758A35" w14:textId="77777777" w:rsidR="000A2A2B" w:rsidRPr="007C3060" w:rsidRDefault="000A2A2B" w:rsidP="007C3060">
      <w:r w:rsidRPr="007C3060">
        <w:t xml:space="preserve">Over tid har det faktiske oljekorrigerte underskuddet, slik det </w:t>
      </w:r>
      <w:proofErr w:type="gramStart"/>
      <w:r w:rsidRPr="007C3060">
        <w:t>fremkommer</w:t>
      </w:r>
      <w:proofErr w:type="gramEnd"/>
      <w:r w:rsidRPr="007C3060">
        <w:t xml:space="preserve"> i statsregnskapet, i gjennomsnitt blitt mindre enn det som har vært anslått i budsjettene, jf. omtale i Gul bok 2025. Det har ført til at det er blitt overført mer midler fra Statens pensjonsfond utland enn det som er nødvendig for å dekke det oljekorrigerte underskuddet. Siden det ikke har vært noen mekanisme som korrigerer for slike avvik, har disse midlene blitt stående på konto i Norges Bank. Det har ført til en økning i statens kontantbeholdning og en tilsvarende reduksjon i likviditeten i banksystemet. Fra 1996 til 2023 akkumulerte dette seg til 82,1 mrd. kroner, hensyntatt at det ble tilbakeført 70 mrd. kroner til Statens pensjonsfond utland i 2022. Resterende midler ble foreslått tilbakeført i statsbudsjettet for 2025, og bevilgningen på posten er derfor 82,1 mrd. kroner.</w:t>
      </w:r>
    </w:p>
    <w:p w14:paraId="4F43D21E" w14:textId="77777777" w:rsidR="000A2A2B" w:rsidRPr="007C3060" w:rsidRDefault="000A2A2B" w:rsidP="007C3060">
      <w:r w:rsidRPr="007C3060">
        <w:t xml:space="preserve">Statsregnskapet for 2024 viser et oljekorrigert underskudd på 331,7 mrd. kroner, jf. Meld. St. 3 (2024–2025) </w:t>
      </w:r>
      <w:proofErr w:type="spellStart"/>
      <w:r w:rsidRPr="007C3060">
        <w:rPr>
          <w:rStyle w:val="kursiv"/>
        </w:rPr>
        <w:t>Statsrekneskapen</w:t>
      </w:r>
      <w:proofErr w:type="spellEnd"/>
      <w:r w:rsidRPr="007C3060">
        <w:rPr>
          <w:rStyle w:val="kursiv"/>
        </w:rPr>
        <w:t xml:space="preserve"> 2024</w:t>
      </w:r>
      <w:r w:rsidRPr="007C3060">
        <w:t xml:space="preserve">. Det er 14,7 mrd. kroner mindre enn i </w:t>
      </w:r>
      <w:proofErr w:type="spellStart"/>
      <w:r w:rsidRPr="007C3060">
        <w:t>nysaldert</w:t>
      </w:r>
      <w:proofErr w:type="spellEnd"/>
      <w:r w:rsidRPr="007C3060">
        <w:t xml:space="preserve"> budsjett. I tråd med omtalen i Gul bok 2025 innføres en ny, årlig korreksjonsmekanisme i forbindelse med revidert nasjonalbudsjett. Det foreslås derfor at bevilgningen på posten økes med 14,7 mrd. kroner, til 96,8 mrd. kroner.</w:t>
      </w:r>
    </w:p>
    <w:p w14:paraId="77E0B1F2" w14:textId="77777777" w:rsidR="000A2A2B" w:rsidRPr="007C3060" w:rsidRDefault="000A2A2B" w:rsidP="007C3060">
      <w:pPr>
        <w:pStyle w:val="b-budkaptit"/>
      </w:pPr>
      <w:r w:rsidRPr="007C3060">
        <w:lastRenderedPageBreak/>
        <w:t>Kap. 5351 Overføring fra Norges Bank</w:t>
      </w:r>
    </w:p>
    <w:p w14:paraId="02178415" w14:textId="77777777" w:rsidR="000A2A2B" w:rsidRPr="007C3060" w:rsidRDefault="000A2A2B" w:rsidP="007C3060">
      <w:pPr>
        <w:pStyle w:val="b-post"/>
      </w:pPr>
      <w:r w:rsidRPr="007C3060">
        <w:t>Post 85 Overføring</w:t>
      </w:r>
    </w:p>
    <w:p w14:paraId="5B32D426" w14:textId="77777777" w:rsidR="000A2A2B" w:rsidRPr="007C3060" w:rsidRDefault="000A2A2B" w:rsidP="007C3060">
      <w:r w:rsidRPr="007C3060">
        <w:t>I saldert budsjett for 2025 er det ført opp 18 974 mill. kroner på kap. 5351, post 85. Bankens representantskap fastsatte 20. februar 2025 endelig beløp til 30 102,8 mill. kroner. Det foreslås derfor at bevilgningen på posten økes med 11 128,8 mill. kroner.</w:t>
      </w:r>
    </w:p>
    <w:p w14:paraId="48018A53" w14:textId="77777777" w:rsidR="000A2A2B" w:rsidRPr="007C3060" w:rsidRDefault="000A2A2B" w:rsidP="007C3060">
      <w:pPr>
        <w:pStyle w:val="b-budkaptit"/>
      </w:pPr>
      <w:r w:rsidRPr="007C3060">
        <w:t>Kap. 5501 Skatter på formue og inntekt</w:t>
      </w:r>
    </w:p>
    <w:p w14:paraId="7E247ECB" w14:textId="77777777" w:rsidR="000A2A2B" w:rsidRPr="007C3060" w:rsidRDefault="000A2A2B" w:rsidP="007C3060">
      <w:pPr>
        <w:pStyle w:val="b-post"/>
      </w:pPr>
      <w:r w:rsidRPr="007C3060">
        <w:t>Post 70 Trinnskatt og formuesskatt mv.</w:t>
      </w:r>
    </w:p>
    <w:p w14:paraId="5921407C" w14:textId="77777777" w:rsidR="000A2A2B" w:rsidRPr="007C3060" w:rsidRDefault="000A2A2B" w:rsidP="007C3060">
      <w:r w:rsidRPr="007C3060">
        <w:t xml:space="preserve">Det vises til kapittel 4 i </w:t>
      </w:r>
      <w:proofErr w:type="spellStart"/>
      <w:r w:rsidRPr="007C3060">
        <w:t>Prop</w:t>
      </w:r>
      <w:proofErr w:type="spellEnd"/>
      <w:r w:rsidRPr="007C3060">
        <w:t xml:space="preserve">. 145 LS (2024–2025) </w:t>
      </w:r>
      <w:proofErr w:type="spellStart"/>
      <w:r w:rsidRPr="007C3060">
        <w:rPr>
          <w:rStyle w:val="kursiv"/>
        </w:rPr>
        <w:t>Endringar</w:t>
      </w:r>
      <w:proofErr w:type="spellEnd"/>
      <w:r w:rsidRPr="007C3060">
        <w:rPr>
          <w:rStyle w:val="kursiv"/>
        </w:rPr>
        <w:t xml:space="preserve"> i skatte- og avgiftslovgivinga</w:t>
      </w:r>
      <w:r w:rsidRPr="007C3060">
        <w:t xml:space="preserve"> der regjeringen foreslår å innføre en kontoordning for jordbruket fra 1. januar 2025. Ordningen gir mulighet til å utsette skatt. Årets overskudd fra jordbruket kan overføres på kontoen, og det må betales skatt av minst 85 pst. av kontoens saldo hvert år. -Provenytapet anslås til 570 mill. kroner påløpt og bokført i 2025. Provenytapet fordeles mellom stat og kommuner.</w:t>
      </w:r>
    </w:p>
    <w:p w14:paraId="6BB3AFEF" w14:textId="77777777" w:rsidR="000A2A2B" w:rsidRPr="007C3060" w:rsidRDefault="000A2A2B" w:rsidP="007C3060">
      <w:r w:rsidRPr="007C3060">
        <w:t>Bevilgningen foreslås på denne bakgrunn redusert med 50 mill. kroner</w:t>
      </w:r>
    </w:p>
    <w:p w14:paraId="67714A53" w14:textId="77777777" w:rsidR="000A2A2B" w:rsidRPr="007C3060" w:rsidRDefault="000A2A2B" w:rsidP="007C3060">
      <w:pPr>
        <w:pStyle w:val="b-post"/>
      </w:pPr>
      <w:r w:rsidRPr="007C3060">
        <w:t>Post 72 Fellesskatt mv. fra personlige skattytere</w:t>
      </w:r>
    </w:p>
    <w:p w14:paraId="003D3E94" w14:textId="77777777" w:rsidR="000A2A2B" w:rsidRPr="007C3060" w:rsidRDefault="000A2A2B" w:rsidP="007C3060">
      <w:r w:rsidRPr="007C3060">
        <w:t>Det vises til omtale under post 70.</w:t>
      </w:r>
    </w:p>
    <w:p w14:paraId="489660DF" w14:textId="77777777" w:rsidR="000A2A2B" w:rsidRPr="007C3060" w:rsidRDefault="000A2A2B" w:rsidP="007C3060">
      <w:r w:rsidRPr="007C3060">
        <w:t>Bevilgningen foreslås på denne bakgrunn redusert med 100 mill. kroner</w:t>
      </w:r>
    </w:p>
    <w:p w14:paraId="4C0F3230" w14:textId="77777777" w:rsidR="000A2A2B" w:rsidRPr="007C3060" w:rsidRDefault="000A2A2B" w:rsidP="007C3060">
      <w:pPr>
        <w:pStyle w:val="b-budkaptit"/>
      </w:pPr>
      <w:r w:rsidRPr="007C3060">
        <w:t>Kap. 5521 Merverdiavgift</w:t>
      </w:r>
    </w:p>
    <w:p w14:paraId="7E05483B" w14:textId="77777777" w:rsidR="000A2A2B" w:rsidRPr="007C3060" w:rsidRDefault="000A2A2B" w:rsidP="007C3060">
      <w:pPr>
        <w:pStyle w:val="b-post"/>
      </w:pPr>
      <w:r w:rsidRPr="007C3060">
        <w:t>Post 70 Merverdiavgift</w:t>
      </w:r>
    </w:p>
    <w:p w14:paraId="2BB0F5BF" w14:textId="77777777" w:rsidR="000A2A2B" w:rsidRPr="007C3060" w:rsidRDefault="000A2A2B" w:rsidP="007C3060">
      <w:r w:rsidRPr="007C3060">
        <w:t>Innføring av redusert merverdiavgiftssats på 15 pst. for vann og avløp er utsatt fra 1. mai 2025 til 1. juli 2025 for å unngå unødvendige administrative kostnader for kommunene.</w:t>
      </w:r>
    </w:p>
    <w:p w14:paraId="3ED07308" w14:textId="77777777" w:rsidR="000A2A2B" w:rsidRPr="007C3060" w:rsidRDefault="000A2A2B" w:rsidP="007C3060">
      <w:r w:rsidRPr="007C3060">
        <w:t>Bevilgningen foreslås på denne bakgrunn økt med 670 mill. kroner.</w:t>
      </w:r>
    </w:p>
    <w:p w14:paraId="5DD9E128" w14:textId="77777777" w:rsidR="000A2A2B" w:rsidRPr="007C3060" w:rsidRDefault="000A2A2B" w:rsidP="007C3060">
      <w:pPr>
        <w:pStyle w:val="b-budkaptit"/>
      </w:pPr>
      <w:r w:rsidRPr="007C3060">
        <w:t>Kap. 5541 Avgift på elektrisk kraft</w:t>
      </w:r>
    </w:p>
    <w:p w14:paraId="0A9FA0EA" w14:textId="77777777" w:rsidR="000A2A2B" w:rsidRPr="007C3060" w:rsidRDefault="000A2A2B" w:rsidP="007C3060">
      <w:pPr>
        <w:pStyle w:val="b-post"/>
      </w:pPr>
      <w:r w:rsidRPr="007C3060">
        <w:t>Post 70 Avgift på elektrisk kraft</w:t>
      </w:r>
    </w:p>
    <w:p w14:paraId="28ECDB45" w14:textId="77777777" w:rsidR="000A2A2B" w:rsidRPr="007C3060" w:rsidRDefault="000A2A2B" w:rsidP="007C3060">
      <w:r w:rsidRPr="007C3060">
        <w:t xml:space="preserve">Det vises til forslagene i </w:t>
      </w:r>
      <w:proofErr w:type="spellStart"/>
      <w:r w:rsidRPr="007C3060">
        <w:t>Prop</w:t>
      </w:r>
      <w:proofErr w:type="spellEnd"/>
      <w:r w:rsidRPr="007C3060">
        <w:t xml:space="preserve">. 145 LS (2024–2025) </w:t>
      </w:r>
      <w:proofErr w:type="spellStart"/>
      <w:r w:rsidRPr="007C3060">
        <w:rPr>
          <w:rStyle w:val="kursiv"/>
        </w:rPr>
        <w:t>Endringar</w:t>
      </w:r>
      <w:proofErr w:type="spellEnd"/>
      <w:r w:rsidRPr="007C3060">
        <w:rPr>
          <w:rStyle w:val="kursiv"/>
        </w:rPr>
        <w:t xml:space="preserve"> i skatte- og avgiftslovgivinga</w:t>
      </w:r>
      <w:r w:rsidRPr="007C3060">
        <w:t xml:space="preserve"> om å redusere elavgiften med 4,4 øre per kWh og å innføre et fritak i elavgiften for elektrisk kraft fra fornybare energikilder, og som brukes på næringsområdet hvor den er produsert (delingsordning).</w:t>
      </w:r>
    </w:p>
    <w:p w14:paraId="21A4AAA1" w14:textId="77777777" w:rsidR="000A2A2B" w:rsidRPr="007C3060" w:rsidRDefault="000A2A2B" w:rsidP="007C3060">
      <w:r w:rsidRPr="007C3060">
        <w:t>Bevilgningen foreslås på denne bakgrunn redusert med 733 mill. kroner.</w:t>
      </w:r>
    </w:p>
    <w:p w14:paraId="45329DAF" w14:textId="77777777" w:rsidR="000A2A2B" w:rsidRPr="007C3060" w:rsidRDefault="000A2A2B" w:rsidP="007C3060">
      <w:pPr>
        <w:pStyle w:val="b-budkaptit"/>
      </w:pPr>
      <w:r w:rsidRPr="007C3060">
        <w:lastRenderedPageBreak/>
        <w:t>Kap. 5543 Miljøavgift på mineralske -produkter mv.</w:t>
      </w:r>
    </w:p>
    <w:p w14:paraId="41D80915" w14:textId="77777777" w:rsidR="000A2A2B" w:rsidRPr="007C3060" w:rsidRDefault="000A2A2B" w:rsidP="007C3060">
      <w:pPr>
        <w:pStyle w:val="b-post"/>
      </w:pPr>
      <w:r w:rsidRPr="007C3060">
        <w:t>Post 70 CO</w:t>
      </w:r>
      <w:r w:rsidRPr="007C3060">
        <w:rPr>
          <w:rStyle w:val="skrift-senket"/>
        </w:rPr>
        <w:t>2</w:t>
      </w:r>
      <w:r w:rsidRPr="007C3060">
        <w:t>-avgift</w:t>
      </w:r>
    </w:p>
    <w:p w14:paraId="17E1418C" w14:textId="77777777" w:rsidR="000A2A2B" w:rsidRPr="007C3060" w:rsidRDefault="000A2A2B" w:rsidP="007C3060">
      <w:pPr>
        <w:pStyle w:val="avsnitt-undertittel"/>
      </w:pPr>
      <w:r w:rsidRPr="007C3060">
        <w:t>Redusert sats for k-</w:t>
      </w:r>
      <w:proofErr w:type="spellStart"/>
      <w:r w:rsidRPr="007C3060">
        <w:t>votepliktig</w:t>
      </w:r>
      <w:proofErr w:type="spellEnd"/>
      <w:r w:rsidRPr="007C3060">
        <w:t xml:space="preserve"> innenriks sjøfart og -utenriks sjøfart</w:t>
      </w:r>
    </w:p>
    <w:p w14:paraId="379C664F" w14:textId="77777777" w:rsidR="000A2A2B" w:rsidRPr="007C3060" w:rsidRDefault="000A2A2B" w:rsidP="007C3060">
      <w:r w:rsidRPr="007C3060">
        <w:t xml:space="preserve">Det vises til omtale i </w:t>
      </w:r>
      <w:proofErr w:type="spellStart"/>
      <w:r w:rsidRPr="007C3060">
        <w:t>Prop</w:t>
      </w:r>
      <w:proofErr w:type="spellEnd"/>
      <w:r w:rsidRPr="007C3060">
        <w:t xml:space="preserve">. 1 LS (2024–2025) </w:t>
      </w:r>
      <w:r w:rsidRPr="007C3060">
        <w:rPr>
          <w:rStyle w:val="kursiv"/>
        </w:rPr>
        <w:t>Skatter og avgifter 2025</w:t>
      </w:r>
      <w:r w:rsidRPr="007C3060">
        <w:t xml:space="preserve"> punkt 10.9.4 </w:t>
      </w:r>
      <w:proofErr w:type="gramStart"/>
      <w:r w:rsidRPr="007C3060">
        <w:t>vedrørende</w:t>
      </w:r>
      <w:proofErr w:type="gramEnd"/>
      <w:r w:rsidRPr="007C3060">
        <w:t xml:space="preserve"> forslag om å redusere CO</w:t>
      </w:r>
      <w:r w:rsidRPr="007C3060">
        <w:rPr>
          <w:rStyle w:val="skrift-senket"/>
        </w:rPr>
        <w:t>2</w:t>
      </w:r>
      <w:r w:rsidRPr="007C3060">
        <w:t>-avgiften på mineralske produkter for kvotepliktig innenriks sjøfart samt forslag om å innføre CO</w:t>
      </w:r>
      <w:r w:rsidRPr="007C3060">
        <w:rPr>
          <w:rStyle w:val="skrift-senket"/>
        </w:rPr>
        <w:t>2</w:t>
      </w:r>
      <w:r w:rsidRPr="007C3060">
        <w:t>-avgift for utenriks sjøfart med redusert sats.</w:t>
      </w:r>
    </w:p>
    <w:p w14:paraId="060DC55C" w14:textId="77777777" w:rsidR="000A2A2B" w:rsidRPr="007C3060" w:rsidRDefault="000A2A2B" w:rsidP="007C3060">
      <w:r w:rsidRPr="007C3060">
        <w:t xml:space="preserve">De reduserte satsene har ikke trådt kraft i påvente av avklaringer fra </w:t>
      </w:r>
      <w:proofErr w:type="spellStart"/>
      <w:r w:rsidRPr="007C3060">
        <w:t>EFTAs</w:t>
      </w:r>
      <w:proofErr w:type="spellEnd"/>
      <w:r w:rsidRPr="007C3060">
        <w:t xml:space="preserve"> overvåkings-organ (ESA) om de er i samsvar med stats-støtteregelverket. Siden spørsmålet ikke er avklart, kan det ikke budsjetteres med at de reduserte satsene trer i kraft i 2025.</w:t>
      </w:r>
    </w:p>
    <w:p w14:paraId="59591A09" w14:textId="77777777" w:rsidR="000A2A2B" w:rsidRPr="007C3060" w:rsidRDefault="000A2A2B" w:rsidP="007C3060">
      <w:r w:rsidRPr="007C3060">
        <w:t>Det foreslås derfor at bevilgningen reduseres med 410 mill. kroner.</w:t>
      </w:r>
    </w:p>
    <w:p w14:paraId="4A48AD47" w14:textId="77777777" w:rsidR="000A2A2B" w:rsidRPr="007C3060" w:rsidRDefault="000A2A2B" w:rsidP="007C3060">
      <w:pPr>
        <w:pStyle w:val="avsnitt-undertittel"/>
      </w:pPr>
      <w:r w:rsidRPr="007C3060">
        <w:t>Refusjonsordning for CO</w:t>
      </w:r>
      <w:r w:rsidRPr="007C3060">
        <w:rPr>
          <w:rStyle w:val="skrift-senket"/>
        </w:rPr>
        <w:t>2</w:t>
      </w:r>
      <w:r w:rsidRPr="007C3060">
        <w:t>-avgift for flydrivstoff kjøpt fra Forsvarets tankanlegg</w:t>
      </w:r>
    </w:p>
    <w:p w14:paraId="612C46BF" w14:textId="77777777" w:rsidR="000A2A2B" w:rsidRPr="007C3060" w:rsidRDefault="000A2A2B" w:rsidP="007C3060">
      <w:r w:rsidRPr="007C3060">
        <w:t xml:space="preserve">Det vises til forslag i </w:t>
      </w:r>
      <w:proofErr w:type="spellStart"/>
      <w:r w:rsidRPr="007C3060">
        <w:t>Prop</w:t>
      </w:r>
      <w:proofErr w:type="spellEnd"/>
      <w:r w:rsidRPr="007C3060">
        <w:t xml:space="preserve">. 145 LS (2024–2025) </w:t>
      </w:r>
      <w:proofErr w:type="spellStart"/>
      <w:r w:rsidRPr="007C3060">
        <w:rPr>
          <w:rStyle w:val="kursiv"/>
        </w:rPr>
        <w:t>Endringar</w:t>
      </w:r>
      <w:proofErr w:type="spellEnd"/>
      <w:r w:rsidRPr="007C3060">
        <w:rPr>
          <w:rStyle w:val="kursiv"/>
        </w:rPr>
        <w:t xml:space="preserve"> i skatte- og avgiftslovgivinga</w:t>
      </w:r>
      <w:r w:rsidRPr="007C3060">
        <w:t xml:space="preserve"> om å innføre en ordning med refusjon av CO</w:t>
      </w:r>
      <w:r w:rsidRPr="007C3060">
        <w:rPr>
          <w:rStyle w:val="skrift-senket"/>
        </w:rPr>
        <w:t>2</w:t>
      </w:r>
      <w:r w:rsidRPr="007C3060">
        <w:t>-avgift for flydrivstoff som er kjøpt fra Forsvarets tankanlegg med full sats, men der brukeren er berettiget til fritak eller lav sats. Forslaget får halvårsvirkning i 2025. Det foreslås at bevilgningen reduseres med 6 mill. kroner.</w:t>
      </w:r>
    </w:p>
    <w:p w14:paraId="7AA2F1F0" w14:textId="77777777" w:rsidR="000A2A2B" w:rsidRPr="007C3060" w:rsidRDefault="000A2A2B" w:rsidP="007C3060">
      <w:pPr>
        <w:pStyle w:val="avsnitt-undertittel"/>
      </w:pPr>
      <w:r w:rsidRPr="007C3060">
        <w:t>Oppsummering</w:t>
      </w:r>
    </w:p>
    <w:p w14:paraId="58287B3F" w14:textId="77777777" w:rsidR="000A2A2B" w:rsidRPr="007C3060" w:rsidRDefault="000A2A2B" w:rsidP="007C3060">
      <w:r w:rsidRPr="007C3060">
        <w:t>Samlet foreslås bevilgningen på posten redusert med 416 mill. kroner.</w:t>
      </w:r>
    </w:p>
    <w:p w14:paraId="240D11DB" w14:textId="77777777" w:rsidR="000A2A2B" w:rsidRPr="007C3060" w:rsidRDefault="000A2A2B" w:rsidP="007C3060">
      <w:pPr>
        <w:pStyle w:val="b-budkaptit"/>
      </w:pPr>
      <w:r w:rsidRPr="007C3060">
        <w:t>Kap. 5580 Sektoravgifter under -Finansdepartementet</w:t>
      </w:r>
    </w:p>
    <w:p w14:paraId="2472BC9A" w14:textId="77777777" w:rsidR="000A2A2B" w:rsidRPr="007C3060" w:rsidRDefault="000A2A2B" w:rsidP="007C3060">
      <w:pPr>
        <w:pStyle w:val="b-post"/>
      </w:pPr>
      <w:r w:rsidRPr="007C3060">
        <w:t>Post 70 Finanstilsynet, bidrag fra tilsynsenhetene</w:t>
      </w:r>
    </w:p>
    <w:p w14:paraId="60BA22B4" w14:textId="77777777" w:rsidR="000A2A2B" w:rsidRPr="007C3060" w:rsidRDefault="000A2A2B" w:rsidP="007C3060">
      <w:r w:rsidRPr="007C3060">
        <w:t xml:space="preserve">Det foreslås å øke posten med 10,1 mill. kroner. Anslaget er i tråd med forutsetningene i </w:t>
      </w:r>
      <w:proofErr w:type="spellStart"/>
      <w:r w:rsidRPr="007C3060">
        <w:t>Prop</w:t>
      </w:r>
      <w:proofErr w:type="spellEnd"/>
      <w:r w:rsidRPr="007C3060">
        <w:t>. 1 S, justert med faktiske tall for lønnskompensasjon og belastningen for merverdiavgift i 2024.</w:t>
      </w:r>
    </w:p>
    <w:p w14:paraId="5FD24D86" w14:textId="77777777" w:rsidR="000A2A2B" w:rsidRPr="007C3060" w:rsidRDefault="000A2A2B" w:rsidP="007C3060">
      <w:pPr>
        <w:pStyle w:val="b-budkaptit"/>
      </w:pPr>
      <w:r w:rsidRPr="007C3060">
        <w:t>Kap. 5603 Renter av statens kapital i statens forvaltningsbedrifter</w:t>
      </w:r>
    </w:p>
    <w:p w14:paraId="21F4EA5E" w14:textId="77777777" w:rsidR="000A2A2B" w:rsidRPr="007C3060" w:rsidRDefault="000A2A2B" w:rsidP="007C3060">
      <w:pPr>
        <w:pStyle w:val="b-post"/>
      </w:pPr>
      <w:r w:rsidRPr="007C3060">
        <w:t>Post 80 Renter av statens faste kapital</w:t>
      </w:r>
    </w:p>
    <w:p w14:paraId="4BCFE613" w14:textId="77777777" w:rsidR="000A2A2B" w:rsidRPr="007C3060" w:rsidRDefault="000A2A2B" w:rsidP="007C3060">
      <w:r w:rsidRPr="007C3060">
        <w:t>På denne posten inntektsføres summen av renter av statens kapital som bevilges på underpost 4 i statens forvaltningsbedrifter (kap. 2445–2490). På bakgrunn av endringer på disse underpostene foreslås bevilgningen på kap. 5603, post 80 økt med 1 mill. kroner.</w:t>
      </w:r>
    </w:p>
    <w:p w14:paraId="01BA3D26" w14:textId="77777777" w:rsidR="000A2A2B" w:rsidRPr="007C3060" w:rsidRDefault="000A2A2B" w:rsidP="007C3060">
      <w:pPr>
        <w:pStyle w:val="b-budkaptit"/>
      </w:pPr>
      <w:r w:rsidRPr="007C3060">
        <w:t>Kap. 5605 Renter av statskassens -kontantbeholdning og andre fordringer</w:t>
      </w:r>
    </w:p>
    <w:p w14:paraId="60C890E7" w14:textId="77777777" w:rsidR="000A2A2B" w:rsidRPr="007C3060" w:rsidRDefault="000A2A2B" w:rsidP="007C3060">
      <w:pPr>
        <w:pStyle w:val="b-post"/>
      </w:pPr>
      <w:r w:rsidRPr="007C3060">
        <w:t>Post 80 Av statskassens foliokonto i Norges Bank</w:t>
      </w:r>
    </w:p>
    <w:p w14:paraId="096BCD4F" w14:textId="77777777" w:rsidR="000A2A2B" w:rsidRPr="007C3060" w:rsidRDefault="000A2A2B" w:rsidP="007C3060">
      <w:r w:rsidRPr="007C3060">
        <w:t>Renten på foliokontoen i Norges Bank beregnes på grunnlag av renten banken får på sine utenlandske krav. Renten fastsettes for ett kvartal av gangen.</w:t>
      </w:r>
    </w:p>
    <w:p w14:paraId="07AFFC96" w14:textId="77777777" w:rsidR="000A2A2B" w:rsidRPr="007C3060" w:rsidRDefault="000A2A2B" w:rsidP="007C3060">
      <w:r w:rsidRPr="007C3060">
        <w:lastRenderedPageBreak/>
        <w:t>Det foreslås å redusere bevilgningen med 2 565 mill. kroner, til 7 900 mill. kroner. Reduksjonen skyldes både lavere rente enn lagt til grunn for saldert budsjett og lavere anslått kontant-beholdning.</w:t>
      </w:r>
    </w:p>
    <w:p w14:paraId="0579B267" w14:textId="77777777" w:rsidR="000A2A2B" w:rsidRPr="007C3060" w:rsidRDefault="000A2A2B" w:rsidP="007C3060">
      <w:pPr>
        <w:pStyle w:val="b-post"/>
      </w:pPr>
      <w:r w:rsidRPr="007C3060">
        <w:t>Post 82 Av innenlandske verdipapirer</w:t>
      </w:r>
    </w:p>
    <w:p w14:paraId="28BDDDD4" w14:textId="77777777" w:rsidR="000A2A2B" w:rsidRPr="007C3060" w:rsidRDefault="000A2A2B" w:rsidP="007C3060">
      <w:r w:rsidRPr="007C3060">
        <w:t>Bevilgningen på posten foreslås redusert med 80,9 mill. kroner. Reduksjonen skyldes lavere rente enn lagt til grunn for saldert budsjett.</w:t>
      </w:r>
    </w:p>
    <w:p w14:paraId="16F3E1A3" w14:textId="77777777" w:rsidR="000A2A2B" w:rsidRPr="007C3060" w:rsidRDefault="000A2A2B" w:rsidP="007C3060">
      <w:pPr>
        <w:pStyle w:val="b-post"/>
      </w:pPr>
      <w:r w:rsidRPr="007C3060">
        <w:t>Post 84 Av driftskreditt til statsbedrifter</w:t>
      </w:r>
    </w:p>
    <w:p w14:paraId="2523F8F7" w14:textId="77777777" w:rsidR="000A2A2B" w:rsidRPr="007C3060" w:rsidRDefault="000A2A2B" w:rsidP="007C3060">
      <w:r w:rsidRPr="007C3060">
        <w:t>Bevilgningen på posten foreslås redusert med 159,6 mill. kroner, til 3 003,6 mill. kroner. Reduksjonen skyldes i hovedsak nedjustering av driftskredittrammen, men effekten motvirkes delvis av høyere driftskredittrente enn lagt til grunn i saldert budsjett.</w:t>
      </w:r>
    </w:p>
    <w:p w14:paraId="7012F1E5" w14:textId="77777777" w:rsidR="000A2A2B" w:rsidRPr="007C3060" w:rsidRDefault="000A2A2B" w:rsidP="007C3060">
      <w:pPr>
        <w:pStyle w:val="b-budkaptit"/>
      </w:pPr>
      <w:r w:rsidRPr="007C3060">
        <w:t>Kap. 5692 Utbytte av statens kapital i Den nordiske investeringsbank</w:t>
      </w:r>
    </w:p>
    <w:p w14:paraId="21D6DA0D" w14:textId="77777777" w:rsidR="000A2A2B" w:rsidRPr="007C3060" w:rsidRDefault="000A2A2B" w:rsidP="007C3060">
      <w:pPr>
        <w:pStyle w:val="b-post"/>
      </w:pPr>
      <w:r w:rsidRPr="007C3060">
        <w:t>Post 85 Utbytte</w:t>
      </w:r>
    </w:p>
    <w:p w14:paraId="4A77E1F0" w14:textId="77777777" w:rsidR="000A2A2B" w:rsidRPr="007C3060" w:rsidRDefault="000A2A2B" w:rsidP="007C3060">
      <w:r w:rsidRPr="007C3060">
        <w:t>I Saldert budsjett 2025 er det ført opp 64,4 mill. kroner på kap. 5692, post 85.</w:t>
      </w:r>
    </w:p>
    <w:p w14:paraId="74239D62" w14:textId="77777777" w:rsidR="000A2A2B" w:rsidRPr="007C3060" w:rsidRDefault="000A2A2B" w:rsidP="007C3060">
      <w:r w:rsidRPr="007C3060">
        <w:t>Bankens styre har for 2025 anbefalt et utbytte på 76 mill. euro, hvorav 21,5 pst. eller 16,3 mill. går til Norge. Basert på eurokursen per 4. april tilsvarer det om lag 190 mill. kroner. Bevilgningen foreslås derfor økt med 125,6 mill. kroner.</w:t>
      </w:r>
    </w:p>
    <w:p w14:paraId="1559B9B5" w14:textId="77777777" w:rsidR="000A2A2B" w:rsidRPr="007C3060" w:rsidRDefault="000A2A2B" w:rsidP="007C3060">
      <w:pPr>
        <w:pStyle w:val="b-budkaptit"/>
      </w:pPr>
      <w:r w:rsidRPr="007C3060">
        <w:t>Kap. 5700 Folketrygdens inntekter</w:t>
      </w:r>
    </w:p>
    <w:p w14:paraId="2E360708" w14:textId="77777777" w:rsidR="000A2A2B" w:rsidRPr="007C3060" w:rsidRDefault="000A2A2B" w:rsidP="007C3060">
      <w:pPr>
        <w:pStyle w:val="b-post"/>
      </w:pPr>
      <w:r w:rsidRPr="007C3060">
        <w:t>Post 71 Trygdeavgift</w:t>
      </w:r>
    </w:p>
    <w:p w14:paraId="69B8932C" w14:textId="77777777" w:rsidR="000A2A2B" w:rsidRPr="007C3060" w:rsidRDefault="000A2A2B" w:rsidP="007C3060">
      <w:r w:rsidRPr="007C3060">
        <w:t>Det vises til omtalen under kap. 5501 post 70.</w:t>
      </w:r>
    </w:p>
    <w:p w14:paraId="68F2F3F2" w14:textId="77777777" w:rsidR="000A2A2B" w:rsidRPr="007C3060" w:rsidRDefault="000A2A2B" w:rsidP="007C3060">
      <w:r w:rsidRPr="007C3060">
        <w:t>Bevilgningen foreslås på denne bakgrunn redusert med 170 mill. kroner.</w:t>
      </w:r>
    </w:p>
    <w:p w14:paraId="4B857982" w14:textId="77777777" w:rsidR="000A2A2B" w:rsidRPr="007C3060" w:rsidRDefault="000A2A2B" w:rsidP="007C3060">
      <w:pPr>
        <w:pStyle w:val="Overskrift2"/>
      </w:pPr>
      <w:r w:rsidRPr="007C3060">
        <w:t>Forsvarsdepartementet</w:t>
      </w:r>
    </w:p>
    <w:p w14:paraId="5A934DF6" w14:textId="77777777" w:rsidR="000A2A2B" w:rsidRPr="007C3060" w:rsidRDefault="000A2A2B" w:rsidP="007C3060">
      <w:r w:rsidRPr="007C3060">
        <w:t xml:space="preserve">Å sørge for trygghet for folk i Norge er regjeringens viktigste oppgave. For litt over ett år siden la regjeringen frem en ny langtidsplan for forsvarssektoren for perioden 2025–2036, jf. </w:t>
      </w:r>
      <w:proofErr w:type="spellStart"/>
      <w:r w:rsidRPr="007C3060">
        <w:t>Prop</w:t>
      </w:r>
      <w:proofErr w:type="spellEnd"/>
      <w:r w:rsidRPr="007C3060">
        <w:t xml:space="preserve">. 87 S (2023–2024) </w:t>
      </w:r>
      <w:r w:rsidRPr="007C3060">
        <w:rPr>
          <w:rStyle w:val="kursiv"/>
        </w:rPr>
        <w:t>Forsvarsløftet – for Norges trygghet</w:t>
      </w:r>
      <w:r w:rsidRPr="007C3060">
        <w:t>. Planen er lagt frem mot et dystert sikkerhetspolitisk bakteppe og innebærer et historisk løft for å trygge Norge. Når verden er urolig, må Norge ta mer ansvar for egen og alliert sikkerhet. Vi må bruke mer av samfunnets ressurser på forsvar og nasjonal beredskap. Langtidsplanen, som ble enstemmig vedtatt på Stortinget, legger til grunn en samlet økning på 632 mrd. kroner (2025-prisnivå) til forsvaret av Norge de neste 12 årene.</w:t>
      </w:r>
    </w:p>
    <w:p w14:paraId="6022B91F" w14:textId="77777777" w:rsidR="000A2A2B" w:rsidRPr="007C3060" w:rsidRDefault="000A2A2B" w:rsidP="007C3060">
      <w:r w:rsidRPr="007C3060">
        <w:t xml:space="preserve">I revidert budsjett for 2025 foreslår regjeringen nødvendige endringer i forsvarsbudsjettet for å møte de sikkerhetspolitiske utfordringene Norge står overfor. Regjeringen foreslår å omdisponere 65 mill. kroner innenfor forsvarsbudsjettet til å videreutvikle Etterretningstjenesten og å styrke situasjonsforståelsen. Forslaget inngår i den nødvendige moderniseringen og </w:t>
      </w:r>
      <w:r w:rsidRPr="007C3060">
        <w:lastRenderedPageBreak/>
        <w:t>videreutviklingen av tjenesten. Regjeringen foreslår videre 80 mill. kroner til å forsere den planlagte personell-opptrappingen i langtidsplanen, og 50 mill. kroner til å forsere investeringstiltak i -personellrelaterte bygg, eiendom og anlegg.</w:t>
      </w:r>
    </w:p>
    <w:p w14:paraId="2F24C38A" w14:textId="77777777" w:rsidR="000A2A2B" w:rsidRPr="007C3060" w:rsidRDefault="000A2A2B" w:rsidP="007C3060">
      <w:r w:rsidRPr="007C3060">
        <w:t>Den usikre og dynamiske sikkerhetspolitiske situasjonen i Europa med krigen i Ukraina og Russlands aggressive opptreden, samt økt usikkerhet knyttet til den nye administrasjonen i USA, tilsier at vi bør legge til rette for at Forsvaret kan opprettholde planlagt aktivitetsnivå i 2025. Regjeringen foreslår derfor en økning i bevilgningen til Forsvaret for å håndtere økte driftsutgifter, som dekkes inn gjennom omprioriteringer på forsvarsbudsjettet og tilleggsbevilgninger.</w:t>
      </w:r>
    </w:p>
    <w:p w14:paraId="306E407A" w14:textId="77777777" w:rsidR="000A2A2B" w:rsidRPr="007C3060" w:rsidRDefault="000A2A2B" w:rsidP="007C3060">
      <w:r w:rsidRPr="007C3060">
        <w:t>I 2025 blir NATOs nye luftoperasjonssenter (CAOC) opprettet i Norge, foreløpig i lokaler i tilknytning til Bodø lufthavn. Regjeringen foreslår en ekstraordinær bevilgningsøkning på 438 mill. kroner i 2025 slik at etableringen av midlertidig luftoperasjonssenter ikke går på bekostning av det planlagte aktivitetsnivået i Forsvaret i 2025 eller andre satsinger i langtidsplanen for forsvarssektoren.</w:t>
      </w:r>
    </w:p>
    <w:p w14:paraId="10AC5CC5" w14:textId="77777777" w:rsidR="000A2A2B" w:rsidRPr="007C3060" w:rsidRDefault="000A2A2B" w:rsidP="007C3060">
      <w:r w:rsidRPr="007C3060">
        <w:t>Det foreslås omprioriteringer fra investeringsbudsjettet for å dekke inn nødvendige utgiftsøkninger på andre områder. Investeringsnivået er fortsatt historisk høyt og den foreslåtte reduksjonen på investeringsbudsjettet vurderes å ha håndterbare konsekvenser for gjennomføringen av planlagte investeringer i år. Regjeringen er opptatt av at det er balanse mellom investering og drift gjennom tolvårsperioden, slik at Forsvaret både har god operativ evne og samtidig gjennomfører den planlagte strukturutviklingen. Regjeringen vil komme tilbake til dette i de årlige statusrapporteringene om langtidsplanen.</w:t>
      </w:r>
    </w:p>
    <w:p w14:paraId="3F6F99E1" w14:textId="77777777" w:rsidR="000A2A2B" w:rsidRPr="007C3060" w:rsidRDefault="000A2A2B" w:rsidP="007C3060">
      <w:r w:rsidRPr="007C3060">
        <w:t xml:space="preserve">I forbindelse med </w:t>
      </w:r>
      <w:proofErr w:type="spellStart"/>
      <w:r w:rsidRPr="007C3060">
        <w:t>Innst</w:t>
      </w:r>
      <w:proofErr w:type="spellEnd"/>
      <w:r w:rsidRPr="007C3060">
        <w:t xml:space="preserve">. 227 S (2024–2025) til </w:t>
      </w:r>
      <w:proofErr w:type="spellStart"/>
      <w:r w:rsidRPr="007C3060">
        <w:t>Prop</w:t>
      </w:r>
      <w:proofErr w:type="spellEnd"/>
      <w:r w:rsidRPr="007C3060">
        <w:t>. 107 S (2024–2025) vedtok Stortinget å øke den militære støtten til Ukraina i 2025 med 50 mrd. kroner ut over de 22,5 mrd. kroner som var satt som ramme for den militære støtten i Nansen-programmet i Saldert budsjett 2025. I revidert nasjonalbudsjett foreslås det omdisponeringer og tekniske endringer knyttet til den militære støtten til Ukraina i Nansen-programmet, i hovedsak knyttet til donasjoner av materiell.</w:t>
      </w:r>
    </w:p>
    <w:p w14:paraId="376F1BF0" w14:textId="77777777" w:rsidR="000A2A2B" w:rsidRPr="007C3060" w:rsidRDefault="000A2A2B" w:rsidP="007C3060">
      <w:r w:rsidRPr="007C3060">
        <w:t>For å etablere et midlertidig luftoperasjonssenter for NATO (CAOC), forsere den planlagte personellopptrappingen i langtidsplanen og investeringer i eiendom bygg og anlegg, og sikre teknisk infrastruktur i det nye regjeringskvartalet foreslår regjeringen å øke forsvarsbudsjettet med 1,1 mrd. kroner i revidert nasjonalbudsjett. Videre øker forsvarsbudsjettet med 0,6 mrd. kroner for å kompensere for økte valutautgifter i større investeringsprosjekter. Samtidig fører økte donasjoner til Ukraina og andre tekniske endringer som rammeoverføringer til andre departementer til at utgiftsrammen på forsvarsbudsjettet samlet reduseres med 3,2 mrd. kroner. I tillegg foreslås det en rekke omdisponeringer innenfor forsvarsbudsjettet med bevilgningsmessige konsekvenser for flere budsjettposter.</w:t>
      </w:r>
    </w:p>
    <w:p w14:paraId="3C8F9FCD" w14:textId="77777777" w:rsidR="000A2A2B" w:rsidRPr="007C3060" w:rsidRDefault="000A2A2B" w:rsidP="007C3060">
      <w:r w:rsidRPr="007C3060">
        <w:t>Med regjeringens foreslåtte endringer vil forsvarsbudsjettet i 2025 bli 171,6 mrd. kroner, inkludert militær støtte til Ukraina. Forslaget innebærer at Norge vil bruke anslagsvis 3,3 pst. av brutto nasjonalprodukt til forsvarsformål i 2025. Forsvarsutgiftene som andel av BNP ved slutten av året vil avhenge av hva som til slutt blir de regnskapsførte forsvarsutgiftene og den faktiske utviklingen i norsk økonomi.</w:t>
      </w:r>
    </w:p>
    <w:p w14:paraId="6CF25E9A" w14:textId="77777777" w:rsidR="000A2A2B" w:rsidRPr="007C3060" w:rsidRDefault="000A2A2B" w:rsidP="007C3060">
      <w:r w:rsidRPr="007C3060">
        <w:lastRenderedPageBreak/>
        <w:t>Forslagene til endrede bevilgninger over forsvarsbudsjettet er nærmere omtalt under de enkelte budsjettpostene under.</w:t>
      </w:r>
    </w:p>
    <w:p w14:paraId="29241FB3" w14:textId="77777777" w:rsidR="000A2A2B" w:rsidRPr="007C3060" w:rsidRDefault="000A2A2B" w:rsidP="007C3060">
      <w:pPr>
        <w:pStyle w:val="b-budkaptit"/>
      </w:pPr>
      <w:r w:rsidRPr="007C3060">
        <w:t>Kap. 1700 Forsvarsdepartementet</w:t>
      </w:r>
    </w:p>
    <w:p w14:paraId="69E0E347" w14:textId="77777777" w:rsidR="000A2A2B" w:rsidRPr="007C3060" w:rsidRDefault="000A2A2B" w:rsidP="007C3060">
      <w:pPr>
        <w:pStyle w:val="b-post"/>
      </w:pPr>
      <w:r w:rsidRPr="007C3060">
        <w:t>Post 01 Driftsutgifter</w:t>
      </w:r>
    </w:p>
    <w:p w14:paraId="737BFF0B" w14:textId="77777777" w:rsidR="000A2A2B" w:rsidRPr="007C3060" w:rsidRDefault="000A2A2B" w:rsidP="007C3060">
      <w:r w:rsidRPr="007C3060">
        <w:t xml:space="preserve">Bevilgningen dekker Forsvarsdepartementets ordinære driftsutgifter i tillegg til blant annet utgifter til Forsvarsdepartementets internrevisjon, Norges faste delegasjon til NATO og </w:t>
      </w:r>
      <w:proofErr w:type="spellStart"/>
      <w:r w:rsidRPr="007C3060">
        <w:t>forsvarsråder</w:t>
      </w:r>
      <w:proofErr w:type="spellEnd"/>
      <w:r w:rsidRPr="007C3060">
        <w:t>, forsvarsattachéer og militærrådgivere. Det foreslås å øke bevilgningen på posten med 21,2 mill. kroner knyttet til behov for økt kapasitet i Forsvarsdepartementet som følge av den sikkerhetspolitiske utviklingen, gjennomføringen av langtidsplanen og tillitsreformen F24 i forsvarssektoren (12,5 mill. kroner), juridisk bistand i en rettssak (7,5 mill. kroner) og økte utgifter til deltakelse i arbeidet med evaluering av etterretningstjenesteloven (1,1 mill. kroner).</w:t>
      </w:r>
    </w:p>
    <w:p w14:paraId="76F44A8B" w14:textId="77777777" w:rsidR="000A2A2B" w:rsidRPr="007C3060" w:rsidRDefault="000A2A2B" w:rsidP="007C3060">
      <w:r w:rsidRPr="007C3060">
        <w:t>Videre foreslås bevilgningen økt med totalt 40,8 mill. kroner mot en tilsvarende reduksjon på kap. 1740, post 01 blant annet som følge av at Forsvarsdepartementet overtar ansvar for oppgradering og drift av graderte møterom i Forsvarets ledelsesbygg fra Statens graderte plattformtjenester (35,3 mill. kroner). Resten av økningen er knyttet til øvrige IKT-formål, herunder overføring av ett årsverk fra Statens graderte plattformtjenester til Forsvarsdepartementet (5,5 mill. kroner).</w:t>
      </w:r>
    </w:p>
    <w:p w14:paraId="14DCB8F3" w14:textId="77777777" w:rsidR="000A2A2B" w:rsidRPr="007C3060" w:rsidRDefault="000A2A2B" w:rsidP="007C3060">
      <w:r w:rsidRPr="007C3060">
        <w:t>Det foreslås en økning av bevilgningen på 14,5 mill. kroner mot en tilsvarende reduksjon under kap. 1700, post 79, knyttet til Norges forsvarsattacheer i Kyiv og administrative utgifter til Forsvarsdepartementets Ukraina-arbeid.</w:t>
      </w:r>
    </w:p>
    <w:p w14:paraId="72AFFEE4" w14:textId="77777777" w:rsidR="000A2A2B" w:rsidRPr="007C3060" w:rsidRDefault="000A2A2B" w:rsidP="007C3060">
      <w:r w:rsidRPr="007C3060">
        <w:t>Det foreslås å øke bevilgningen med 2,3 mill. kroner knyttet til et prosjekt om oppbygging av byråkratkompetanse på Vest-Balkan, mot en tilsvarende reduksjon på kap. 1720, post 71.</w:t>
      </w:r>
    </w:p>
    <w:p w14:paraId="64D26F01" w14:textId="77777777" w:rsidR="000A2A2B" w:rsidRPr="007C3060" w:rsidRDefault="000A2A2B" w:rsidP="007C3060">
      <w:r w:rsidRPr="007C3060">
        <w:t xml:space="preserve">Videre foreslås det en økning i bevilgningen på 1,6 mill. kroner for å styrke forvaltningsoppgavene i NATO </w:t>
      </w:r>
      <w:r w:rsidRPr="007C3060">
        <w:rPr>
          <w:rStyle w:val="kursiv"/>
        </w:rPr>
        <w:t>Science and Technology Organization</w:t>
      </w:r>
      <w:r w:rsidRPr="007C3060">
        <w:t>, mot en tilsvarende reduksjon på kap. 1700, post 78.</w:t>
      </w:r>
    </w:p>
    <w:p w14:paraId="77F97511" w14:textId="77777777" w:rsidR="000A2A2B" w:rsidRPr="007C3060" w:rsidRDefault="000A2A2B" w:rsidP="007C3060">
      <w:r w:rsidRPr="007C3060">
        <w:t>Det foreslås å redusere bevilgningen med 20 mill. kroner mot en tilsvarende økning som omtalt på kap. 1720, post 01.</w:t>
      </w:r>
    </w:p>
    <w:p w14:paraId="380D091C" w14:textId="77777777" w:rsidR="000A2A2B" w:rsidRPr="007C3060" w:rsidRDefault="000A2A2B" w:rsidP="007C3060">
      <w:r w:rsidRPr="007C3060">
        <w:t>Samlet foreslås det å øke bevilgningen på posten med 60,3 mill. kroner.</w:t>
      </w:r>
    </w:p>
    <w:p w14:paraId="67233B6E" w14:textId="77777777" w:rsidR="000A2A2B" w:rsidRPr="007C3060" w:rsidRDefault="000A2A2B" w:rsidP="007C3060">
      <w:pPr>
        <w:pStyle w:val="avsnitt-undertittel"/>
      </w:pPr>
      <w:r w:rsidRPr="007C3060">
        <w:t>Økt bestillingsfullmakt</w:t>
      </w:r>
    </w:p>
    <w:p w14:paraId="4DABD702" w14:textId="77777777" w:rsidR="000A2A2B" w:rsidRPr="007C3060" w:rsidRDefault="000A2A2B" w:rsidP="007C3060">
      <w:r w:rsidRPr="007C3060">
        <w:t>Som følge av et høyt aktivitetsnivå i Forsvarsdepartementet og behov for kjøp av varer og tjenester, foreslås det å øke bestillingsfullmakten på kap. 1700, post 01, med 11 mill. kroner fra 34 mill. kroner til 45 mill. kroner.</w:t>
      </w:r>
    </w:p>
    <w:p w14:paraId="54643EB8" w14:textId="77777777" w:rsidR="000A2A2B" w:rsidRPr="007C3060" w:rsidRDefault="000A2A2B" w:rsidP="007C3060">
      <w:pPr>
        <w:pStyle w:val="b-post"/>
      </w:pPr>
      <w:r w:rsidRPr="007C3060">
        <w:t>Post 22 IKT-virksomhet, kan overføres</w:t>
      </w:r>
    </w:p>
    <w:p w14:paraId="24C6EE44" w14:textId="77777777" w:rsidR="000A2A2B" w:rsidRPr="007C3060" w:rsidRDefault="000A2A2B" w:rsidP="007C3060">
      <w:r w:rsidRPr="007C3060">
        <w:t>Bevilgningen dekker budsjettmidlene til Program felles IKT-tjenester i departementsfellesskapet (Programmet), som i dag eies og styres av Forsvarsdepartementet (FD) og Digitaliserings- og forvaltningsdepartementet (DFD) i fellesskap.</w:t>
      </w:r>
    </w:p>
    <w:p w14:paraId="7EAF5CDF" w14:textId="77777777" w:rsidR="000A2A2B" w:rsidRPr="007C3060" w:rsidRDefault="000A2A2B" w:rsidP="007C3060">
      <w:r w:rsidRPr="007C3060">
        <w:lastRenderedPageBreak/>
        <w:t>Regjeringen foreslår at hele ansvaret for eierstyringen og oppfølgingen av Programmet, endringstrinn 1,2 og 3, inkludert budsjettmidlene til Programmet, overføres fra FD til DFD fra og med 1. juli 2025. Videre legger DFD opp til at Programmet skal plasseres organisatorisk i Departementenes digitaliseringsorganisasjon fra og med 1. juli 2025. DFD vil være programeier.</w:t>
      </w:r>
    </w:p>
    <w:p w14:paraId="288AE3BB" w14:textId="77777777" w:rsidR="000A2A2B" w:rsidRPr="007C3060" w:rsidRDefault="000A2A2B" w:rsidP="007C3060">
      <w:r w:rsidRPr="007C3060">
        <w:t>Regjeringen foreslår derfor å rammeoverføre 360 mill. kroner fra kap. 1700, post 22 til DFD på kap. 1515, post 45, jf. omtale på kap. 1515, post 45 under DFD.</w:t>
      </w:r>
    </w:p>
    <w:p w14:paraId="734F3534" w14:textId="77777777" w:rsidR="000A2A2B" w:rsidRPr="007C3060" w:rsidRDefault="000A2A2B" w:rsidP="007C3060">
      <w:pPr>
        <w:pStyle w:val="b-post"/>
      </w:pPr>
      <w:r w:rsidRPr="007C3060">
        <w:t>Post 43 Til disposisjon for Forsvarsdepartementet, kan overføres</w:t>
      </w:r>
    </w:p>
    <w:p w14:paraId="40B8F58A" w14:textId="77777777" w:rsidR="000A2A2B" w:rsidRPr="007C3060" w:rsidRDefault="000A2A2B" w:rsidP="007C3060">
      <w:r w:rsidRPr="007C3060">
        <w:t>Bevilgningen dekker uforutsette utgifter som trenger rask avklaring. Det foreslås å redusere bevilgningen på posten med 1,5 mill. kroner mot en tilsvarende økning som omtalt på kap. 1700, post 71.</w:t>
      </w:r>
    </w:p>
    <w:p w14:paraId="12B08D78" w14:textId="77777777" w:rsidR="000A2A2B" w:rsidRPr="007C3060" w:rsidRDefault="000A2A2B" w:rsidP="007C3060">
      <w:pPr>
        <w:pStyle w:val="b-post"/>
      </w:pPr>
      <w:r w:rsidRPr="007C3060">
        <w:t>Post 71 Overføringer til andre, kan overføres</w:t>
      </w:r>
    </w:p>
    <w:p w14:paraId="1A30025F" w14:textId="77777777" w:rsidR="000A2A2B" w:rsidRPr="007C3060" w:rsidRDefault="000A2A2B" w:rsidP="007C3060">
      <w:r w:rsidRPr="007C3060">
        <w:t>Det foreslås å øke bevilgningen på posten med 1,7 mill. kroner for å gi tilskudd til Frigjøringskonvoien 2025 som er en begivenhet som skal feire 80-årsjubileet for frigjøringen av Norge, samt en mindre økning av utgiftene til forvaltningen av NATO Innovasjonsfond.</w:t>
      </w:r>
    </w:p>
    <w:p w14:paraId="3ED7BED1" w14:textId="77777777" w:rsidR="000A2A2B" w:rsidRPr="007C3060" w:rsidRDefault="000A2A2B" w:rsidP="007C3060">
      <w:pPr>
        <w:pStyle w:val="b-post"/>
      </w:pPr>
      <w:r w:rsidRPr="007C3060">
        <w:t>Post 73 Forskning og utvikling, kan overføres</w:t>
      </w:r>
    </w:p>
    <w:p w14:paraId="75C03CA0" w14:textId="77777777" w:rsidR="000A2A2B" w:rsidRPr="007C3060" w:rsidRDefault="000A2A2B" w:rsidP="007C3060">
      <w:r w:rsidRPr="007C3060">
        <w:t>Det foreslås å øke bevilgningen på posten med 3,8 mill. kroner til tilskuddsordningen for forskning og utvikling innen sikkerhetspolitikk, mot en tilsvarende reduksjon på kap. 1720, post 01.</w:t>
      </w:r>
    </w:p>
    <w:p w14:paraId="6AE2CB1F" w14:textId="77777777" w:rsidR="000A2A2B" w:rsidRPr="007C3060" w:rsidRDefault="000A2A2B" w:rsidP="007C3060">
      <w:pPr>
        <w:pStyle w:val="b-post"/>
      </w:pPr>
      <w:r w:rsidRPr="007C3060">
        <w:t>Post 78 Norges tilskudd til NATOs og internasjonale driftsbudsjetter, kan overføres</w:t>
      </w:r>
    </w:p>
    <w:p w14:paraId="19974DFD" w14:textId="77777777" w:rsidR="000A2A2B" w:rsidRPr="007C3060" w:rsidRDefault="000A2A2B" w:rsidP="007C3060">
      <w:r w:rsidRPr="007C3060">
        <w:t>Det foreslås å redusere bevilgningen på posten med 117 mill. kroner mot en tilsvarende økning som omtalt på kap. 1760, post 45. Videre foreslås det å redusere bevilgningen med 1,6 mill. kroner mot en tilsvarende økning som omtalt på kap. 1700, post 01.</w:t>
      </w:r>
    </w:p>
    <w:p w14:paraId="5C97A1C6" w14:textId="77777777" w:rsidR="000A2A2B" w:rsidRPr="007C3060" w:rsidRDefault="000A2A2B" w:rsidP="007C3060">
      <w:r w:rsidRPr="007C3060">
        <w:t>Samlet foreslås det å redusere bevilgningen på posten med 118,6 mill. kroner.</w:t>
      </w:r>
    </w:p>
    <w:p w14:paraId="402611FB" w14:textId="77777777" w:rsidR="000A2A2B" w:rsidRPr="007C3060" w:rsidRDefault="000A2A2B" w:rsidP="007C3060">
      <w:pPr>
        <w:pStyle w:val="avsnitt-undertittel"/>
      </w:pPr>
      <w:r w:rsidRPr="007C3060">
        <w:t>Økt tilsagnsfullmakt</w:t>
      </w:r>
    </w:p>
    <w:p w14:paraId="0F8C96FD" w14:textId="77777777" w:rsidR="000A2A2B" w:rsidRPr="007C3060" w:rsidRDefault="000A2A2B" w:rsidP="007C3060">
      <w:r w:rsidRPr="007C3060">
        <w:t>Norges tilskudd til NATOs og internasjonale driftsbudsjetter ligger an til å øke fremover. I tillegg inngås avtalene i fremmed valuta og er gjenstand for svingninger. Det foreslås derfor å øke tilsagnsfullmakten på kap. 1700 post 78 fra 120 til 155 mill. kroner.</w:t>
      </w:r>
    </w:p>
    <w:p w14:paraId="1F89225B" w14:textId="77777777" w:rsidR="000A2A2B" w:rsidRPr="007C3060" w:rsidRDefault="000A2A2B" w:rsidP="007C3060">
      <w:pPr>
        <w:pStyle w:val="b-post"/>
      </w:pPr>
      <w:r w:rsidRPr="007C3060">
        <w:t>Post 79 Militær støtte til Ukraina, kan overføres, kan nyttes under kap. 1710, post 1 og 47, kap. 1720, post 1 og kap. 1760, post 1 og 45</w:t>
      </w:r>
    </w:p>
    <w:p w14:paraId="6AF7CA9B" w14:textId="77777777" w:rsidR="000A2A2B" w:rsidRPr="007C3060" w:rsidRDefault="000A2A2B" w:rsidP="007C3060">
      <w:r w:rsidRPr="007C3060">
        <w:t>Posten omfatter den militære støtten til Ukraina i Nansen-programmet.</w:t>
      </w:r>
    </w:p>
    <w:p w14:paraId="3F249C70" w14:textId="77777777" w:rsidR="000A2A2B" w:rsidRPr="007C3060" w:rsidRDefault="000A2A2B" w:rsidP="007C3060">
      <w:pPr>
        <w:pStyle w:val="avsnitt-undertittel"/>
      </w:pPr>
      <w:r w:rsidRPr="007C3060">
        <w:lastRenderedPageBreak/>
        <w:t>Fratrekk som følge av donasjoner fra forsvarssektoren</w:t>
      </w:r>
    </w:p>
    <w:p w14:paraId="7A923F8A" w14:textId="77777777" w:rsidR="000A2A2B" w:rsidRPr="007C3060" w:rsidRDefault="000A2A2B" w:rsidP="007C3060">
      <w:r w:rsidRPr="007C3060">
        <w:t xml:space="preserve">Det foreslås å redusere bevilgningen med 4 090,4 mill. kroner som følge av donasjoner fra forsvarssektoren i 2025. Donasjoner inngår i den samlede rammen for Nansen-støtten, men trekkes fra bevilgningsbehovet. I Saldert budsjett 2025 la regjeringen til grunn en ambisjon om å donere materiell fra forsvarssektoren til en verdi av minimum 2 mrd. kroner, og det ble derfor lagt til grunn et bevilgningsfratrekk på 2 mrd. kroner i påvente av donasjoner i løpet av året. I tråd med omtalen i </w:t>
      </w:r>
      <w:proofErr w:type="spellStart"/>
      <w:r w:rsidRPr="007C3060">
        <w:t>Prop</w:t>
      </w:r>
      <w:proofErr w:type="spellEnd"/>
      <w:r w:rsidRPr="007C3060">
        <w:t xml:space="preserve">. 107 S (2024–2025) legger regjeringen opp til at Norge skal bidra til oppbyggingen av en skalerbar ukrainsk styrke på størrelse med en brigade i samarbeid med de andre nordiske og baltiske landene. En vesentlig del av Norges bidrag til brigaden vil være donasjoner av mekanisk materiell og mineryddingssystemer til en samlet verdi av 5 755 mill. kroner. I tillegg er det så langt i 2025 donert materiell for om lag 175 mill. kroner gjennom den maritime koalisjonen og donert materiell som ikke skal </w:t>
      </w:r>
      <w:proofErr w:type="spellStart"/>
      <w:r w:rsidRPr="007C3060">
        <w:t>gjenanskaffes</w:t>
      </w:r>
      <w:proofErr w:type="spellEnd"/>
      <w:r w:rsidRPr="007C3060">
        <w:t xml:space="preserve"> til en verdi av 160 mill. kroner. Dette innebærer et samlet fratrekk for donasjoner i 2025 på 6 090,4 mill. kroner, hvorav 5 913 mill. kroner gjelder materiell som skal </w:t>
      </w:r>
      <w:proofErr w:type="spellStart"/>
      <w:r w:rsidRPr="007C3060">
        <w:t>gjenanskaffes</w:t>
      </w:r>
      <w:proofErr w:type="spellEnd"/>
      <w:r w:rsidRPr="007C3060">
        <w:t xml:space="preserve"> i kommende år. Sett i sammenheng med nedtrekket som allerede er tatt høyde for i Saldert budsjett 2025 på 2 mrd. kroner blir nedtrekket 4 090,4 mill. kroner i regjeringens forslag til revidert budsjett.</w:t>
      </w:r>
    </w:p>
    <w:p w14:paraId="579C7C94" w14:textId="77777777" w:rsidR="000A2A2B" w:rsidRPr="007C3060" w:rsidRDefault="000A2A2B" w:rsidP="007C3060">
      <w:pPr>
        <w:pStyle w:val="avsnitt-undertittel"/>
      </w:pPr>
      <w:r w:rsidRPr="007C3060">
        <w:t>Forsvarets militære støtte til Ukraina</w:t>
      </w:r>
    </w:p>
    <w:p w14:paraId="296425E4" w14:textId="77777777" w:rsidR="000A2A2B" w:rsidRPr="007C3060" w:rsidRDefault="000A2A2B" w:rsidP="007C3060">
      <w:r w:rsidRPr="007C3060">
        <w:t xml:space="preserve">Det foreslås å redusere bevilgningen med 780,1 mill. kroner mot en tilsvarende økning på kap. 1720, post 01. Midlene er blant annet knyttet til understøttelse av allerede donert norsk materiell, tiltak gjennom den maritime kapabilitetskoalisjonen, økte administrative utgifter i Forsvaret knyttet til forvaltning av Ukraina-støtten, utgifter til Norges bidrag i NATO Security </w:t>
      </w:r>
      <w:proofErr w:type="spellStart"/>
      <w:r w:rsidRPr="007C3060">
        <w:t>Assistance</w:t>
      </w:r>
      <w:proofErr w:type="spellEnd"/>
      <w:r w:rsidRPr="007C3060">
        <w:t xml:space="preserve"> and Training for </w:t>
      </w:r>
      <w:proofErr w:type="spellStart"/>
      <w:r w:rsidRPr="007C3060">
        <w:t>Ukraine</w:t>
      </w:r>
      <w:proofErr w:type="spellEnd"/>
      <w:r w:rsidRPr="007C3060">
        <w:t>, tiltak for læring og operativ utvikling knyttet til den militære støtten i Nansen-programmet, og istandsetting av materiell for donasjon.</w:t>
      </w:r>
    </w:p>
    <w:p w14:paraId="020E536E" w14:textId="77777777" w:rsidR="000A2A2B" w:rsidRPr="007C3060" w:rsidRDefault="000A2A2B" w:rsidP="007C3060">
      <w:pPr>
        <w:pStyle w:val="avsnitt-undertittel"/>
      </w:pPr>
      <w:r w:rsidRPr="007C3060">
        <w:t>Øvrige saker</w:t>
      </w:r>
    </w:p>
    <w:p w14:paraId="7AA34DE4" w14:textId="77777777" w:rsidR="000A2A2B" w:rsidRPr="007C3060" w:rsidRDefault="000A2A2B" w:rsidP="007C3060">
      <w:r w:rsidRPr="007C3060">
        <w:t>Det foreslås å redusere bevilgningen med 2 728 mill. kroner mot en tilsvarende økning på kap. 1760, post 45. Midlene skal blant annet nyttes til anskaffelser av militært materiell for donasjon, donasjoner gjennom den maritime kapabilitets-koalisjonen, innovasjonsprosjekter og utgifter til læring og utvikling knyttet til den militære støtten i Nansen-programmet. Det foreslås også å øke bevilgningen for håndtering av prisutvikling i gjenanskaffelsesprosjekter med 13,6 mill. kroner mot en tilvarende reduksjon som omtalt på kap. 1760, post 45.</w:t>
      </w:r>
    </w:p>
    <w:p w14:paraId="65F0271A" w14:textId="77777777" w:rsidR="000A2A2B" w:rsidRPr="007C3060" w:rsidRDefault="000A2A2B" w:rsidP="007C3060">
      <w:r w:rsidRPr="007C3060">
        <w:t>Det foreslås å redusere bevilgningen med 23,8 mill. kroner mot en tilsvarende økning på kap. 1760, post 01. Midlene skal nyttes til å styrke Forsvarsmateriells arbeid med oppfølging av donasjoner og annen militær støtte til Ukraina.</w:t>
      </w:r>
    </w:p>
    <w:p w14:paraId="49190A5A" w14:textId="77777777" w:rsidR="000A2A2B" w:rsidRPr="007C3060" w:rsidRDefault="000A2A2B" w:rsidP="007C3060">
      <w:r w:rsidRPr="007C3060">
        <w:t>Det foreslås å redusere bevilgningen på posten med 14,5 mill. kroner mot en tilvarende økning på kap. 1700, post 01, knyttet til Norges forsvarsattacheer i Kyiv og administrative utgifter til Forsvarsdepartementets Ukraina-arbeid.</w:t>
      </w:r>
    </w:p>
    <w:p w14:paraId="60AF0CD7" w14:textId="77777777" w:rsidR="000A2A2B" w:rsidRPr="007C3060" w:rsidRDefault="000A2A2B" w:rsidP="007C3060">
      <w:r w:rsidRPr="007C3060">
        <w:t>Samlet foreslås det å redusere bevilgningen på posten med 7 623,2 mill. kroner.</w:t>
      </w:r>
    </w:p>
    <w:p w14:paraId="368C6E65" w14:textId="77777777" w:rsidR="000A2A2B" w:rsidRPr="007C3060" w:rsidRDefault="000A2A2B" w:rsidP="007C3060">
      <w:pPr>
        <w:pStyle w:val="b-budkaptit"/>
      </w:pPr>
      <w:r w:rsidRPr="007C3060">
        <w:lastRenderedPageBreak/>
        <w:t>Kap. 4700 Forsvarsdepartementet</w:t>
      </w:r>
    </w:p>
    <w:p w14:paraId="4473EDCF" w14:textId="77777777" w:rsidR="000A2A2B" w:rsidRPr="007C3060" w:rsidRDefault="000A2A2B" w:rsidP="007C3060">
      <w:pPr>
        <w:pStyle w:val="b-post"/>
      </w:pPr>
      <w:r w:rsidRPr="007C3060">
        <w:t>Post 1 Driftsinntekter</w:t>
      </w:r>
    </w:p>
    <w:p w14:paraId="2E77053A" w14:textId="77777777" w:rsidR="000A2A2B" w:rsidRPr="007C3060" w:rsidRDefault="000A2A2B" w:rsidP="007C3060">
      <w:r w:rsidRPr="007C3060">
        <w:t>Det foreslås å øke bevilgningen på posten med 1,3 mill. kroner knyttet til salg av tjenester fra Forsvarsdepartementets internrevisjonsavdeling til Forsvarshistorisk museum.</w:t>
      </w:r>
    </w:p>
    <w:p w14:paraId="2710528C" w14:textId="77777777" w:rsidR="000A2A2B" w:rsidRPr="007C3060" w:rsidRDefault="000A2A2B" w:rsidP="007C3060">
      <w:pPr>
        <w:pStyle w:val="b-post"/>
      </w:pPr>
      <w:r w:rsidRPr="007C3060">
        <w:t>Post 85 (Ny) Aksjeutbytte</w:t>
      </w:r>
    </w:p>
    <w:p w14:paraId="383B7B7C" w14:textId="77777777" w:rsidR="000A2A2B" w:rsidRPr="007C3060" w:rsidRDefault="000A2A2B" w:rsidP="007C3060">
      <w:r w:rsidRPr="007C3060">
        <w:t>Det foreslås en bevilgning på 15 mill. kroner knyttet til forventet utbetaling av aksjeutbytte fra Rygge 1 AS i 2025.</w:t>
      </w:r>
    </w:p>
    <w:p w14:paraId="5CFD077B" w14:textId="77777777" w:rsidR="000A2A2B" w:rsidRPr="007C3060" w:rsidRDefault="000A2A2B" w:rsidP="007C3060">
      <w:pPr>
        <w:pStyle w:val="b-budkaptit"/>
      </w:pPr>
      <w:r w:rsidRPr="007C3060">
        <w:t>Kap. 1710 Forsvarsbygg og nybygg og nyanlegg</w:t>
      </w:r>
    </w:p>
    <w:p w14:paraId="7214E5CD" w14:textId="77777777" w:rsidR="000A2A2B" w:rsidRPr="007C3060" w:rsidRDefault="000A2A2B" w:rsidP="007C3060">
      <w:pPr>
        <w:pStyle w:val="b-post"/>
      </w:pPr>
      <w:r w:rsidRPr="007C3060">
        <w:t>Post 1 Driftsutgifter, kan overføres</w:t>
      </w:r>
    </w:p>
    <w:p w14:paraId="26C0EDCC" w14:textId="77777777" w:rsidR="000A2A2B" w:rsidRPr="007C3060" w:rsidRDefault="000A2A2B" w:rsidP="007C3060">
      <w:r w:rsidRPr="007C3060">
        <w:t>Bevilgningen omfatter utgifter knyttet til forvaltning, drift, vedlikehold, utskiftninger og utvikling av forsvarssektorens eiendom, bygg og anlegg.</w:t>
      </w:r>
    </w:p>
    <w:p w14:paraId="526F7C8E" w14:textId="77777777" w:rsidR="000A2A2B" w:rsidRPr="007C3060" w:rsidRDefault="000A2A2B" w:rsidP="007C3060">
      <w:r w:rsidRPr="007C3060">
        <w:t>I saldert budsjett for 2025 det satt av 59 mill. kroner til prosjekt for sikker teknisk infrastruktur. Regjeringen foreslår å øke bevilgningen med 492,2 mill. kroner.</w:t>
      </w:r>
    </w:p>
    <w:p w14:paraId="1A0A3E70" w14:textId="77777777" w:rsidR="000A2A2B" w:rsidRPr="007C3060" w:rsidRDefault="000A2A2B" w:rsidP="007C3060">
      <w:r w:rsidRPr="007C3060">
        <w:t>Sikker teknisk infrastruktur er et anlegg som skal støtte statens evne til å håndtere kriser og uønskede hendelser. Prosjektet var opprinnelig planlagt ferdigstilt 1. juli 2024, med en kostnadsramme på 2 177,7 mill. kroner, i prisnivå per 1. juli 2024. Kostnadsrammen ble økt i desember 2024, til 2 445 mill. kroner i prisnivå per 1. juli 2025. Bakgrunnen for økningen var forsinkelser i prosjektet.</w:t>
      </w:r>
    </w:p>
    <w:p w14:paraId="160A02EA" w14:textId="77777777" w:rsidR="000A2A2B" w:rsidRPr="007C3060" w:rsidRDefault="000A2A2B" w:rsidP="007C3060">
      <w:r w:rsidRPr="007C3060">
        <w:t xml:space="preserve">Prosjektet er nå ytterligere forsinket, og forventes ferdigstilt mot slutten av 2025. Forsinkelsen innebærer økte kostnader. Prosjektet har nylig gjennomgått ekstern kvalitetssikring. I tråd med anbefalingene fra ekstern </w:t>
      </w:r>
      <w:proofErr w:type="spellStart"/>
      <w:r w:rsidRPr="007C3060">
        <w:t>kvalitetssikrer</w:t>
      </w:r>
      <w:proofErr w:type="spellEnd"/>
      <w:r w:rsidRPr="007C3060">
        <w:t xml:space="preserve"> foreslår regjeringen en kostnadsramme på 3 194 mill. kroner, i prisnivå per 1. juli 2025, jf. forslag til romertallsvedtak.</w:t>
      </w:r>
    </w:p>
    <w:p w14:paraId="191E95A4" w14:textId="77777777" w:rsidR="000A2A2B" w:rsidRPr="007C3060" w:rsidRDefault="000A2A2B" w:rsidP="007C3060">
      <w:r w:rsidRPr="007C3060">
        <w:t>Det foreslås å øke bevilgningen på posten med 224,3 mill. kroner, som gjelder endringer i husleie, mot en tilsvarende økning som omtalt på kap. 4710, post 01.</w:t>
      </w:r>
    </w:p>
    <w:p w14:paraId="455F64C2" w14:textId="77777777" w:rsidR="000A2A2B" w:rsidRPr="007C3060" w:rsidRDefault="000A2A2B" w:rsidP="007C3060">
      <w:r w:rsidRPr="007C3060">
        <w:t>I Saldert budsjett 2025 er det satt av midler til et gradert konsept for regjeringens innsats i krise og krig. Bevilgningen foreslås redusert med totalt 51,6 mill. kroner knyttet til en rammeoverføring til Justis- og beredskapsdepartementets budsjett på kap. 451 post 45 (43 mill. kroner), og kap. 451 post 01 (2 mill. kroner) samt en reduksjon på 5,5 mill. kroner mot en tilsvarende økning på kap. 1740, post 01 og en reduksjon på 1,1 mill. kroner mot en tilsvarende økning på 1720, post 01.</w:t>
      </w:r>
    </w:p>
    <w:p w14:paraId="77A93872" w14:textId="77777777" w:rsidR="000A2A2B" w:rsidRPr="007C3060" w:rsidRDefault="000A2A2B" w:rsidP="007C3060">
      <w:r w:rsidRPr="007C3060">
        <w:t>Det foreslås å redusere bevilgningen med 30,9 mill. kroner mot en tilsvarende økning som omtalt på kap. 1720 post 01.</w:t>
      </w:r>
    </w:p>
    <w:p w14:paraId="31E762AE" w14:textId="77777777" w:rsidR="000A2A2B" w:rsidRPr="007C3060" w:rsidRDefault="000A2A2B" w:rsidP="007C3060">
      <w:r w:rsidRPr="007C3060">
        <w:t>Det foreslås å redusere bevilgningen med 13 mill. kroner mot en tilsvarende økning som omtalt på kap. 1720, post 01.</w:t>
      </w:r>
    </w:p>
    <w:p w14:paraId="14C16B08" w14:textId="77777777" w:rsidR="000A2A2B" w:rsidRPr="007C3060" w:rsidRDefault="000A2A2B" w:rsidP="007C3060">
      <w:r w:rsidRPr="007C3060">
        <w:t>Samlet foreslås det å øke bevilgningen på posten med 621 mill. kroner.</w:t>
      </w:r>
    </w:p>
    <w:p w14:paraId="5B33BFC3" w14:textId="77777777" w:rsidR="000A2A2B" w:rsidRPr="007C3060" w:rsidRDefault="000A2A2B" w:rsidP="007C3060">
      <w:pPr>
        <w:pStyle w:val="avsnitt-undertittel"/>
      </w:pPr>
      <w:r w:rsidRPr="007C3060">
        <w:lastRenderedPageBreak/>
        <w:t>Ny bestillingsfullmakt</w:t>
      </w:r>
    </w:p>
    <w:p w14:paraId="6B507BF8" w14:textId="77777777" w:rsidR="000A2A2B" w:rsidRPr="007C3060" w:rsidRDefault="000A2A2B" w:rsidP="007C3060">
      <w:r w:rsidRPr="007C3060">
        <w:t>Det foreslås å opprette en bestillingsfullmakt tilknyttet posten slik at Forsvarsbygg kan inngå forpliktelser for senere budsjettår til vedlikeholdsprosjekter. Det foreslås totalt 500 mill. kroner i bestillingsfullmakt for å inngå innkjøpsavtaler og kontrakter før produksjonsstart. Dette vil legge til rette for effektiv produksjon første kvartal i 2026.</w:t>
      </w:r>
    </w:p>
    <w:p w14:paraId="09B0DB06" w14:textId="08DAA3FB" w:rsidR="000A2A2B" w:rsidRPr="007C3060" w:rsidRDefault="000A2A2B" w:rsidP="007C3060">
      <w:pPr>
        <w:pStyle w:val="b-post"/>
      </w:pPr>
      <w:r w:rsidRPr="007C3060">
        <w:t>Post 47 Nybygg og nyanlegg, kan overføres, kan nyttes under kap. 1760, post 45</w:t>
      </w:r>
    </w:p>
    <w:p w14:paraId="60CF2774" w14:textId="77777777" w:rsidR="000A2A2B" w:rsidRPr="007C3060" w:rsidRDefault="000A2A2B" w:rsidP="007C3060">
      <w:r w:rsidRPr="007C3060">
        <w:t>Regjeringen har fattet beslutning om å etablere NATOs tredje luftoperasjonssenter (CAOC). Endelig lokalisering av operasjonssenteret er ikke avgjort, men uavhengig av endelig lokalisering vil regjeringen etablere en midlertidig CAOC inne på Bodø lufthavn. For å realisere midlertidig CAOC må arealer kjøpes tilbake fra Avinor og ett bygg må erverves. Videre vil Forsvarsbygg klargjøre lokalene og starte prosjekteringsarbeidet for endelig lokalisering. Det foreslås å øke bevilgningen på posten med 318 mill. kroner knyttet til tiltaket.</w:t>
      </w:r>
    </w:p>
    <w:p w14:paraId="062988C7" w14:textId="77777777" w:rsidR="000A2A2B" w:rsidRPr="007C3060" w:rsidRDefault="000A2A2B" w:rsidP="007C3060">
      <w:r w:rsidRPr="007C3060">
        <w:t>Regjeringen foreslår å øke bevilgningen med 50 mill. kroner til å gjennomføre investeringer i personellrelatert eiendom, bygg og anlegg raskere enn det som var planlagt i langtidsplanen.</w:t>
      </w:r>
    </w:p>
    <w:p w14:paraId="0270E289" w14:textId="77777777" w:rsidR="000A2A2B" w:rsidRPr="007C3060" w:rsidRDefault="000A2A2B" w:rsidP="007C3060">
      <w:r w:rsidRPr="007C3060">
        <w:t>Samlet foreslås det å øke bevilgningen på posten med 368 mill. kroner.</w:t>
      </w:r>
    </w:p>
    <w:p w14:paraId="3FAF43A3" w14:textId="77777777" w:rsidR="000A2A2B" w:rsidRPr="007C3060" w:rsidRDefault="000A2A2B" w:rsidP="007C3060">
      <w:r w:rsidRPr="007C3060">
        <w:t>Det er en tett sammenheng i langtidsplanen mellom investeringer i materiell og i eiendom, bygg og anlegg. Regjeringen foreslår at kap. 1710, post 47, tilføyes stikkordet «kan nyttes under kap. 1760, post 45» og at kap. 1760, post 45 tilføyes stikkordet «kan nyttes under kap. 1710, post 47». Det vil bidra til at bevilgningen til disse formålene kan ses mer helhetlig for å kunne tilpasse seg endrede forutsetninger og fremdrift for prosjekter gjennom budsjettåret.</w:t>
      </w:r>
    </w:p>
    <w:p w14:paraId="41C2A1F4" w14:textId="77777777" w:rsidR="000A2A2B" w:rsidRPr="007C3060" w:rsidRDefault="000A2A2B" w:rsidP="007C3060">
      <w:pPr>
        <w:pStyle w:val="avsnitt-undertittel"/>
      </w:pPr>
      <w:r w:rsidRPr="007C3060">
        <w:t>Ny bestillingsfullmakt</w:t>
      </w:r>
    </w:p>
    <w:p w14:paraId="62CBE109" w14:textId="77777777" w:rsidR="000A2A2B" w:rsidRPr="007C3060" w:rsidRDefault="000A2A2B" w:rsidP="007C3060">
      <w:r w:rsidRPr="007C3060">
        <w:t>Det foreslås å opprette en bestillingsfullmakt tilknyttet posten for å dekke kontraktsforpliktelser med utbetaling i senere budsjettår, for prosjekter som ikke har fått en kostnadsramme fra Stortinget. Frem til nå har flerårige forpliktelser for vedlikehold/prosjekter der det ikke foreligger en kostnadsramme fra Stortinget vært håndtert gjennom enten å inngå kontrakter kun for budsjettåret eller at produksjon for senere år er dekket gjennom opsjoner i inngåtte avtaler.</w:t>
      </w:r>
    </w:p>
    <w:p w14:paraId="4284F67A" w14:textId="77777777" w:rsidR="000A2A2B" w:rsidRPr="007C3060" w:rsidRDefault="000A2A2B" w:rsidP="007C3060">
      <w:r w:rsidRPr="007C3060">
        <w:t>På bakgrunn av dette foreslår regjeringen en bestillingsfullmakt på 6,1 mrd. kroner på posten. Beregningene er basert på estimater fra Forsvarsbygg med utgangspunkt i gjeldende kunnskap om fremdriften og den eksisterende produksjonsplanen.</w:t>
      </w:r>
    </w:p>
    <w:p w14:paraId="01F088DB" w14:textId="77777777" w:rsidR="000A2A2B" w:rsidRPr="007C3060" w:rsidRDefault="000A2A2B" w:rsidP="007C3060">
      <w:pPr>
        <w:pStyle w:val="b-budkaptit"/>
      </w:pPr>
      <w:r w:rsidRPr="007C3060">
        <w:t>Kap. 4710 Forsvarsbygg og nybygg og nyanlegg</w:t>
      </w:r>
    </w:p>
    <w:p w14:paraId="03BEE792" w14:textId="77777777" w:rsidR="000A2A2B" w:rsidRPr="007C3060" w:rsidRDefault="000A2A2B" w:rsidP="007C3060">
      <w:pPr>
        <w:pStyle w:val="b-post"/>
      </w:pPr>
      <w:r w:rsidRPr="007C3060">
        <w:t>Post 1 Driftsinntekter</w:t>
      </w:r>
    </w:p>
    <w:p w14:paraId="4DC66D62" w14:textId="77777777" w:rsidR="000A2A2B" w:rsidRPr="007C3060" w:rsidRDefault="000A2A2B" w:rsidP="007C3060">
      <w:r w:rsidRPr="007C3060">
        <w:t>Regjeringen foreslår å øke bevilgningen på posten med 224,3 mill. kroner som følge av endring i leieforhold, arealendring og økning i innleide objekter. Endringen gir tilsvarende økte utgifter for Forsvarsbygg, jf. omtale på kap. 1710, post 01.</w:t>
      </w:r>
    </w:p>
    <w:p w14:paraId="505F32EA" w14:textId="77777777" w:rsidR="000A2A2B" w:rsidRPr="007C3060" w:rsidRDefault="000A2A2B" w:rsidP="007C3060">
      <w:pPr>
        <w:pStyle w:val="b-budkaptit"/>
      </w:pPr>
      <w:r w:rsidRPr="007C3060">
        <w:lastRenderedPageBreak/>
        <w:t>Kap. 1720 Forsvaret</w:t>
      </w:r>
    </w:p>
    <w:p w14:paraId="6F312242" w14:textId="77777777" w:rsidR="000A2A2B" w:rsidRPr="007C3060" w:rsidRDefault="000A2A2B" w:rsidP="007C3060">
      <w:pPr>
        <w:pStyle w:val="b-post"/>
      </w:pPr>
      <w:r w:rsidRPr="007C3060">
        <w:t>Post 1 Driftsutgifter</w:t>
      </w:r>
    </w:p>
    <w:p w14:paraId="4AFC235B" w14:textId="77777777" w:rsidR="000A2A2B" w:rsidRPr="007C3060" w:rsidRDefault="000A2A2B" w:rsidP="007C3060">
      <w:r w:rsidRPr="007C3060">
        <w:t>Siden budsjettet for 2025 ble lagt frem har noen forutsetninger endret seg. Den sikkerhetspolitiske situasjonen har blant annet ført til økt etterspørsel etter militært materiell og derigjennom økte priser på store deler av de varene og tjenestene som Forsvaret har behov for. Videre fører det økte aktivitetsnivået i Forsvaret de senere årene til økt behov for vedlikehold for å kunne opprettholde beredskapsevnen, spesielt for aldrende systemer som er planlagt erstattet i langtidsplanen. I tillegg har en økning i alliert aktivitet i Norge i 2025 ført til et større behov for styrkebeskyttelse under aktivitetene. For å legge til rette for at Forsvaret kan opprettholde planlagt aktivitet og beredskap i 2025 i lys av den sikkerhetspolitiske utviklingen, foreslår regjeringen å øke bevilgningen på posten med 2 346,7 mill. kroner.</w:t>
      </w:r>
    </w:p>
    <w:p w14:paraId="45E52AC2" w14:textId="77777777" w:rsidR="000A2A2B" w:rsidRPr="007C3060" w:rsidRDefault="000A2A2B" w:rsidP="007C3060">
      <w:r w:rsidRPr="007C3060">
        <w:t>Det foreslås å øke bevilgningen med 780,1 mill. kroner knyttet til den militære støtten til Ukraina i Nansen-programmet mot en tilsvarende reduksjon som omtalt på kap. 1700, post 79.</w:t>
      </w:r>
    </w:p>
    <w:p w14:paraId="03A62002" w14:textId="77777777" w:rsidR="000A2A2B" w:rsidRPr="007C3060" w:rsidRDefault="000A2A2B" w:rsidP="007C3060">
      <w:r w:rsidRPr="007C3060">
        <w:t>Det vises til omtale under kap. 1710, post 47. I Forsvaret er det behov for å etablere et datarom, med tilhørende IKT, for en midlertidig tilrettelegging av NATOs luftoperasjonssenter (CAOC). Det foreslås derfor å øke bevilgningen med 120 mill. kroner.</w:t>
      </w:r>
    </w:p>
    <w:p w14:paraId="1726A3CD" w14:textId="77777777" w:rsidR="000A2A2B" w:rsidRPr="007C3060" w:rsidRDefault="000A2A2B" w:rsidP="007C3060">
      <w:r w:rsidRPr="007C3060">
        <w:t xml:space="preserve">Langtidsplanen for forsvarssektoren legger opp til en oppbemanning på om lag 4 600 flere ansatte frem mot 2036. For å styrke evnen til å planlegge, understøtte og gjennomføre forsvarsløftet frem mot 2036 foreslår regjeringen å forsere oppbemanningen med om lag 65 årsverk i 2025. Dette kommer i tillegg til </w:t>
      </w:r>
      <w:proofErr w:type="spellStart"/>
      <w:r w:rsidRPr="007C3060">
        <w:t>personelløkningen</w:t>
      </w:r>
      <w:proofErr w:type="spellEnd"/>
      <w:r w:rsidRPr="007C3060">
        <w:t xml:space="preserve"> for 2025 som langtidsplanen legger opp til, og muliggjør en personelloppbygning på om lag 360 årsverk totalt i 2025. Det foreslås derfor å øke bevilgningen med 80 mill. kroner.</w:t>
      </w:r>
    </w:p>
    <w:p w14:paraId="4066B65B" w14:textId="77777777" w:rsidR="000A2A2B" w:rsidRPr="007C3060" w:rsidRDefault="000A2A2B" w:rsidP="007C3060">
      <w:r w:rsidRPr="007C3060">
        <w:t>Det foreslås å øke bevilgningen med 43,2 mill. kroner mot en tilsvarende reduksjon på kap. 1791, post 01, knyttet til håndtering av et merforbruk i Redningshelikoptertjenesten (RHT) i 2024 hvor det ble tilført 41 mill. kroner til RHT fra kap. 4720, post 1, og overføring av en IKT-funksjon (2,2 mill. kroner).</w:t>
      </w:r>
    </w:p>
    <w:p w14:paraId="3F6E9474" w14:textId="77777777" w:rsidR="000A2A2B" w:rsidRPr="007C3060" w:rsidRDefault="000A2A2B" w:rsidP="007C3060">
      <w:r w:rsidRPr="007C3060">
        <w:t>Det foreslås å øke bevilgningen med 39,6 mill. kroner knyttet til endret fordeling av midler til økt vedlikehold av eiendom, bygg og anlegg, mot en tilsvarende reduksjon på kap. 1735, post 21(-27 mill. kroner), kap. 1710, post 01 (-13 mill. kroner) og økning på kap. 1791, post 01 (0,4 mill. -kroner).</w:t>
      </w:r>
    </w:p>
    <w:p w14:paraId="1042065A" w14:textId="77777777" w:rsidR="000A2A2B" w:rsidRPr="007C3060" w:rsidRDefault="000A2A2B" w:rsidP="007C3060">
      <w:r w:rsidRPr="007C3060">
        <w:t>Det foreslås å øke bevilgningen på posten med 30,9 mill. kroner mot en tilsvarende reduksjon på kap. 1710, post 01, for å håndtere at Forsvaret har fått økte utgifter som følge av priskompensasjon i Forsvarsbygg.</w:t>
      </w:r>
    </w:p>
    <w:p w14:paraId="4FFA66DD" w14:textId="77777777" w:rsidR="000A2A2B" w:rsidRPr="007C3060" w:rsidRDefault="000A2A2B" w:rsidP="007C3060">
      <w:r w:rsidRPr="007C3060">
        <w:t xml:space="preserve">Det foreslås å øke bevilgningen på posten med 20 mill. kroner mot tilsvarende reduksjon på kap. 1700, post 01, knyttet til deltakelse i NATO Cooperative Cyber </w:t>
      </w:r>
      <w:proofErr w:type="spellStart"/>
      <w:r w:rsidRPr="007C3060">
        <w:t>Defence</w:t>
      </w:r>
      <w:proofErr w:type="spellEnd"/>
      <w:r w:rsidRPr="007C3060">
        <w:t xml:space="preserve"> Centre </w:t>
      </w:r>
      <w:proofErr w:type="spellStart"/>
      <w:r w:rsidRPr="007C3060">
        <w:t>of</w:t>
      </w:r>
      <w:proofErr w:type="spellEnd"/>
      <w:r w:rsidRPr="007C3060">
        <w:t xml:space="preserve"> </w:t>
      </w:r>
      <w:proofErr w:type="spellStart"/>
      <w:r w:rsidRPr="007C3060">
        <w:t>Excellence</w:t>
      </w:r>
      <w:proofErr w:type="spellEnd"/>
      <w:r w:rsidRPr="007C3060">
        <w:t xml:space="preserve"> i Tallinn (0,8 mill. kroner), overføring av ni årsverk fra Forsvarsdepartementet til Forsvaret i forbindelse med tillitsreformen i forsvarssektoren F24 (11,7 mill. kroner) og Institutt for forsvarsstudiers ivaretakelse av sekretariatsfunksjonen til Afghanistan-utvalget (7,5 mill. kroner).</w:t>
      </w:r>
    </w:p>
    <w:p w14:paraId="544900A7" w14:textId="77777777" w:rsidR="000A2A2B" w:rsidRPr="007C3060" w:rsidRDefault="000A2A2B" w:rsidP="007C3060">
      <w:r w:rsidRPr="007C3060">
        <w:lastRenderedPageBreak/>
        <w:t>Knyttet til interne endringer i Forsvaret foreslås det å øke bevilgningen på posten med 10,4 mill. kroner, mot en tilsvarende reduksjon på kap. 1735, post 21.</w:t>
      </w:r>
    </w:p>
    <w:p w14:paraId="0FAAF4BE" w14:textId="77777777" w:rsidR="000A2A2B" w:rsidRPr="007C3060" w:rsidRDefault="000A2A2B" w:rsidP="007C3060">
      <w:r w:rsidRPr="007C3060">
        <w:t xml:space="preserve">Regjeringen foreslår en økning av bevilgningen på posten på totalt 12,4 mill. kroner, mot en tilsvarende økning på kap. 4720, post 01. Merinntektene og -utgiftene er knyttet til økt ramme for avtale med Kystverket om slepeberedskap (14,4 mill. kroner) og reduserte inntekter fra Joint </w:t>
      </w:r>
      <w:proofErr w:type="spellStart"/>
      <w:r w:rsidRPr="007C3060">
        <w:t>Warfare</w:t>
      </w:r>
      <w:proofErr w:type="spellEnd"/>
      <w:r w:rsidRPr="007C3060">
        <w:t xml:space="preserve"> Center (JWC) grunnet overgang til ny modell der JWC </w:t>
      </w:r>
      <w:proofErr w:type="spellStart"/>
      <w:r w:rsidRPr="007C3060">
        <w:t>direktefakturerer</w:t>
      </w:r>
      <w:proofErr w:type="spellEnd"/>
      <w:r w:rsidRPr="007C3060">
        <w:t xml:space="preserve"> Forsvarsbygg (-2 mill. kroner).</w:t>
      </w:r>
    </w:p>
    <w:p w14:paraId="2C7BC9FB" w14:textId="77777777" w:rsidR="000A2A2B" w:rsidRPr="007C3060" w:rsidRDefault="000A2A2B" w:rsidP="007C3060">
      <w:r w:rsidRPr="007C3060">
        <w:t xml:space="preserve">Det foreslås å redusere bevilgningen med 7,5 mill. kroner mot en tilsvarende utgiftsøkning på kap. 922, post 71. Endringen er knyttet til en rammeoverføring til Nærings- og fiskeridepartementet (NFD) for kjøp av satellittdata fra </w:t>
      </w:r>
      <w:proofErr w:type="spellStart"/>
      <w:r w:rsidRPr="007C3060">
        <w:t>Radarsat</w:t>
      </w:r>
      <w:proofErr w:type="spellEnd"/>
      <w:r w:rsidRPr="007C3060">
        <w:t>. Det vises til omtale under kap. 922, post 71, under NFD.</w:t>
      </w:r>
    </w:p>
    <w:p w14:paraId="24007B6D" w14:textId="77777777" w:rsidR="000A2A2B" w:rsidRPr="007C3060" w:rsidRDefault="000A2A2B" w:rsidP="007C3060">
      <w:r w:rsidRPr="007C3060">
        <w:t>Det foreslås å øke bevilgningen med 7,5 mill. kroner mot en tilsvarende reduksjon på Utenriksdepartementets (UD) kap. 140, post 21, knyttet til UDs andel av utgiftene til Afghanistan-utvalget. Det vises til omtale under kap. 140, post 21 under UD.</w:t>
      </w:r>
    </w:p>
    <w:p w14:paraId="418BC4E3" w14:textId="77777777" w:rsidR="000A2A2B" w:rsidRPr="007C3060" w:rsidRDefault="000A2A2B" w:rsidP="007C3060">
      <w:r w:rsidRPr="007C3060">
        <w:t>Det foreslås å øke bevilgningen med 1,1 mill. kroner mot en tilsvarende reduksjon som omtalt på kap. 1710, post 01.</w:t>
      </w:r>
    </w:p>
    <w:p w14:paraId="2A0D0C76" w14:textId="77777777" w:rsidR="000A2A2B" w:rsidRPr="007C3060" w:rsidRDefault="000A2A2B" w:rsidP="007C3060">
      <w:r w:rsidRPr="007C3060">
        <w:t>Regjeringen foreslår å redusere bevilgningen med 3,8 mill. kroner mot en tilsvarende økning som omtalt på kap. 1700, post 73.</w:t>
      </w:r>
    </w:p>
    <w:p w14:paraId="51A3D618" w14:textId="77777777" w:rsidR="000A2A2B" w:rsidRPr="007C3060" w:rsidRDefault="000A2A2B" w:rsidP="007C3060">
      <w:r w:rsidRPr="007C3060">
        <w:t>Det foreslås en reduksjon på til sammen 26,2 mill. kroner mot en tilsvarende økning på kap. 1760, post 01, som følge av at Forsvars-materiell overtar ansvaret for strategiske anskaffelser -(-128,6 mill. kroner) og at Cyberforsvaret overtar enkelte IKT-kapasiteter (102,4 mill. kroner) fra Forsvarsmateriell.</w:t>
      </w:r>
    </w:p>
    <w:p w14:paraId="15593EA6" w14:textId="77777777" w:rsidR="000A2A2B" w:rsidRPr="007C3060" w:rsidRDefault="000A2A2B" w:rsidP="007C3060">
      <w:r w:rsidRPr="007C3060">
        <w:t>Regjeringen foreslår å redusere bevilgningen med 135,4 mill. kroner mot tilsvarende økning på kap. 1760, post 45 knyttet til gevinster for effektivisering (-295,4 mill. kroner), overføring av budsjettmidler til drift av ny satellitt (110 mill. kroner) og militær støtte til Moldova (50 mill. kroner). Støtten dreier seg om materiellstøtte kanalisert gjennom NATO-koordinerte prosjekter, utdanning av moldovsk militært personell og finansiell støtte til sikker infrastruktur.</w:t>
      </w:r>
    </w:p>
    <w:p w14:paraId="1BC5174F" w14:textId="77777777" w:rsidR="000A2A2B" w:rsidRPr="007C3060" w:rsidRDefault="000A2A2B" w:rsidP="007C3060">
      <w:r w:rsidRPr="007C3060">
        <w:t>Samlet foreslås det å øke bevilgningen på posten med 3 319 mill. kroner.</w:t>
      </w:r>
    </w:p>
    <w:p w14:paraId="731C0398" w14:textId="77777777" w:rsidR="000A2A2B" w:rsidRPr="007C3060" w:rsidRDefault="000A2A2B" w:rsidP="007C3060">
      <w:pPr>
        <w:pStyle w:val="avsnitt-undertittel"/>
      </w:pPr>
      <w:r w:rsidRPr="007C3060">
        <w:t>Økt bestillingsfullmakt</w:t>
      </w:r>
    </w:p>
    <w:p w14:paraId="14C2CC84" w14:textId="77777777" w:rsidR="000A2A2B" w:rsidRPr="007C3060" w:rsidRDefault="000A2A2B" w:rsidP="007C3060">
      <w:r w:rsidRPr="007C3060">
        <w:t>Med bakgrunn i økt satsing på å bygge opp beredskapsbeholdninger og forsyningslagre, samt lang ledetid på militært materiell, foreslås det å øke fullmaktene til å inngå forpliktelser som går ut over budsjettåret. I tillegg til dette brukes i større grad direkteanskaffelser fra industrien i forbindelse med støtten til Ukraina som også bidrar til å trekke opp behovet for fremtidige forpliktelser. Regjeringen foreslår derfor en økning av bestillingsfullmakten med 4 mrd. kroner, fra 14 650 mill. kroner til 18 650 mill. kroner.</w:t>
      </w:r>
    </w:p>
    <w:p w14:paraId="102CA5D1" w14:textId="77777777" w:rsidR="000A2A2B" w:rsidRPr="007C3060" w:rsidRDefault="000A2A2B" w:rsidP="007C3060">
      <w:pPr>
        <w:pStyle w:val="b-post"/>
      </w:pPr>
      <w:r w:rsidRPr="007C3060">
        <w:t>Post 71 Overføringer til andre, kan overføres</w:t>
      </w:r>
    </w:p>
    <w:p w14:paraId="1BE20FCE" w14:textId="77777777" w:rsidR="000A2A2B" w:rsidRPr="007C3060" w:rsidRDefault="000A2A2B" w:rsidP="007C3060">
      <w:r w:rsidRPr="007C3060">
        <w:t>Det foreslås å redusere bevilgningen med totalt 2,3 mill. kroner mot en tilsvarende økning som omtalt på kap. 1700, post 01.</w:t>
      </w:r>
    </w:p>
    <w:p w14:paraId="4A85133F" w14:textId="77777777" w:rsidR="000A2A2B" w:rsidRPr="007C3060" w:rsidRDefault="000A2A2B" w:rsidP="007C3060">
      <w:pPr>
        <w:pStyle w:val="b-budkaptit"/>
      </w:pPr>
      <w:r w:rsidRPr="007C3060">
        <w:lastRenderedPageBreak/>
        <w:t>Kap. 4720 Forsvaret</w:t>
      </w:r>
    </w:p>
    <w:p w14:paraId="6E4047AD" w14:textId="77777777" w:rsidR="000A2A2B" w:rsidRPr="007C3060" w:rsidRDefault="000A2A2B" w:rsidP="007C3060">
      <w:pPr>
        <w:pStyle w:val="b-post"/>
      </w:pPr>
      <w:r w:rsidRPr="007C3060">
        <w:t>Post 1 Driftsinntekter</w:t>
      </w:r>
    </w:p>
    <w:p w14:paraId="330AB85A" w14:textId="77777777" w:rsidR="000A2A2B" w:rsidRPr="007C3060" w:rsidRDefault="000A2A2B" w:rsidP="007C3060">
      <w:r w:rsidRPr="007C3060">
        <w:t>Det foreslås å øke bevilgningen på posten med 12,4 mill. kroner mot en tilsvarende økning som omtalt på kap. 1720, post 01.</w:t>
      </w:r>
    </w:p>
    <w:p w14:paraId="3D4F1BF4" w14:textId="77777777" w:rsidR="000A2A2B" w:rsidRPr="007C3060" w:rsidRDefault="000A2A2B" w:rsidP="007C3060">
      <w:pPr>
        <w:pStyle w:val="b-budkaptit"/>
      </w:pPr>
      <w:r w:rsidRPr="007C3060">
        <w:t>Kap. 1735 Etterretningstjenesten</w:t>
      </w:r>
    </w:p>
    <w:p w14:paraId="1EF02F84" w14:textId="77777777" w:rsidR="000A2A2B" w:rsidRPr="007C3060" w:rsidRDefault="000A2A2B" w:rsidP="007C3060">
      <w:pPr>
        <w:pStyle w:val="b-post"/>
      </w:pPr>
      <w:r w:rsidRPr="007C3060">
        <w:t>Post 21 Spesielle driftsutgifter</w:t>
      </w:r>
    </w:p>
    <w:p w14:paraId="7F5BA68D" w14:textId="77777777" w:rsidR="000A2A2B" w:rsidRPr="007C3060" w:rsidRDefault="000A2A2B" w:rsidP="007C3060">
      <w:r w:rsidRPr="007C3060">
        <w:t>Knyttet til fordeling av husleieutgifter foreslås det å redusere bevilgningen med 27 mill. kroner mot en tilsvarende økning på kap. 1720, post 01. Knyttet til interne endringer i Forsvaret foreslås det å redusere bevilgningen med 10,4 mill. kroner mot en tilsvarende økning på kap. 1720, post 01.</w:t>
      </w:r>
    </w:p>
    <w:p w14:paraId="7A1179FD" w14:textId="77777777" w:rsidR="000A2A2B" w:rsidRPr="007C3060" w:rsidRDefault="000A2A2B" w:rsidP="007C3060">
      <w:r w:rsidRPr="007C3060">
        <w:t>I lys av den sikkerhetspolitiske situasjonen foreslår regjeringen å øke bevilgningen til Etterretningstjenesten med 65 mill. kroner. Dette vil øke situasjonsforståelse og inngår i den nødvendige moderniseringen og videreutviklingen av tjenesten. Det dreier seg om å øke tjenestens kapasitet, fornye eksisterende evner og utvikle nye evner. Etterretningstjenesten må fortsatt kunne møte Forsvarets og norske myndigheters behov i en sikkerhetspolitisk virkelighet som er farligere og mer sammensatt enn på mange tiår. Raskt økende datamengder og stor dynamikk både i teknologi og leveransekrav gjør at en digital transformasjon av etterretningsproduksjon og formidling er høyt prioritert. Trusler i det digitale rom utfordrer i stadig større grad Norge og norske interesser.</w:t>
      </w:r>
    </w:p>
    <w:p w14:paraId="0B81C80A" w14:textId="77777777" w:rsidR="000A2A2B" w:rsidRPr="007C3060" w:rsidRDefault="000A2A2B" w:rsidP="007C3060">
      <w:r w:rsidRPr="007C3060">
        <w:t>Samlet foreslås det å øke bevilgningen på posten med 27,6 mill. kroner.</w:t>
      </w:r>
    </w:p>
    <w:p w14:paraId="0CE3D51E" w14:textId="77777777" w:rsidR="000A2A2B" w:rsidRPr="007C3060" w:rsidRDefault="000A2A2B" w:rsidP="007C3060">
      <w:pPr>
        <w:pStyle w:val="b-budkaptit"/>
      </w:pPr>
      <w:r w:rsidRPr="007C3060">
        <w:t>Kap. 1740 Statens graderte plattformtjenester</w:t>
      </w:r>
    </w:p>
    <w:p w14:paraId="1B739D31" w14:textId="77777777" w:rsidR="000A2A2B" w:rsidRPr="007C3060" w:rsidRDefault="000A2A2B" w:rsidP="007C3060">
      <w:pPr>
        <w:pStyle w:val="b-post"/>
      </w:pPr>
      <w:r w:rsidRPr="007C3060">
        <w:t>Post 01 Driftsutgifter, kan overføres, kan nyttes under kap. 1740, post 45</w:t>
      </w:r>
    </w:p>
    <w:p w14:paraId="3D622A9B" w14:textId="77777777" w:rsidR="000A2A2B" w:rsidRPr="007C3060" w:rsidRDefault="000A2A2B" w:rsidP="007C3060">
      <w:r w:rsidRPr="007C3060">
        <w:t>Posten dekker bevilgning til drift av Statens graderte plattformtjenester. Regjeringen foreslår å redusere bevilgningen med 78,9 mill. kroner knyttet til en rammeoverføring til Digitaliserings- og forvaltningsdepartementets kap. 1515, post 45.</w:t>
      </w:r>
    </w:p>
    <w:p w14:paraId="7A0952EC" w14:textId="77777777" w:rsidR="000A2A2B" w:rsidRPr="007C3060" w:rsidRDefault="000A2A2B" w:rsidP="007C3060">
      <w:r w:rsidRPr="007C3060">
        <w:t>Videre foreslås det å øke bevilgningen med 25 mill. kroner for merutgifter knyttet til opprettelse av ny etat. Regjeringen foreslår å øke bevilgningen med 5,5 mill. kroner mot en tilsvarende reduksjon om omtalt på kap. 1710, post 01.</w:t>
      </w:r>
    </w:p>
    <w:p w14:paraId="52BF2709" w14:textId="77777777" w:rsidR="000A2A2B" w:rsidRPr="007C3060" w:rsidRDefault="000A2A2B" w:rsidP="007C3060">
      <w:r w:rsidRPr="007C3060">
        <w:t>Videre foreslås bevilgningen på posten redusert med 40,8 mill. kroner mot en tilsvarende økning som omtalt under kap. 1700 post 01.</w:t>
      </w:r>
    </w:p>
    <w:p w14:paraId="0A49757D" w14:textId="77777777" w:rsidR="000A2A2B" w:rsidRPr="007C3060" w:rsidRDefault="000A2A2B" w:rsidP="007C3060">
      <w:r w:rsidRPr="007C3060">
        <w:t>Regjeringen foreslår å redusere bevilgningen på posten med 21 mill. kroner for midler som opprinnelig var avsatt til leie av nytt datautstyr. Midlene foreslås omdisponert til kap. 1740, post 45 for å bevilgningsfinansiere utstyret, jf. omtale under kap. 1740, post 45. Videre foreslås det å øke bevilgningen med 6 mill. kroner knyttet til rammeoverføring av årsverksutgifter fra Statsministerens kontor kap. 20, post 01.</w:t>
      </w:r>
    </w:p>
    <w:p w14:paraId="3F2D017F" w14:textId="77777777" w:rsidR="000A2A2B" w:rsidRPr="007C3060" w:rsidRDefault="000A2A2B" w:rsidP="007C3060">
      <w:r w:rsidRPr="007C3060">
        <w:lastRenderedPageBreak/>
        <w:t>Samlet foreslås det å redusere bevilgningen på posten med 104,2 mill. kroner.</w:t>
      </w:r>
    </w:p>
    <w:p w14:paraId="3C9F2ABF" w14:textId="77777777" w:rsidR="000A2A2B" w:rsidRPr="007C3060" w:rsidRDefault="000A2A2B" w:rsidP="007C3060">
      <w:r w:rsidRPr="007C3060">
        <w:t>Regjeringen foreslår at kap. 1740, post 01, gis stikkordet «kan nyttes under kap. 1740, post 45» for å ta høyde for endrede utgifter til investeringer.</w:t>
      </w:r>
    </w:p>
    <w:p w14:paraId="4137B169" w14:textId="77777777" w:rsidR="000A2A2B" w:rsidRPr="007C3060" w:rsidRDefault="000A2A2B" w:rsidP="007C3060">
      <w:pPr>
        <w:pStyle w:val="avsnitt-undertittel"/>
      </w:pPr>
      <w:r w:rsidRPr="007C3060">
        <w:t>Økt bestillingsfullmakt</w:t>
      </w:r>
    </w:p>
    <w:p w14:paraId="109DE2B0" w14:textId="77777777" w:rsidR="000A2A2B" w:rsidRPr="007C3060" w:rsidRDefault="000A2A2B" w:rsidP="007C3060">
      <w:r w:rsidRPr="007C3060">
        <w:t>Det vises til forslaget om bevilgningsfinansiering av datautstyr til Statens graderte plattformtjenester på kap. 1740, post 45. Det vil ved utløpet av 2025 gjenstå forpliktelser knyttet til allerede inngåtte avtaler. Det foreslås derfor en bestillingsfullmakt på kap. 1740, post 01, på 90 mill. kroner for forpliktelser knyttet til eksisterende leieavtaler utover budsjettåret.</w:t>
      </w:r>
    </w:p>
    <w:p w14:paraId="140E2FBD" w14:textId="77777777" w:rsidR="000A2A2B" w:rsidRPr="007C3060" w:rsidRDefault="000A2A2B" w:rsidP="007C3060">
      <w:pPr>
        <w:pStyle w:val="b-post"/>
      </w:pPr>
      <w:r w:rsidRPr="007C3060">
        <w:t>Post 45 (Ny) Større utstyrsanskaffelser og vedlikehold, kan overføres</w:t>
      </w:r>
    </w:p>
    <w:p w14:paraId="7F4A292B" w14:textId="77777777" w:rsidR="000A2A2B" w:rsidRPr="007C3060" w:rsidRDefault="000A2A2B" w:rsidP="007C3060">
      <w:r w:rsidRPr="007C3060">
        <w:t>Det har tidligere vært praksis at Forsvarsdepartementet har leid datautstyr til drift av graderte tjenester. Utstyret har ikke blitt levert tilbake til leverandør siden det er blitt benyttet til gradert informasjon. Regjeringen foreslår å bevilgningsfinansiere anskaffelse av datautstyr. Dette vil gi lavere samlede kostnader sammenlignet med å leie utstyret. Statens graderte plattformtjenester skal anskaffe datautstyr for anslagsvis 120 mill. kroner i 2025. Det foreslås at beløpet bevilges på en egen investeringspost som får stikkordet «kan overføres» for å ta høyde for eventuelle periodiseringsendringer for gjennomføring av investeringer. Samlet foreslås det å bevilge 120 mill. kroner på posten.</w:t>
      </w:r>
    </w:p>
    <w:p w14:paraId="5B1A49B6" w14:textId="77777777" w:rsidR="000A2A2B" w:rsidRPr="007C3060" w:rsidRDefault="000A2A2B" w:rsidP="007C3060">
      <w:pPr>
        <w:pStyle w:val="b-budkaptit"/>
      </w:pPr>
      <w:r w:rsidRPr="007C3060">
        <w:t>Kap. 1760 Forsvarsmateriell og større anskaffelser og vedlikehold</w:t>
      </w:r>
    </w:p>
    <w:p w14:paraId="1A8AA4F5" w14:textId="77777777" w:rsidR="000A2A2B" w:rsidRPr="007C3060" w:rsidRDefault="000A2A2B" w:rsidP="007C3060">
      <w:pPr>
        <w:pStyle w:val="b-post"/>
      </w:pPr>
      <w:r w:rsidRPr="007C3060">
        <w:t>Post 01 Driftsutgifter, kan nyttes under kap. 1760, post 45</w:t>
      </w:r>
    </w:p>
    <w:p w14:paraId="53E71CAD" w14:textId="77777777" w:rsidR="000A2A2B" w:rsidRPr="007C3060" w:rsidRDefault="000A2A2B" w:rsidP="007C3060">
      <w:r w:rsidRPr="007C3060">
        <w:t>Posten finansierer driftsutgiftene til etaten Forsvarsmateriell, og dekker gjennomføringsutgifter til materiellanskaffelsesprosjekter og utgifter knyttet til materiellforvaltning i forsvarssektoren.</w:t>
      </w:r>
    </w:p>
    <w:p w14:paraId="6443F23C" w14:textId="77777777" w:rsidR="000A2A2B" w:rsidRPr="007C3060" w:rsidRDefault="000A2A2B" w:rsidP="007C3060">
      <w:r w:rsidRPr="007C3060">
        <w:t>Forsvarsmateriell har fått en betydelig økt oppdragsmengde som følge av ny langtidsplan. Regjeringen mener det vil være nødvendig med en styrking av etatens kapasitet til å gjennomføre investeringsprosjekter samt andre prioriterte formål i 2025. Regjeringen foreslår å øke bevilgningen med 70 mill. kroner til formålet.</w:t>
      </w:r>
    </w:p>
    <w:p w14:paraId="1DB0DC63" w14:textId="77777777" w:rsidR="000A2A2B" w:rsidRPr="007C3060" w:rsidRDefault="000A2A2B" w:rsidP="007C3060">
      <w:r w:rsidRPr="007C3060">
        <w:t>Det foreslås å øke bevilgningen på posten med 34,9 mill. kroner mot en tilsvarende reduksjon på kap. 1760, post 45. Økningen består av flytting av 23,3 mill. kroner knyttet til tiltak i Nasjonal sikkerhetsmyndighet (NSM) sitt sikkerhetsfaglige råd og 11,6 mill. kroner knyttet til en teknisk endring i midlene til forskning og utvikling hos NSM fra kap. 1760, post 45.</w:t>
      </w:r>
    </w:p>
    <w:p w14:paraId="25038DB8" w14:textId="77777777" w:rsidR="000A2A2B" w:rsidRPr="007C3060" w:rsidRDefault="000A2A2B" w:rsidP="007C3060">
      <w:r w:rsidRPr="007C3060">
        <w:t>Det foreslås å øke bevilgningen med 26,2 mill. kroner mot en tilsvarende reduksjon som omtalt på kap. 1720, post 01.</w:t>
      </w:r>
    </w:p>
    <w:p w14:paraId="146097D3" w14:textId="77777777" w:rsidR="000A2A2B" w:rsidRPr="007C3060" w:rsidRDefault="000A2A2B" w:rsidP="007C3060">
      <w:r w:rsidRPr="007C3060">
        <w:t>Det foreslås å øke bevilgningen med 23,8 mill. kroner knyttet til militær støtte til Ukraina mot en tilsvarende reduksjon om omtalt under kap. 1700, post 79.</w:t>
      </w:r>
    </w:p>
    <w:p w14:paraId="58AD342C" w14:textId="77777777" w:rsidR="000A2A2B" w:rsidRPr="007C3060" w:rsidRDefault="000A2A2B" w:rsidP="007C3060">
      <w:r w:rsidRPr="007C3060">
        <w:t>Det foreslås å øke bevilgningen med 2,8 mill. kroner knyttet til lønnsutgifter i prosjektstillinger. Videre foreslås det en økning på 0,2 mill. kroner knyttet til Nasjonal sikkerhetsmyndighets (NSM) sikkerhetsgodkjenning av graderte informasjonssystemer.</w:t>
      </w:r>
    </w:p>
    <w:p w14:paraId="07B75082" w14:textId="77777777" w:rsidR="000A2A2B" w:rsidRPr="007C3060" w:rsidRDefault="000A2A2B" w:rsidP="007C3060">
      <w:r w:rsidRPr="007C3060">
        <w:lastRenderedPageBreak/>
        <w:t>Samlet foreslås det å øke bevilgningen på posten med 158 mill. kroner.</w:t>
      </w:r>
    </w:p>
    <w:p w14:paraId="1E983A82" w14:textId="77777777" w:rsidR="000A2A2B" w:rsidRPr="007C3060" w:rsidRDefault="000A2A2B" w:rsidP="007C3060">
      <w:pPr>
        <w:pStyle w:val="b-post"/>
      </w:pPr>
      <w:r w:rsidRPr="007C3060">
        <w:t>Post 44 Fellesfinansierte investeringer, -nasjonalfinansiert andel, kan overføres</w:t>
      </w:r>
    </w:p>
    <w:p w14:paraId="5109584E" w14:textId="77777777" w:rsidR="000A2A2B" w:rsidRPr="007C3060" w:rsidRDefault="000A2A2B" w:rsidP="007C3060">
      <w:r w:rsidRPr="007C3060">
        <w:t xml:space="preserve">Posten dekker de nasjonale utgiftene knyttet til gjennomføring av NATOs investeringsprogram for sikkerhet, samt prefinansiering av NATO-prosjekter i Norge når dette er nødvendig. Det foreslås å redusere bevilgningen på posten med 15 mill. kroner knyttet til forsinket oppstart og godkjenning av tre kaier i Maritime </w:t>
      </w:r>
      <w:proofErr w:type="spellStart"/>
      <w:r w:rsidRPr="007C3060">
        <w:t>Capability</w:t>
      </w:r>
      <w:proofErr w:type="spellEnd"/>
      <w:r w:rsidRPr="007C3060">
        <w:t xml:space="preserve"> </w:t>
      </w:r>
      <w:proofErr w:type="spellStart"/>
      <w:r w:rsidRPr="007C3060">
        <w:t>Programme</w:t>
      </w:r>
      <w:proofErr w:type="spellEnd"/>
      <w:r w:rsidRPr="007C3060">
        <w:t xml:space="preserve"> Plan og oppgradering av rørledningene til Rygge flystasjon.</w:t>
      </w:r>
    </w:p>
    <w:p w14:paraId="6E8D8253" w14:textId="77777777" w:rsidR="000A2A2B" w:rsidRPr="007C3060" w:rsidRDefault="000A2A2B" w:rsidP="007C3060">
      <w:pPr>
        <w:pStyle w:val="b-post"/>
      </w:pPr>
      <w:r w:rsidRPr="007C3060">
        <w:t>Post 45 Større utstyrsanskaffelser og vedlikehold, kan overføres, kan nyttes under kap. 1700, post 79 og kap. 1710, post 47</w:t>
      </w:r>
    </w:p>
    <w:p w14:paraId="45CD89C3" w14:textId="77777777" w:rsidR="000A2A2B" w:rsidRPr="007C3060" w:rsidRDefault="000A2A2B" w:rsidP="007C3060">
      <w:r w:rsidRPr="007C3060">
        <w:t>Knyttet til militær støtte til Ukraina foreslås det å øke bevilgningen med 2 728 mill. kroner mot en tilsvarende reduksjon som omtalt på kap. 1700, post 79.</w:t>
      </w:r>
    </w:p>
    <w:p w14:paraId="792ACEFC" w14:textId="77777777" w:rsidR="000A2A2B" w:rsidRPr="007C3060" w:rsidRDefault="000A2A2B" w:rsidP="007C3060">
      <w:r w:rsidRPr="007C3060">
        <w:t>Det foreslås å øke bevilgningen med 621,8 mill. kroner knyttet til valutajustering av store investeringsprosjekter over 1 mrd. kroner. Dette er som følge av at kronen har svekket seg sammenlignet med forutsetningene som ble lagt til grunn for Saldert budsjett 2025.</w:t>
      </w:r>
    </w:p>
    <w:p w14:paraId="7A538EE2" w14:textId="77777777" w:rsidR="000A2A2B" w:rsidRPr="007C3060" w:rsidRDefault="000A2A2B" w:rsidP="007C3060">
      <w:r w:rsidRPr="007C3060">
        <w:t>Det foreslås å øke bevilgningen med 117 mill. kroner mot en tilsvarende reduksjon på kap. 1700, post 78, knyttet til utgifter i forbindelse med innovasjonsprosjekter for støtte til Ukraina.</w:t>
      </w:r>
    </w:p>
    <w:p w14:paraId="729D5F52" w14:textId="77777777" w:rsidR="000A2A2B" w:rsidRPr="007C3060" w:rsidRDefault="000A2A2B" w:rsidP="007C3060">
      <w:r w:rsidRPr="007C3060">
        <w:t>Det foreslås å rammeoverføre 2,1 mill. kroner til Kunnskapsdepartementets kap. 285, post 21. Rammeoverføringen skal øke driftsbevilgningen til oppdrag i Forskningsrådet for å understøtte koblinger mellom FoU på sivil og militær side.</w:t>
      </w:r>
    </w:p>
    <w:p w14:paraId="1A5ECA4C" w14:textId="77777777" w:rsidR="000A2A2B" w:rsidRPr="007C3060" w:rsidRDefault="000A2A2B" w:rsidP="007C3060">
      <w:r w:rsidRPr="007C3060">
        <w:t>Det foreslås å redusere bevilgningen med 13,6 mill. kroner mot en tilsvarende økning på kap. 1700, post 79, knyttet til justert anslag for utgifter til håndtering av prisutvikling i gjenanskaffelsesprosjekter for donert materiell til Ukraina.</w:t>
      </w:r>
    </w:p>
    <w:p w14:paraId="418382AD" w14:textId="77777777" w:rsidR="000A2A2B" w:rsidRPr="007C3060" w:rsidRDefault="000A2A2B" w:rsidP="007C3060">
      <w:r w:rsidRPr="007C3060">
        <w:t>Det foreslås å redusere bevilgningen med 34,9 mill. kroner mot en tilsvarende økning som omtalt på kap. 1760, post 01.</w:t>
      </w:r>
    </w:p>
    <w:p w14:paraId="6D39021C" w14:textId="77777777" w:rsidR="000A2A2B" w:rsidRPr="007C3060" w:rsidRDefault="000A2A2B" w:rsidP="007C3060">
      <w:r w:rsidRPr="007C3060">
        <w:t>Det foreslås å øke bevilgningen med 135,4 mill. kroner mot en tilsvarende reduksjon som omtalt på kap. 1720, post 01.</w:t>
      </w:r>
    </w:p>
    <w:p w14:paraId="3F12CF27" w14:textId="77777777" w:rsidR="000A2A2B" w:rsidRPr="007C3060" w:rsidRDefault="000A2A2B" w:rsidP="007C3060">
      <w:r w:rsidRPr="007C3060">
        <w:t>I Saldert budsjett 2025 ble det lagt til grunn utbetalinger til gjenanskaffelser av donert materiell for 1 389,2 mill. kroner. Utbetalingsplanen for 2025 er oppdatert og utgiftene er forventet redusert i 2025 grunnet forsinket leveranse i et enkeltprosjekt. Det foreslås derfor å redusere bevilgningen med 484,4 mill. kroner.</w:t>
      </w:r>
    </w:p>
    <w:p w14:paraId="4FA1E30F" w14:textId="77777777" w:rsidR="000A2A2B" w:rsidRPr="007C3060" w:rsidRDefault="000A2A2B" w:rsidP="007C3060">
      <w:r w:rsidRPr="007C3060">
        <w:t>Det foreslås å redusere bevilgningen på posten med 2 541,6 mill. kroner for håndtering av merbehov på andre kapittel og poster som omtalt i innledningen.</w:t>
      </w:r>
    </w:p>
    <w:p w14:paraId="109092C4" w14:textId="77777777" w:rsidR="000A2A2B" w:rsidRPr="007C3060" w:rsidRDefault="000A2A2B" w:rsidP="007C3060">
      <w:r w:rsidRPr="007C3060">
        <w:t>Samlet foreslås det å øke bevilgningen på posten med 525,6 mill. kroner.</w:t>
      </w:r>
    </w:p>
    <w:p w14:paraId="155B144A" w14:textId="77777777" w:rsidR="000A2A2B" w:rsidRPr="007C3060" w:rsidRDefault="000A2A2B" w:rsidP="007C3060">
      <w:r w:rsidRPr="007C3060">
        <w:t xml:space="preserve">Det er en tett sammenheng i langtidsplanen mellom investeringer i materiell og i eiendom, bygg og anlegg. Regjeringen foreslår at kap. 1710, post 47 tilføyes stikkordet «kan nyttes under kap. 1760, post 45» og at kap. 1760, post 45 tilføyes stikkordet «kan nyttes under kap. 1710, </w:t>
      </w:r>
      <w:r w:rsidRPr="007C3060">
        <w:lastRenderedPageBreak/>
        <w:t>post 47». Det vil bidra til at bevilgningen til disse investeringene kan ses mer helhetlig for å kunne tilpasse seg endrede forutsetninger og fremdrift for prosjekter gjennom budsjettåret.</w:t>
      </w:r>
    </w:p>
    <w:p w14:paraId="62261F5E" w14:textId="77777777" w:rsidR="000A2A2B" w:rsidRPr="007C3060" w:rsidRDefault="000A2A2B" w:rsidP="007C3060">
      <w:pPr>
        <w:pStyle w:val="b-post"/>
      </w:pPr>
      <w:r w:rsidRPr="007C3060">
        <w:t>Post 48 Fellesfinansierte investeringer, -fellesfinansiert andel, kan overføres</w:t>
      </w:r>
    </w:p>
    <w:p w14:paraId="6B8E33BC" w14:textId="77777777" w:rsidR="000A2A2B" w:rsidRPr="007C3060" w:rsidRDefault="000A2A2B" w:rsidP="007C3060">
      <w:r w:rsidRPr="007C3060">
        <w:t xml:space="preserve">Det foreslås å redusere bevilgningen på posten med 160 mill. kroner. </w:t>
      </w:r>
      <w:proofErr w:type="spellStart"/>
      <w:r w:rsidRPr="007C3060">
        <w:t>Mindrebehovet</w:t>
      </w:r>
      <w:proofErr w:type="spellEnd"/>
      <w:r w:rsidRPr="007C3060">
        <w:t xml:space="preserve"> skyldes først og fremst forsinket oppstart og godkjenning av tre kaier i Maritime </w:t>
      </w:r>
      <w:proofErr w:type="spellStart"/>
      <w:r w:rsidRPr="007C3060">
        <w:t>Capability</w:t>
      </w:r>
      <w:proofErr w:type="spellEnd"/>
      <w:r w:rsidRPr="007C3060">
        <w:t xml:space="preserve"> </w:t>
      </w:r>
      <w:proofErr w:type="spellStart"/>
      <w:r w:rsidRPr="007C3060">
        <w:t>Programme</w:t>
      </w:r>
      <w:proofErr w:type="spellEnd"/>
      <w:r w:rsidRPr="007C3060">
        <w:t xml:space="preserve"> Plan og oppgradering av rørledningene til Rygge flystasjon.120 mill. kroner er en utgiftsreduksjon med tilsvarende inntektsreduksjon på kap. 4760 post 48. Resterende 40 mill. kroner er et </w:t>
      </w:r>
      <w:proofErr w:type="spellStart"/>
      <w:r w:rsidRPr="007C3060">
        <w:t>mindrebehov</w:t>
      </w:r>
      <w:proofErr w:type="spellEnd"/>
      <w:r w:rsidRPr="007C3060">
        <w:t xml:space="preserve"> på posten.</w:t>
      </w:r>
    </w:p>
    <w:p w14:paraId="4963A44A" w14:textId="77777777" w:rsidR="000A2A2B" w:rsidRPr="007C3060" w:rsidRDefault="000A2A2B" w:rsidP="007C3060">
      <w:pPr>
        <w:pStyle w:val="b-budkaptit"/>
      </w:pPr>
      <w:r w:rsidRPr="007C3060">
        <w:t>Kap. 4760 Forsvarsmateriell og større anskaffelser og vedlikehold</w:t>
      </w:r>
    </w:p>
    <w:p w14:paraId="0EA2816E" w14:textId="77777777" w:rsidR="000A2A2B" w:rsidRPr="007C3060" w:rsidRDefault="000A2A2B" w:rsidP="007C3060">
      <w:pPr>
        <w:pStyle w:val="b-post"/>
      </w:pPr>
      <w:r w:rsidRPr="007C3060">
        <w:t>Post 1 Driftsinntekter</w:t>
      </w:r>
    </w:p>
    <w:p w14:paraId="0B4C0493" w14:textId="77777777" w:rsidR="000A2A2B" w:rsidRPr="007C3060" w:rsidRDefault="000A2A2B" w:rsidP="007C3060">
      <w:r w:rsidRPr="007C3060">
        <w:t xml:space="preserve">Regjeringen foreslår å øke bevilgingen på posten med 17 mill. kroner som følge av at Forsvarsmateriell har mottatt inntekter fra royalties fra Kongsberg </w:t>
      </w:r>
      <w:proofErr w:type="spellStart"/>
      <w:r w:rsidRPr="007C3060">
        <w:t>Defence</w:t>
      </w:r>
      <w:proofErr w:type="spellEnd"/>
      <w:r w:rsidRPr="007C3060">
        <w:t xml:space="preserve"> &amp; Aerospace, Nammo Raufoss AS, Thales Norway AS, Gudbrandsdal Industrier AS, </w:t>
      </w:r>
      <w:proofErr w:type="spellStart"/>
      <w:r w:rsidRPr="007C3060">
        <w:t>Tuci</w:t>
      </w:r>
      <w:proofErr w:type="spellEnd"/>
      <w:r w:rsidRPr="007C3060">
        <w:t xml:space="preserve"> OU og </w:t>
      </w:r>
      <w:proofErr w:type="spellStart"/>
      <w:r w:rsidRPr="007C3060">
        <w:t>Sysint</w:t>
      </w:r>
      <w:proofErr w:type="spellEnd"/>
      <w:r w:rsidRPr="007C3060">
        <w:t xml:space="preserve"> AS.</w:t>
      </w:r>
    </w:p>
    <w:p w14:paraId="7E5823EF" w14:textId="77777777" w:rsidR="000A2A2B" w:rsidRPr="007C3060" w:rsidRDefault="000A2A2B" w:rsidP="007C3060">
      <w:pPr>
        <w:pStyle w:val="b-post"/>
      </w:pPr>
      <w:r w:rsidRPr="007C3060">
        <w:t>Post 48 Fellesfinansierte investeringer, inntekter</w:t>
      </w:r>
    </w:p>
    <w:p w14:paraId="1667924B" w14:textId="77777777" w:rsidR="000A2A2B" w:rsidRPr="007C3060" w:rsidRDefault="000A2A2B" w:rsidP="007C3060">
      <w:r w:rsidRPr="007C3060">
        <w:t xml:space="preserve">Regjeringen foreslår å redusere bevilgningen på posten med 120 mill. kroner mot en tilsvarende utgiftsreduksjon på kap. 1760, post 48, som følge av forsinket oppstart og godkjenning av tre kaier i Maritime </w:t>
      </w:r>
      <w:proofErr w:type="spellStart"/>
      <w:r w:rsidRPr="007C3060">
        <w:t>Capability</w:t>
      </w:r>
      <w:proofErr w:type="spellEnd"/>
      <w:r w:rsidRPr="007C3060">
        <w:t xml:space="preserve"> </w:t>
      </w:r>
      <w:proofErr w:type="spellStart"/>
      <w:r w:rsidRPr="007C3060">
        <w:t>Programme</w:t>
      </w:r>
      <w:proofErr w:type="spellEnd"/>
      <w:r w:rsidRPr="007C3060">
        <w:t xml:space="preserve"> Plan og oppgradering av rørledningene til Rygge flystasjon.</w:t>
      </w:r>
    </w:p>
    <w:p w14:paraId="1E641480" w14:textId="77777777" w:rsidR="000A2A2B" w:rsidRPr="007C3060" w:rsidRDefault="000A2A2B" w:rsidP="007C3060">
      <w:pPr>
        <w:pStyle w:val="b-budkaptit"/>
      </w:pPr>
      <w:r w:rsidRPr="007C3060">
        <w:t>Kap. 1791 Redningshelikoptertjenesten</w:t>
      </w:r>
    </w:p>
    <w:p w14:paraId="00733065" w14:textId="77777777" w:rsidR="000A2A2B" w:rsidRPr="007C3060" w:rsidRDefault="000A2A2B" w:rsidP="007C3060">
      <w:pPr>
        <w:pStyle w:val="b-post"/>
      </w:pPr>
      <w:r w:rsidRPr="007C3060">
        <w:t>Post 1 Driftsutgifter</w:t>
      </w:r>
    </w:p>
    <w:p w14:paraId="5E144784" w14:textId="77777777" w:rsidR="000A2A2B" w:rsidRPr="007C3060" w:rsidRDefault="000A2A2B" w:rsidP="007C3060">
      <w:r w:rsidRPr="007C3060">
        <w:t>Det foreslås å øke bevilgningen på posten med 0,4 mill. kroner mot en tilvarende økning som omtalt på kap. 1720, post 01. Videre foreslås det å redusere bevilgningen med 43,2 mill. kroner mot en tilsvarende økning som omtalt på kap. 1720, post 01.</w:t>
      </w:r>
    </w:p>
    <w:p w14:paraId="4B086EF7" w14:textId="77777777" w:rsidR="000A2A2B" w:rsidRPr="007C3060" w:rsidRDefault="000A2A2B" w:rsidP="007C3060">
      <w:r w:rsidRPr="007C3060">
        <w:t>Samlet foreslås det å redusere bevilgningen på posten med 42,8 mill. kroner.</w:t>
      </w:r>
    </w:p>
    <w:p w14:paraId="1D95E122" w14:textId="77777777" w:rsidR="000A2A2B" w:rsidRPr="007C3060" w:rsidRDefault="000A2A2B" w:rsidP="007C3060">
      <w:pPr>
        <w:pStyle w:val="avsnitt-tittel"/>
      </w:pPr>
      <w:r w:rsidRPr="007C3060">
        <w:t>Andre saker</w:t>
      </w:r>
    </w:p>
    <w:p w14:paraId="19EAA24E" w14:textId="77777777" w:rsidR="000A2A2B" w:rsidRPr="007C3060" w:rsidRDefault="000A2A2B" w:rsidP="007C3060">
      <w:pPr>
        <w:pStyle w:val="avsnitt-undertittel"/>
      </w:pPr>
      <w:r w:rsidRPr="007C3060">
        <w:t>Status for gjennomføringen av langtidsplanen for forsvarssektoren</w:t>
      </w:r>
    </w:p>
    <w:p w14:paraId="596152B7" w14:textId="77777777" w:rsidR="000A2A2B" w:rsidRPr="007C3060" w:rsidRDefault="000A2A2B" w:rsidP="007C3060">
      <w:r w:rsidRPr="007C3060">
        <w:t xml:space="preserve">Gjennom behandlingen av </w:t>
      </w:r>
      <w:proofErr w:type="spellStart"/>
      <w:r w:rsidRPr="007C3060">
        <w:t>Innst</w:t>
      </w:r>
      <w:proofErr w:type="spellEnd"/>
      <w:r w:rsidRPr="007C3060">
        <w:t xml:space="preserve">. S 426 (2023–2024) til </w:t>
      </w:r>
      <w:proofErr w:type="spellStart"/>
      <w:r w:rsidRPr="007C3060">
        <w:t>Prop</w:t>
      </w:r>
      <w:proofErr w:type="spellEnd"/>
      <w:r w:rsidRPr="007C3060">
        <w:t xml:space="preserve">. 87 S (2023–2024) </w:t>
      </w:r>
      <w:r w:rsidRPr="007C3060">
        <w:rPr>
          <w:rStyle w:val="kursiv"/>
        </w:rPr>
        <w:t>Forsvarsløftet – for Norges trygghet – Langtidsplan for forsvarssektoren 2025–2036</w:t>
      </w:r>
      <w:r w:rsidRPr="007C3060">
        <w:t xml:space="preserve"> prioriterte Stortinget trygghet for befolkningen i en mer usikker tid.</w:t>
      </w:r>
    </w:p>
    <w:p w14:paraId="05AF2228" w14:textId="77777777" w:rsidR="000A2A2B" w:rsidRPr="007C3060" w:rsidRDefault="000A2A2B" w:rsidP="007C3060">
      <w:r w:rsidRPr="007C3060">
        <w:t xml:space="preserve">Første prioritet i langtidsplanen er å få det Forsvaret vi har til å virke. Langtidsplanen legger opp til å øke lagerbeholdningene og forsyningsberedskapen, virksomhetenes driftsrammer og Forsvaret tilføres mer personell. Bygningsmassen, IKT-infrastrukturen og den digitale </w:t>
      </w:r>
      <w:r w:rsidRPr="007C3060">
        <w:lastRenderedPageBreak/>
        <w:t xml:space="preserve">grunnmuren i Forsvaret moderniseres og kapasiteten til mottak og fremføring av allierte forsterkningsstyrker øker. Gjennom å få dagens struktur til å fungere bedre, legges samtidig grunnlaget for videre vekst. Innenfor den planlagte styrkingen av Forsvaret prioriteres satsinger innenfor fire hovedområder; økt evne til situasjonsforståelse, fornyelse av Sjøforsvaret gjennom flåteplanen av 2024, styrking av luftvernet og økt kapasitet i Hæren og Heime-vernet. De fire hovedsatsingene er godt i gang og skal gjennomføres parallelt. Det vedtatte forsvarsbudsjettet for 2025, jf. </w:t>
      </w:r>
      <w:proofErr w:type="spellStart"/>
      <w:r w:rsidRPr="007C3060">
        <w:t>Prop</w:t>
      </w:r>
      <w:proofErr w:type="spellEnd"/>
      <w:r w:rsidRPr="007C3060">
        <w:t>. 1 S (2024–2025), realiserer det første store budsjettløftet på 15,5 mrd. kroner, i tråd med prioriteringene i langtidsplanen.</w:t>
      </w:r>
    </w:p>
    <w:p w14:paraId="2ABE0CAF" w14:textId="77777777" w:rsidR="000A2A2B" w:rsidRPr="007C3060" w:rsidRDefault="000A2A2B" w:rsidP="007C3060">
      <w:r w:rsidRPr="007C3060">
        <w:t>I overgangen fra planlegging til gjennomføring, vil regjeringen realisere de politisk vedtatte ambisjonene på en mest mulig effektiv måte. Siden langtidsplanen ble lagt frem har det skjedd betydelige endringer i våre omgivelser. Den sikkerhetspolitiske situasjonen er forverret. Det er også andre endringer i rammebetingelsene som påvirker planen, blant annet høy prisvekst og lange ledetider på militært materiell som slår inn på investerings- og driftsbudsjettene, ny teknologi og nye krav fra NATO til Norge.</w:t>
      </w:r>
    </w:p>
    <w:p w14:paraId="57F9593C" w14:textId="77777777" w:rsidR="000A2A2B" w:rsidRPr="007C3060" w:rsidRDefault="000A2A2B" w:rsidP="007C3060">
      <w:r w:rsidRPr="007C3060">
        <w:t xml:space="preserve">Regjeringen vil i den kommende stortingsmeldingen om gjennomføringen av langtidsplanen redegjøre for status, fremdrift, utfordringer og risiko, i tråd med Stortingets vedtak XIV til </w:t>
      </w:r>
      <w:proofErr w:type="spellStart"/>
      <w:r w:rsidRPr="007C3060">
        <w:t>Innst</w:t>
      </w:r>
      <w:proofErr w:type="spellEnd"/>
      <w:r w:rsidRPr="007C3060">
        <w:t>. 426 S (2023–2024). Utfordringsbildet som tegnes opp i den årlige statusrapporteringen vil følges opp gjennom tiltak og prioriteringer i den ordinære budsjettprosessen.</w:t>
      </w:r>
    </w:p>
    <w:p w14:paraId="13E12D77" w14:textId="77777777" w:rsidR="000A2A2B" w:rsidRPr="007C3060" w:rsidRDefault="000A2A2B" w:rsidP="007C3060">
      <w:pPr>
        <w:pStyle w:val="avsnitt-undertittel"/>
      </w:pPr>
      <w:r w:rsidRPr="007C3060">
        <w:t>Tilskudd i Nansen-programmet – militær støtte til Ukraina</w:t>
      </w:r>
    </w:p>
    <w:p w14:paraId="4099D977" w14:textId="77777777" w:rsidR="000A2A2B" w:rsidRPr="007C3060" w:rsidRDefault="000A2A2B" w:rsidP="007C3060">
      <w:r w:rsidRPr="007C3060">
        <w:t>Stortinget vedtok i forbindelse med behandling av nysalderingen 2024 (</w:t>
      </w:r>
      <w:proofErr w:type="spellStart"/>
      <w:r w:rsidRPr="007C3060">
        <w:t>Innst</w:t>
      </w:r>
      <w:proofErr w:type="spellEnd"/>
      <w:r w:rsidRPr="007C3060">
        <w:t xml:space="preserve">. 84 S (2024–2025) til </w:t>
      </w:r>
      <w:proofErr w:type="spellStart"/>
      <w:r w:rsidRPr="007C3060">
        <w:t>Prop</w:t>
      </w:r>
      <w:proofErr w:type="spellEnd"/>
      <w:r w:rsidRPr="007C3060">
        <w:t>. 19 S (2024–2025)) et unntak for Forsvarsdepartementet fra Stortingets vedtak av 8. november 1984 om utbetaling av tilskudd så nært opp mot oppgjørstidspunktet som mulig. Unntaket som ble vedtatt i forbindelse med nysalderingen gjaldt kun for 2024. Regjeringen foreslår i denne proposisjonen et tilsvarende vedtak for budsjettåret 2025.</w:t>
      </w:r>
    </w:p>
    <w:p w14:paraId="69387CA6" w14:textId="77777777" w:rsidR="000A2A2B" w:rsidRPr="007C3060" w:rsidRDefault="000A2A2B" w:rsidP="007C3060">
      <w:r w:rsidRPr="007C3060">
        <w:t xml:space="preserve">Gitt at det er tidlig i året og Stortinget nylig vedtok en økning av Nansen-programmet med 50 mrd. kroner, foreligger det ikke en fullstendig oversikt over hvilke tilskuddsmottakere et slikt unntak vil være aktuelt for. Regjeringen foreslår derfor en mer overordnet ordlyd i denne proposisjonen som ikke nevner enkeltmottakere, men som ivaretar behovet for utbetaling av tilskudd i tråd med omtalen i Forsvarsdepartementets </w:t>
      </w:r>
      <w:proofErr w:type="spellStart"/>
      <w:r w:rsidRPr="007C3060">
        <w:t>Prop</w:t>
      </w:r>
      <w:proofErr w:type="spellEnd"/>
      <w:r w:rsidRPr="007C3060">
        <w:t xml:space="preserve">. 19 S (2024–2025). Et slikt unntak legger opp til nødvendig fleksibilitet i tråd med prinsippene i Nansen-programmet, men avgrenses slik at det kun gjelder utbetalinger hvor det er </w:t>
      </w:r>
      <w:proofErr w:type="gramStart"/>
      <w:r w:rsidRPr="007C3060">
        <w:t>påkrevd</w:t>
      </w:r>
      <w:proofErr w:type="gramEnd"/>
      <w:r w:rsidRPr="007C3060">
        <w:t xml:space="preserve"> for å gjennomføre nødvendige donasjoner av materiell, kapasitet og tjenester til støtte for Ukraina, i henhold til avtale eller regelverk for den enkelte donasjon, fond, eller finansieringsmekanisme. Se forslag til romertallsvedtak.</w:t>
      </w:r>
    </w:p>
    <w:p w14:paraId="3712E504" w14:textId="77777777" w:rsidR="000A2A2B" w:rsidRPr="007C3060" w:rsidRDefault="000A2A2B" w:rsidP="007C3060">
      <w:pPr>
        <w:pStyle w:val="avsnitt-undertittel"/>
      </w:pPr>
      <w:r w:rsidRPr="007C3060">
        <w:t xml:space="preserve">Økt </w:t>
      </w:r>
      <w:proofErr w:type="spellStart"/>
      <w:r w:rsidRPr="007C3060">
        <w:t>fullmaktsgrense</w:t>
      </w:r>
      <w:proofErr w:type="spellEnd"/>
      <w:r w:rsidRPr="007C3060">
        <w:t xml:space="preserve"> for oppstart av eiendoms-, bygg- og anleggsprosjekter</w:t>
      </w:r>
    </w:p>
    <w:p w14:paraId="6AE895D4" w14:textId="77777777" w:rsidR="000A2A2B" w:rsidRPr="007C3060" w:rsidRDefault="000A2A2B" w:rsidP="007C3060">
      <w:r w:rsidRPr="007C3060">
        <w:t xml:space="preserve">Regjeringen viser til romertallsfullmakt V, pkt. 5 i, jf. </w:t>
      </w:r>
      <w:proofErr w:type="spellStart"/>
      <w:r w:rsidRPr="007C3060">
        <w:t>Innst</w:t>
      </w:r>
      <w:proofErr w:type="spellEnd"/>
      <w:r w:rsidRPr="007C3060">
        <w:t xml:space="preserve">. 7 S (2024–2025) til </w:t>
      </w:r>
      <w:proofErr w:type="spellStart"/>
      <w:r w:rsidRPr="007C3060">
        <w:t>Prop</w:t>
      </w:r>
      <w:proofErr w:type="spellEnd"/>
      <w:r w:rsidRPr="007C3060">
        <w:t xml:space="preserve">. 1 S (2024–2025) der Forsvarsdepartementet gis fullmakt til å starte opp og gjennomføre eiendoms-, bygg- og anleggsprosjekter (inkludert tilhørende innredning) med en kostnadsramme under 500 mill. kroner. Det foreslås å øke beløpet til 1 000 mill. kroner. Dette vil gi likebehandling av eiendom, bygg og anlegg-investeringer og materiellinvesteringer ved at Stortinget først tar </w:t>
      </w:r>
      <w:r w:rsidRPr="007C3060">
        <w:lastRenderedPageBreak/>
        <w:t>stilling til kostnadsramme når prosjektet er omfattet av statens prosjektmodell. Endringen vil gi Forsvars-departementet større handlingsrom til å vurdere oppstart av eiendom, bygg og anlegg-prosjekter basert på en helhetlig vurdering av investeringsporteføljen av materiell- og eiendom, bygg- og anleggs-prosjekter. Det vises til forslag til romertallsvedtak.</w:t>
      </w:r>
    </w:p>
    <w:p w14:paraId="77C8DBE0" w14:textId="77777777" w:rsidR="000A2A2B" w:rsidRPr="007C3060" w:rsidRDefault="000A2A2B" w:rsidP="007C3060">
      <w:pPr>
        <w:pStyle w:val="avsnitt-undertittel"/>
      </w:pPr>
      <w:r w:rsidRPr="007C3060">
        <w:t>Økt bestillingsfullmakt kap. 1760, post 44 og 48</w:t>
      </w:r>
    </w:p>
    <w:p w14:paraId="6FA815EF" w14:textId="77777777" w:rsidR="000A2A2B" w:rsidRPr="007C3060" w:rsidRDefault="000A2A2B" w:rsidP="007C3060">
      <w:r w:rsidRPr="007C3060">
        <w:t xml:space="preserve">Grunnet en sterkt voksende portefølje med flere nye store prosjekter, foreslår regjeringen å øke bestillingsfullmaktene knyttet til kap. 1760, post 44 og 48. Særlig godkjenningen av Maritime </w:t>
      </w:r>
      <w:proofErr w:type="spellStart"/>
      <w:r w:rsidRPr="007C3060">
        <w:t>Capability</w:t>
      </w:r>
      <w:proofErr w:type="spellEnd"/>
      <w:r w:rsidRPr="007C3060">
        <w:t xml:space="preserve"> </w:t>
      </w:r>
      <w:proofErr w:type="spellStart"/>
      <w:r w:rsidRPr="007C3060">
        <w:t>Programme</w:t>
      </w:r>
      <w:proofErr w:type="spellEnd"/>
      <w:r w:rsidRPr="007C3060">
        <w:t xml:space="preserve"> Plan har ført til at Norges portefølje har økt. Norge har også sendt inn «</w:t>
      </w:r>
      <w:proofErr w:type="spellStart"/>
      <w:r w:rsidRPr="007C3060">
        <w:t>Urgent</w:t>
      </w:r>
      <w:proofErr w:type="spellEnd"/>
      <w:r w:rsidRPr="007C3060">
        <w:t xml:space="preserve"> </w:t>
      </w:r>
      <w:proofErr w:type="spellStart"/>
      <w:r w:rsidRPr="007C3060">
        <w:t>request</w:t>
      </w:r>
      <w:proofErr w:type="spellEnd"/>
      <w:r w:rsidRPr="007C3060">
        <w:t xml:space="preserve">» på prosjekt «Restore </w:t>
      </w:r>
      <w:proofErr w:type="spellStart"/>
      <w:r w:rsidRPr="007C3060">
        <w:t>spureline</w:t>
      </w:r>
      <w:proofErr w:type="spellEnd"/>
      <w:r w:rsidRPr="007C3060">
        <w:t xml:space="preserve"> to Rygge </w:t>
      </w:r>
      <w:proofErr w:type="spellStart"/>
      <w:r w:rsidRPr="007C3060">
        <w:t>airbase</w:t>
      </w:r>
      <w:proofErr w:type="spellEnd"/>
      <w:r w:rsidRPr="007C3060">
        <w:t>». Ved godkjenning av prosjektene vil Forsvarsmateriell mot slutten av året inngå store kontrakter som krever økt fullmakt fra Stortinget til å inngå forpliktelser for senere budsjettår.</w:t>
      </w:r>
    </w:p>
    <w:p w14:paraId="1E5E71E1" w14:textId="77777777" w:rsidR="000A2A2B" w:rsidRPr="007C3060" w:rsidRDefault="000A2A2B" w:rsidP="007C3060">
      <w:r w:rsidRPr="007C3060">
        <w:t>Regjeringen foreslår å øke bestillingsfullmakten på kap. 1760, post 44, fra 370 mill. kroner til 440 mill. kroner.</w:t>
      </w:r>
    </w:p>
    <w:p w14:paraId="2843888D" w14:textId="77777777" w:rsidR="000A2A2B" w:rsidRPr="007C3060" w:rsidRDefault="000A2A2B" w:rsidP="007C3060">
      <w:r w:rsidRPr="007C3060">
        <w:t>Regjeringen foreslår å øke bestillingsfullmakten på kap. 1760, post 48, fra 870 mill. kroner til 1 280 mill. kroner.</w:t>
      </w:r>
    </w:p>
    <w:p w14:paraId="41DA4B76" w14:textId="77777777" w:rsidR="000A2A2B" w:rsidRPr="007C3060" w:rsidRDefault="000A2A2B" w:rsidP="007C3060">
      <w:pPr>
        <w:pStyle w:val="avsnitt-undertittel"/>
      </w:pPr>
      <w:r w:rsidRPr="007C3060">
        <w:t>Informasjon om interne endringer på kap. 1720 Forsvaret</w:t>
      </w:r>
    </w:p>
    <w:p w14:paraId="6E8DB738" w14:textId="77777777" w:rsidR="000A2A2B" w:rsidRDefault="000A2A2B" w:rsidP="007C3060">
      <w:r w:rsidRPr="007C3060">
        <w:t>Tabellen under viser forsvarssjefens (FSJ) planlagte tildelinger til driftsenhetene på kap. 1720, post 01 i forbindelse med Revidert nasjonalbudsjett for 2025, relativt til opprinnelig plan for 2025.</w:t>
      </w:r>
    </w:p>
    <w:p w14:paraId="0B910CFA" w14:textId="04F62094" w:rsidR="00AC1986" w:rsidRPr="007C3060" w:rsidRDefault="00AC1986" w:rsidP="00530C99">
      <w:pPr>
        <w:pStyle w:val="tabell-tittel"/>
      </w:pPr>
      <w:r w:rsidRPr="007C3060">
        <w:t xml:space="preserve">Interne endringer på kap. 1720 Forsvaret. Tusen kroner. </w:t>
      </w:r>
    </w:p>
    <w:p w14:paraId="4DBAD8E0" w14:textId="77777777" w:rsidR="000A2A2B" w:rsidRPr="007C3060" w:rsidRDefault="000A2A2B" w:rsidP="007C3060">
      <w:pPr>
        <w:pStyle w:val="Tabellnavn"/>
      </w:pPr>
      <w:r w:rsidRPr="007C3060">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20"/>
        <w:gridCol w:w="1620"/>
        <w:gridCol w:w="1620"/>
        <w:gridCol w:w="1620"/>
      </w:tblGrid>
      <w:tr w:rsidR="004B729E" w:rsidRPr="007C3060" w14:paraId="74F71A31" w14:textId="77777777">
        <w:trPr>
          <w:trHeight w:val="360"/>
        </w:trPr>
        <w:tc>
          <w:tcPr>
            <w:tcW w:w="4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E1EB11" w14:textId="77777777" w:rsidR="000A2A2B" w:rsidRPr="007C3060" w:rsidRDefault="000A2A2B" w:rsidP="007C3060">
            <w:r w:rsidRPr="007C3060">
              <w:t>Driftsenhet</w:t>
            </w:r>
          </w:p>
        </w:tc>
        <w:tc>
          <w:tcPr>
            <w:tcW w:w="1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03E48F" w14:textId="77777777" w:rsidR="000A2A2B" w:rsidRPr="007C3060" w:rsidRDefault="000A2A2B" w:rsidP="007C3060">
            <w:r w:rsidRPr="007C3060">
              <w:t>FSJ plan 2025</w:t>
            </w:r>
          </w:p>
        </w:tc>
        <w:tc>
          <w:tcPr>
            <w:tcW w:w="1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6425AD" w14:textId="77777777" w:rsidR="000A2A2B" w:rsidRPr="007C3060" w:rsidRDefault="000A2A2B" w:rsidP="007C3060">
            <w:r w:rsidRPr="007C3060">
              <w:t>Forslag RNB 2025</w:t>
            </w:r>
          </w:p>
        </w:tc>
        <w:tc>
          <w:tcPr>
            <w:tcW w:w="1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0654FD" w14:textId="77777777" w:rsidR="000A2A2B" w:rsidRPr="007C3060" w:rsidRDefault="000A2A2B" w:rsidP="007C3060">
            <w:r w:rsidRPr="007C3060">
              <w:t>Justert tildeling</w:t>
            </w:r>
          </w:p>
        </w:tc>
      </w:tr>
      <w:tr w:rsidR="004B729E" w:rsidRPr="007C3060" w14:paraId="57341B0B" w14:textId="77777777">
        <w:trPr>
          <w:trHeight w:val="380"/>
        </w:trPr>
        <w:tc>
          <w:tcPr>
            <w:tcW w:w="4720" w:type="dxa"/>
            <w:tcBorders>
              <w:top w:val="single" w:sz="4" w:space="0" w:color="000000"/>
              <w:left w:val="nil"/>
              <w:bottom w:val="nil"/>
              <w:right w:val="nil"/>
            </w:tcBorders>
            <w:tcMar>
              <w:top w:w="128" w:type="dxa"/>
              <w:left w:w="43" w:type="dxa"/>
              <w:bottom w:w="43" w:type="dxa"/>
              <w:right w:w="43" w:type="dxa"/>
            </w:tcMar>
          </w:tcPr>
          <w:p w14:paraId="46B4B10D" w14:textId="77777777" w:rsidR="000A2A2B" w:rsidRPr="007C3060" w:rsidRDefault="000A2A2B" w:rsidP="007C3060">
            <w:r w:rsidRPr="007C3060">
              <w:t>Cyberforsvaret</w:t>
            </w:r>
          </w:p>
        </w:tc>
        <w:tc>
          <w:tcPr>
            <w:tcW w:w="1620" w:type="dxa"/>
            <w:tcBorders>
              <w:top w:val="single" w:sz="4" w:space="0" w:color="000000"/>
              <w:left w:val="nil"/>
              <w:bottom w:val="nil"/>
              <w:right w:val="nil"/>
            </w:tcBorders>
            <w:tcMar>
              <w:top w:w="128" w:type="dxa"/>
              <w:left w:w="43" w:type="dxa"/>
              <w:bottom w:w="43" w:type="dxa"/>
              <w:right w:w="43" w:type="dxa"/>
            </w:tcMar>
            <w:vAlign w:val="bottom"/>
          </w:tcPr>
          <w:p w14:paraId="1CF92541" w14:textId="77777777" w:rsidR="000A2A2B" w:rsidRPr="007C3060" w:rsidRDefault="000A2A2B" w:rsidP="007C3060">
            <w:r w:rsidRPr="007C3060">
              <w:t>3 175 749</w:t>
            </w:r>
          </w:p>
        </w:tc>
        <w:tc>
          <w:tcPr>
            <w:tcW w:w="1620" w:type="dxa"/>
            <w:tcBorders>
              <w:top w:val="single" w:sz="4" w:space="0" w:color="000000"/>
              <w:left w:val="nil"/>
              <w:bottom w:val="nil"/>
              <w:right w:val="nil"/>
            </w:tcBorders>
            <w:tcMar>
              <w:top w:w="128" w:type="dxa"/>
              <w:left w:w="43" w:type="dxa"/>
              <w:bottom w:w="43" w:type="dxa"/>
              <w:right w:w="43" w:type="dxa"/>
            </w:tcMar>
            <w:vAlign w:val="bottom"/>
          </w:tcPr>
          <w:p w14:paraId="1D16E6D0" w14:textId="77777777" w:rsidR="000A2A2B" w:rsidRPr="007C3060" w:rsidRDefault="000A2A2B" w:rsidP="007C3060">
            <w:r w:rsidRPr="007C3060">
              <w:t>218 337</w:t>
            </w:r>
          </w:p>
        </w:tc>
        <w:tc>
          <w:tcPr>
            <w:tcW w:w="1620" w:type="dxa"/>
            <w:tcBorders>
              <w:top w:val="single" w:sz="4" w:space="0" w:color="000000"/>
              <w:left w:val="nil"/>
              <w:bottom w:val="nil"/>
              <w:right w:val="nil"/>
            </w:tcBorders>
            <w:tcMar>
              <w:top w:w="128" w:type="dxa"/>
              <w:left w:w="43" w:type="dxa"/>
              <w:bottom w:w="43" w:type="dxa"/>
              <w:right w:w="43" w:type="dxa"/>
            </w:tcMar>
            <w:vAlign w:val="bottom"/>
          </w:tcPr>
          <w:p w14:paraId="12A175E2" w14:textId="77777777" w:rsidR="000A2A2B" w:rsidRPr="007C3060" w:rsidRDefault="000A2A2B" w:rsidP="007C3060">
            <w:r w:rsidRPr="007C3060">
              <w:t>3 394 086</w:t>
            </w:r>
          </w:p>
        </w:tc>
      </w:tr>
      <w:tr w:rsidR="004B729E" w:rsidRPr="007C3060" w14:paraId="7FF16072" w14:textId="77777777">
        <w:trPr>
          <w:trHeight w:val="380"/>
        </w:trPr>
        <w:tc>
          <w:tcPr>
            <w:tcW w:w="4720" w:type="dxa"/>
            <w:tcBorders>
              <w:top w:val="nil"/>
              <w:left w:val="nil"/>
              <w:bottom w:val="nil"/>
              <w:right w:val="nil"/>
            </w:tcBorders>
            <w:tcMar>
              <w:top w:w="128" w:type="dxa"/>
              <w:left w:w="43" w:type="dxa"/>
              <w:bottom w:w="43" w:type="dxa"/>
              <w:right w:w="43" w:type="dxa"/>
            </w:tcMar>
          </w:tcPr>
          <w:p w14:paraId="04FE5AD4" w14:textId="77777777" w:rsidR="000A2A2B" w:rsidRPr="007C3060" w:rsidRDefault="000A2A2B" w:rsidP="007C3060">
            <w:r w:rsidRPr="007C3060">
              <w:t>Forsvarets fellestjenester</w:t>
            </w:r>
          </w:p>
        </w:tc>
        <w:tc>
          <w:tcPr>
            <w:tcW w:w="1620" w:type="dxa"/>
            <w:tcBorders>
              <w:top w:val="nil"/>
              <w:left w:val="nil"/>
              <w:bottom w:val="nil"/>
              <w:right w:val="nil"/>
            </w:tcBorders>
            <w:tcMar>
              <w:top w:w="128" w:type="dxa"/>
              <w:left w:w="43" w:type="dxa"/>
              <w:bottom w:w="43" w:type="dxa"/>
              <w:right w:w="43" w:type="dxa"/>
            </w:tcMar>
            <w:vAlign w:val="bottom"/>
          </w:tcPr>
          <w:p w14:paraId="2CEF24B9" w14:textId="77777777" w:rsidR="000A2A2B" w:rsidRPr="007C3060" w:rsidRDefault="000A2A2B" w:rsidP="007C3060">
            <w:r w:rsidRPr="007C3060">
              <w:t>1 308 804</w:t>
            </w:r>
          </w:p>
        </w:tc>
        <w:tc>
          <w:tcPr>
            <w:tcW w:w="1620" w:type="dxa"/>
            <w:tcBorders>
              <w:top w:val="nil"/>
              <w:left w:val="nil"/>
              <w:bottom w:val="nil"/>
              <w:right w:val="nil"/>
            </w:tcBorders>
            <w:tcMar>
              <w:top w:w="128" w:type="dxa"/>
              <w:left w:w="43" w:type="dxa"/>
              <w:bottom w:w="43" w:type="dxa"/>
              <w:right w:w="43" w:type="dxa"/>
            </w:tcMar>
            <w:vAlign w:val="bottom"/>
          </w:tcPr>
          <w:p w14:paraId="6D609F67" w14:textId="77777777" w:rsidR="000A2A2B" w:rsidRPr="007C3060" w:rsidRDefault="000A2A2B" w:rsidP="007C3060">
            <w:r w:rsidRPr="007C3060">
              <w:t>27 623</w:t>
            </w:r>
          </w:p>
        </w:tc>
        <w:tc>
          <w:tcPr>
            <w:tcW w:w="1620" w:type="dxa"/>
            <w:tcBorders>
              <w:top w:val="nil"/>
              <w:left w:val="nil"/>
              <w:bottom w:val="nil"/>
              <w:right w:val="nil"/>
            </w:tcBorders>
            <w:tcMar>
              <w:top w:w="128" w:type="dxa"/>
              <w:left w:w="43" w:type="dxa"/>
              <w:bottom w:w="43" w:type="dxa"/>
              <w:right w:w="43" w:type="dxa"/>
            </w:tcMar>
            <w:vAlign w:val="bottom"/>
          </w:tcPr>
          <w:p w14:paraId="2ED01639" w14:textId="77777777" w:rsidR="000A2A2B" w:rsidRPr="007C3060" w:rsidRDefault="000A2A2B" w:rsidP="007C3060">
            <w:r w:rsidRPr="007C3060">
              <w:t>1 336 427</w:t>
            </w:r>
          </w:p>
        </w:tc>
      </w:tr>
      <w:tr w:rsidR="004B729E" w:rsidRPr="007C3060" w14:paraId="36C44FA4" w14:textId="77777777">
        <w:trPr>
          <w:trHeight w:val="380"/>
        </w:trPr>
        <w:tc>
          <w:tcPr>
            <w:tcW w:w="4720" w:type="dxa"/>
            <w:tcBorders>
              <w:top w:val="nil"/>
              <w:left w:val="nil"/>
              <w:bottom w:val="nil"/>
              <w:right w:val="nil"/>
            </w:tcBorders>
            <w:tcMar>
              <w:top w:w="128" w:type="dxa"/>
              <w:left w:w="43" w:type="dxa"/>
              <w:bottom w:w="43" w:type="dxa"/>
              <w:right w:w="43" w:type="dxa"/>
            </w:tcMar>
          </w:tcPr>
          <w:p w14:paraId="6A0DEA26" w14:textId="77777777" w:rsidR="000A2A2B" w:rsidRPr="007C3060" w:rsidRDefault="000A2A2B" w:rsidP="007C3060">
            <w:r w:rsidRPr="007C3060">
              <w:t>Forsvarets høgskole</w:t>
            </w:r>
          </w:p>
        </w:tc>
        <w:tc>
          <w:tcPr>
            <w:tcW w:w="1620" w:type="dxa"/>
            <w:tcBorders>
              <w:top w:val="nil"/>
              <w:left w:val="nil"/>
              <w:bottom w:val="nil"/>
              <w:right w:val="nil"/>
            </w:tcBorders>
            <w:tcMar>
              <w:top w:w="128" w:type="dxa"/>
              <w:left w:w="43" w:type="dxa"/>
              <w:bottom w:w="43" w:type="dxa"/>
              <w:right w:w="43" w:type="dxa"/>
            </w:tcMar>
            <w:vAlign w:val="bottom"/>
          </w:tcPr>
          <w:p w14:paraId="32DCB402" w14:textId="77777777" w:rsidR="000A2A2B" w:rsidRPr="007C3060" w:rsidRDefault="000A2A2B" w:rsidP="007C3060">
            <w:r w:rsidRPr="007C3060">
              <w:t>1 190 926</w:t>
            </w:r>
          </w:p>
        </w:tc>
        <w:tc>
          <w:tcPr>
            <w:tcW w:w="1620" w:type="dxa"/>
            <w:tcBorders>
              <w:top w:val="nil"/>
              <w:left w:val="nil"/>
              <w:bottom w:val="nil"/>
              <w:right w:val="nil"/>
            </w:tcBorders>
            <w:tcMar>
              <w:top w:w="128" w:type="dxa"/>
              <w:left w:w="43" w:type="dxa"/>
              <w:bottom w:w="43" w:type="dxa"/>
              <w:right w:w="43" w:type="dxa"/>
            </w:tcMar>
            <w:vAlign w:val="bottom"/>
          </w:tcPr>
          <w:p w14:paraId="57F28266" w14:textId="77777777" w:rsidR="000A2A2B" w:rsidRPr="007C3060" w:rsidRDefault="000A2A2B" w:rsidP="007C3060">
            <w:r w:rsidRPr="007C3060">
              <w:t>127 148</w:t>
            </w:r>
          </w:p>
        </w:tc>
        <w:tc>
          <w:tcPr>
            <w:tcW w:w="1620" w:type="dxa"/>
            <w:tcBorders>
              <w:top w:val="nil"/>
              <w:left w:val="nil"/>
              <w:bottom w:val="nil"/>
              <w:right w:val="nil"/>
            </w:tcBorders>
            <w:tcMar>
              <w:top w:w="128" w:type="dxa"/>
              <w:left w:w="43" w:type="dxa"/>
              <w:bottom w:w="43" w:type="dxa"/>
              <w:right w:w="43" w:type="dxa"/>
            </w:tcMar>
            <w:vAlign w:val="bottom"/>
          </w:tcPr>
          <w:p w14:paraId="0D815C73" w14:textId="77777777" w:rsidR="000A2A2B" w:rsidRPr="007C3060" w:rsidRDefault="000A2A2B" w:rsidP="007C3060">
            <w:r w:rsidRPr="007C3060">
              <w:t>1 318 074</w:t>
            </w:r>
          </w:p>
        </w:tc>
      </w:tr>
      <w:tr w:rsidR="004B729E" w:rsidRPr="007C3060" w14:paraId="756BA9AE" w14:textId="77777777">
        <w:trPr>
          <w:trHeight w:val="380"/>
        </w:trPr>
        <w:tc>
          <w:tcPr>
            <w:tcW w:w="4720" w:type="dxa"/>
            <w:tcBorders>
              <w:top w:val="nil"/>
              <w:left w:val="nil"/>
              <w:bottom w:val="nil"/>
              <w:right w:val="nil"/>
            </w:tcBorders>
            <w:tcMar>
              <w:top w:w="128" w:type="dxa"/>
              <w:left w:w="43" w:type="dxa"/>
              <w:bottom w:w="43" w:type="dxa"/>
              <w:right w:w="43" w:type="dxa"/>
            </w:tcMar>
          </w:tcPr>
          <w:p w14:paraId="24301255" w14:textId="77777777" w:rsidR="000A2A2B" w:rsidRPr="007C3060" w:rsidRDefault="000A2A2B" w:rsidP="007C3060">
            <w:r w:rsidRPr="007C3060">
              <w:t>Forsvarets logistikkorganisasjon</w:t>
            </w:r>
          </w:p>
        </w:tc>
        <w:tc>
          <w:tcPr>
            <w:tcW w:w="1620" w:type="dxa"/>
            <w:tcBorders>
              <w:top w:val="nil"/>
              <w:left w:val="nil"/>
              <w:bottom w:val="nil"/>
              <w:right w:val="nil"/>
            </w:tcBorders>
            <w:tcMar>
              <w:top w:w="128" w:type="dxa"/>
              <w:left w:w="43" w:type="dxa"/>
              <w:bottom w:w="43" w:type="dxa"/>
              <w:right w:w="43" w:type="dxa"/>
            </w:tcMar>
            <w:vAlign w:val="bottom"/>
          </w:tcPr>
          <w:p w14:paraId="633C12DB" w14:textId="77777777" w:rsidR="000A2A2B" w:rsidRPr="007C3060" w:rsidRDefault="000A2A2B" w:rsidP="007C3060">
            <w:r w:rsidRPr="007C3060">
              <w:t>5 145 601</w:t>
            </w:r>
          </w:p>
        </w:tc>
        <w:tc>
          <w:tcPr>
            <w:tcW w:w="1620" w:type="dxa"/>
            <w:tcBorders>
              <w:top w:val="nil"/>
              <w:left w:val="nil"/>
              <w:bottom w:val="nil"/>
              <w:right w:val="nil"/>
            </w:tcBorders>
            <w:tcMar>
              <w:top w:w="128" w:type="dxa"/>
              <w:left w:w="43" w:type="dxa"/>
              <w:bottom w:w="43" w:type="dxa"/>
              <w:right w:w="43" w:type="dxa"/>
            </w:tcMar>
            <w:vAlign w:val="bottom"/>
          </w:tcPr>
          <w:p w14:paraId="12AC3C72" w14:textId="77777777" w:rsidR="000A2A2B" w:rsidRPr="007C3060" w:rsidRDefault="000A2A2B" w:rsidP="007C3060">
            <w:r w:rsidRPr="007C3060">
              <w:t>-319 556</w:t>
            </w:r>
          </w:p>
        </w:tc>
        <w:tc>
          <w:tcPr>
            <w:tcW w:w="1620" w:type="dxa"/>
            <w:tcBorders>
              <w:top w:val="nil"/>
              <w:left w:val="nil"/>
              <w:bottom w:val="nil"/>
              <w:right w:val="nil"/>
            </w:tcBorders>
            <w:tcMar>
              <w:top w:w="128" w:type="dxa"/>
              <w:left w:w="43" w:type="dxa"/>
              <w:bottom w:w="43" w:type="dxa"/>
              <w:right w:w="43" w:type="dxa"/>
            </w:tcMar>
            <w:vAlign w:val="bottom"/>
          </w:tcPr>
          <w:p w14:paraId="74978F91" w14:textId="77777777" w:rsidR="000A2A2B" w:rsidRPr="007C3060" w:rsidRDefault="000A2A2B" w:rsidP="007C3060">
            <w:r w:rsidRPr="007C3060">
              <w:t>4 826 045</w:t>
            </w:r>
          </w:p>
        </w:tc>
      </w:tr>
      <w:tr w:rsidR="004B729E" w:rsidRPr="007C3060" w14:paraId="2939AF1E" w14:textId="77777777">
        <w:trPr>
          <w:trHeight w:val="380"/>
        </w:trPr>
        <w:tc>
          <w:tcPr>
            <w:tcW w:w="4720" w:type="dxa"/>
            <w:tcBorders>
              <w:top w:val="nil"/>
              <w:left w:val="nil"/>
              <w:bottom w:val="nil"/>
              <w:right w:val="nil"/>
            </w:tcBorders>
            <w:tcMar>
              <w:top w:w="128" w:type="dxa"/>
              <w:left w:w="43" w:type="dxa"/>
              <w:bottom w:w="43" w:type="dxa"/>
              <w:right w:w="43" w:type="dxa"/>
            </w:tcMar>
          </w:tcPr>
          <w:p w14:paraId="3E5969BA" w14:textId="77777777" w:rsidR="000A2A2B" w:rsidRPr="007C3060" w:rsidRDefault="000A2A2B" w:rsidP="007C3060">
            <w:r w:rsidRPr="007C3060">
              <w:t>Forsvarets operative hovedkvarter</w:t>
            </w:r>
          </w:p>
        </w:tc>
        <w:tc>
          <w:tcPr>
            <w:tcW w:w="1620" w:type="dxa"/>
            <w:tcBorders>
              <w:top w:val="nil"/>
              <w:left w:val="nil"/>
              <w:bottom w:val="nil"/>
              <w:right w:val="nil"/>
            </w:tcBorders>
            <w:tcMar>
              <w:top w:w="128" w:type="dxa"/>
              <w:left w:w="43" w:type="dxa"/>
              <w:bottom w:w="43" w:type="dxa"/>
              <w:right w:w="43" w:type="dxa"/>
            </w:tcMar>
            <w:vAlign w:val="bottom"/>
          </w:tcPr>
          <w:p w14:paraId="0739E59B" w14:textId="77777777" w:rsidR="000A2A2B" w:rsidRPr="007C3060" w:rsidRDefault="000A2A2B" w:rsidP="007C3060">
            <w:r w:rsidRPr="007C3060">
              <w:t>760 307</w:t>
            </w:r>
          </w:p>
        </w:tc>
        <w:tc>
          <w:tcPr>
            <w:tcW w:w="1620" w:type="dxa"/>
            <w:tcBorders>
              <w:top w:val="nil"/>
              <w:left w:val="nil"/>
              <w:bottom w:val="nil"/>
              <w:right w:val="nil"/>
            </w:tcBorders>
            <w:tcMar>
              <w:top w:w="128" w:type="dxa"/>
              <w:left w:w="43" w:type="dxa"/>
              <w:bottom w:w="43" w:type="dxa"/>
              <w:right w:w="43" w:type="dxa"/>
            </w:tcMar>
            <w:vAlign w:val="bottom"/>
          </w:tcPr>
          <w:p w14:paraId="532A2766" w14:textId="77777777" w:rsidR="000A2A2B" w:rsidRPr="007C3060" w:rsidRDefault="000A2A2B" w:rsidP="007C3060">
            <w:r w:rsidRPr="007C3060">
              <w:t>478 372</w:t>
            </w:r>
          </w:p>
        </w:tc>
        <w:tc>
          <w:tcPr>
            <w:tcW w:w="1620" w:type="dxa"/>
            <w:tcBorders>
              <w:top w:val="nil"/>
              <w:left w:val="nil"/>
              <w:bottom w:val="nil"/>
              <w:right w:val="nil"/>
            </w:tcBorders>
            <w:tcMar>
              <w:top w:w="128" w:type="dxa"/>
              <w:left w:w="43" w:type="dxa"/>
              <w:bottom w:w="43" w:type="dxa"/>
              <w:right w:w="43" w:type="dxa"/>
            </w:tcMar>
            <w:vAlign w:val="bottom"/>
          </w:tcPr>
          <w:p w14:paraId="133667D2" w14:textId="77777777" w:rsidR="000A2A2B" w:rsidRPr="007C3060" w:rsidRDefault="000A2A2B" w:rsidP="007C3060">
            <w:r w:rsidRPr="007C3060">
              <w:t>1 238 679</w:t>
            </w:r>
          </w:p>
        </w:tc>
      </w:tr>
      <w:tr w:rsidR="004B729E" w:rsidRPr="007C3060" w14:paraId="796F690C" w14:textId="77777777">
        <w:trPr>
          <w:trHeight w:val="380"/>
        </w:trPr>
        <w:tc>
          <w:tcPr>
            <w:tcW w:w="4720" w:type="dxa"/>
            <w:tcBorders>
              <w:top w:val="nil"/>
              <w:left w:val="nil"/>
              <w:bottom w:val="nil"/>
              <w:right w:val="nil"/>
            </w:tcBorders>
            <w:tcMar>
              <w:top w:w="128" w:type="dxa"/>
              <w:left w:w="43" w:type="dxa"/>
              <w:bottom w:w="43" w:type="dxa"/>
              <w:right w:w="43" w:type="dxa"/>
            </w:tcMar>
          </w:tcPr>
          <w:p w14:paraId="24FFE4D9" w14:textId="77777777" w:rsidR="000A2A2B" w:rsidRPr="007C3060" w:rsidRDefault="000A2A2B" w:rsidP="007C3060">
            <w:r w:rsidRPr="007C3060">
              <w:t xml:space="preserve">Forsvarets personell- og </w:t>
            </w:r>
            <w:proofErr w:type="spellStart"/>
            <w:r w:rsidRPr="007C3060">
              <w:t>vernepliktssenter</w:t>
            </w:r>
            <w:proofErr w:type="spellEnd"/>
          </w:p>
        </w:tc>
        <w:tc>
          <w:tcPr>
            <w:tcW w:w="1620" w:type="dxa"/>
            <w:tcBorders>
              <w:top w:val="nil"/>
              <w:left w:val="nil"/>
              <w:bottom w:val="nil"/>
              <w:right w:val="nil"/>
            </w:tcBorders>
            <w:tcMar>
              <w:top w:w="128" w:type="dxa"/>
              <w:left w:w="43" w:type="dxa"/>
              <w:bottom w:w="43" w:type="dxa"/>
              <w:right w:w="43" w:type="dxa"/>
            </w:tcMar>
            <w:vAlign w:val="bottom"/>
          </w:tcPr>
          <w:p w14:paraId="07FB0F3C" w14:textId="77777777" w:rsidR="000A2A2B" w:rsidRPr="007C3060" w:rsidRDefault="000A2A2B" w:rsidP="007C3060">
            <w:r w:rsidRPr="007C3060">
              <w:t>1 763 619</w:t>
            </w:r>
          </w:p>
        </w:tc>
        <w:tc>
          <w:tcPr>
            <w:tcW w:w="1620" w:type="dxa"/>
            <w:tcBorders>
              <w:top w:val="nil"/>
              <w:left w:val="nil"/>
              <w:bottom w:val="nil"/>
              <w:right w:val="nil"/>
            </w:tcBorders>
            <w:tcMar>
              <w:top w:w="128" w:type="dxa"/>
              <w:left w:w="43" w:type="dxa"/>
              <w:bottom w:w="43" w:type="dxa"/>
              <w:right w:w="43" w:type="dxa"/>
            </w:tcMar>
            <w:vAlign w:val="bottom"/>
          </w:tcPr>
          <w:p w14:paraId="45841F54" w14:textId="77777777" w:rsidR="000A2A2B" w:rsidRPr="007C3060" w:rsidRDefault="000A2A2B" w:rsidP="007C3060">
            <w:r w:rsidRPr="007C3060">
              <w:t>282 969</w:t>
            </w:r>
          </w:p>
        </w:tc>
        <w:tc>
          <w:tcPr>
            <w:tcW w:w="1620" w:type="dxa"/>
            <w:tcBorders>
              <w:top w:val="nil"/>
              <w:left w:val="nil"/>
              <w:bottom w:val="nil"/>
              <w:right w:val="nil"/>
            </w:tcBorders>
            <w:tcMar>
              <w:top w:w="128" w:type="dxa"/>
              <w:left w:w="43" w:type="dxa"/>
              <w:bottom w:w="43" w:type="dxa"/>
              <w:right w:w="43" w:type="dxa"/>
            </w:tcMar>
            <w:vAlign w:val="bottom"/>
          </w:tcPr>
          <w:p w14:paraId="78B2ABA2" w14:textId="77777777" w:rsidR="000A2A2B" w:rsidRPr="007C3060" w:rsidRDefault="000A2A2B" w:rsidP="007C3060">
            <w:r w:rsidRPr="007C3060">
              <w:t>2 046 588</w:t>
            </w:r>
          </w:p>
        </w:tc>
      </w:tr>
      <w:tr w:rsidR="004B729E" w:rsidRPr="007C3060" w14:paraId="5DDB53DE" w14:textId="77777777">
        <w:trPr>
          <w:trHeight w:val="380"/>
        </w:trPr>
        <w:tc>
          <w:tcPr>
            <w:tcW w:w="4720" w:type="dxa"/>
            <w:tcBorders>
              <w:top w:val="nil"/>
              <w:left w:val="nil"/>
              <w:bottom w:val="nil"/>
              <w:right w:val="nil"/>
            </w:tcBorders>
            <w:tcMar>
              <w:top w:w="128" w:type="dxa"/>
              <w:left w:w="43" w:type="dxa"/>
              <w:bottom w:w="43" w:type="dxa"/>
              <w:right w:w="43" w:type="dxa"/>
            </w:tcMar>
          </w:tcPr>
          <w:p w14:paraId="421DF3A9" w14:textId="77777777" w:rsidR="000A2A2B" w:rsidRPr="007C3060" w:rsidRDefault="000A2A2B" w:rsidP="007C3060">
            <w:r w:rsidRPr="007C3060">
              <w:t>Forsvarets spesialstyrker</w:t>
            </w:r>
          </w:p>
        </w:tc>
        <w:tc>
          <w:tcPr>
            <w:tcW w:w="1620" w:type="dxa"/>
            <w:tcBorders>
              <w:top w:val="nil"/>
              <w:left w:val="nil"/>
              <w:bottom w:val="nil"/>
              <w:right w:val="nil"/>
            </w:tcBorders>
            <w:tcMar>
              <w:top w:w="128" w:type="dxa"/>
              <w:left w:w="43" w:type="dxa"/>
              <w:bottom w:w="43" w:type="dxa"/>
              <w:right w:w="43" w:type="dxa"/>
            </w:tcMar>
            <w:vAlign w:val="bottom"/>
          </w:tcPr>
          <w:p w14:paraId="12196F71" w14:textId="77777777" w:rsidR="000A2A2B" w:rsidRPr="007C3060" w:rsidRDefault="000A2A2B" w:rsidP="007C3060">
            <w:r w:rsidRPr="007C3060">
              <w:t>1 395 619</w:t>
            </w:r>
          </w:p>
        </w:tc>
        <w:tc>
          <w:tcPr>
            <w:tcW w:w="1620" w:type="dxa"/>
            <w:tcBorders>
              <w:top w:val="nil"/>
              <w:left w:val="nil"/>
              <w:bottom w:val="nil"/>
              <w:right w:val="nil"/>
            </w:tcBorders>
            <w:tcMar>
              <w:top w:w="128" w:type="dxa"/>
              <w:left w:w="43" w:type="dxa"/>
              <w:bottom w:w="43" w:type="dxa"/>
              <w:right w:w="43" w:type="dxa"/>
            </w:tcMar>
            <w:vAlign w:val="bottom"/>
          </w:tcPr>
          <w:p w14:paraId="74D4FBBE" w14:textId="77777777" w:rsidR="000A2A2B" w:rsidRPr="007C3060" w:rsidRDefault="000A2A2B" w:rsidP="007C3060">
            <w:r w:rsidRPr="007C3060">
              <w:t>249 486</w:t>
            </w:r>
          </w:p>
        </w:tc>
        <w:tc>
          <w:tcPr>
            <w:tcW w:w="1620" w:type="dxa"/>
            <w:tcBorders>
              <w:top w:val="nil"/>
              <w:left w:val="nil"/>
              <w:bottom w:val="nil"/>
              <w:right w:val="nil"/>
            </w:tcBorders>
            <w:tcMar>
              <w:top w:w="128" w:type="dxa"/>
              <w:left w:w="43" w:type="dxa"/>
              <w:bottom w:w="43" w:type="dxa"/>
              <w:right w:w="43" w:type="dxa"/>
            </w:tcMar>
            <w:vAlign w:val="bottom"/>
          </w:tcPr>
          <w:p w14:paraId="29CAA2FC" w14:textId="77777777" w:rsidR="000A2A2B" w:rsidRPr="007C3060" w:rsidRDefault="000A2A2B" w:rsidP="007C3060">
            <w:r w:rsidRPr="007C3060">
              <w:t>1 645 105</w:t>
            </w:r>
          </w:p>
        </w:tc>
      </w:tr>
      <w:tr w:rsidR="004B729E" w:rsidRPr="007C3060" w14:paraId="28284E01" w14:textId="77777777">
        <w:trPr>
          <w:trHeight w:val="380"/>
        </w:trPr>
        <w:tc>
          <w:tcPr>
            <w:tcW w:w="4720" w:type="dxa"/>
            <w:tcBorders>
              <w:top w:val="nil"/>
              <w:left w:val="nil"/>
              <w:bottom w:val="nil"/>
              <w:right w:val="nil"/>
            </w:tcBorders>
            <w:tcMar>
              <w:top w:w="128" w:type="dxa"/>
              <w:left w:w="43" w:type="dxa"/>
              <w:bottom w:w="43" w:type="dxa"/>
              <w:right w:w="43" w:type="dxa"/>
            </w:tcMar>
          </w:tcPr>
          <w:p w14:paraId="422D5FF0" w14:textId="77777777" w:rsidR="000A2A2B" w:rsidRPr="007C3060" w:rsidRDefault="000A2A2B" w:rsidP="007C3060">
            <w:r w:rsidRPr="007C3060">
              <w:lastRenderedPageBreak/>
              <w:t>Forsvarets sanitet</w:t>
            </w:r>
          </w:p>
        </w:tc>
        <w:tc>
          <w:tcPr>
            <w:tcW w:w="1620" w:type="dxa"/>
            <w:tcBorders>
              <w:top w:val="nil"/>
              <w:left w:val="nil"/>
              <w:bottom w:val="nil"/>
              <w:right w:val="nil"/>
            </w:tcBorders>
            <w:tcMar>
              <w:top w:w="128" w:type="dxa"/>
              <w:left w:w="43" w:type="dxa"/>
              <w:bottom w:w="43" w:type="dxa"/>
              <w:right w:w="43" w:type="dxa"/>
            </w:tcMar>
            <w:vAlign w:val="bottom"/>
          </w:tcPr>
          <w:p w14:paraId="61C6506E" w14:textId="77777777" w:rsidR="000A2A2B" w:rsidRPr="007C3060" w:rsidRDefault="000A2A2B" w:rsidP="007C3060">
            <w:r w:rsidRPr="007C3060">
              <w:t>463 282</w:t>
            </w:r>
          </w:p>
        </w:tc>
        <w:tc>
          <w:tcPr>
            <w:tcW w:w="1620" w:type="dxa"/>
            <w:tcBorders>
              <w:top w:val="nil"/>
              <w:left w:val="nil"/>
              <w:bottom w:val="nil"/>
              <w:right w:val="nil"/>
            </w:tcBorders>
            <w:tcMar>
              <w:top w:w="128" w:type="dxa"/>
              <w:left w:w="43" w:type="dxa"/>
              <w:bottom w:w="43" w:type="dxa"/>
              <w:right w:w="43" w:type="dxa"/>
            </w:tcMar>
            <w:vAlign w:val="bottom"/>
          </w:tcPr>
          <w:p w14:paraId="1008686D" w14:textId="77777777" w:rsidR="000A2A2B" w:rsidRPr="007C3060" w:rsidRDefault="000A2A2B" w:rsidP="007C3060">
            <w:r w:rsidRPr="007C3060">
              <w:t>-8 922</w:t>
            </w:r>
          </w:p>
        </w:tc>
        <w:tc>
          <w:tcPr>
            <w:tcW w:w="1620" w:type="dxa"/>
            <w:tcBorders>
              <w:top w:val="nil"/>
              <w:left w:val="nil"/>
              <w:bottom w:val="nil"/>
              <w:right w:val="nil"/>
            </w:tcBorders>
            <w:tcMar>
              <w:top w:w="128" w:type="dxa"/>
              <w:left w:w="43" w:type="dxa"/>
              <w:bottom w:w="43" w:type="dxa"/>
              <w:right w:w="43" w:type="dxa"/>
            </w:tcMar>
            <w:vAlign w:val="bottom"/>
          </w:tcPr>
          <w:p w14:paraId="2D9AD69F" w14:textId="77777777" w:rsidR="000A2A2B" w:rsidRPr="007C3060" w:rsidRDefault="000A2A2B" w:rsidP="007C3060">
            <w:r w:rsidRPr="007C3060">
              <w:t>454 360</w:t>
            </w:r>
          </w:p>
        </w:tc>
      </w:tr>
      <w:tr w:rsidR="004B729E" w:rsidRPr="007C3060" w14:paraId="40AF6E88" w14:textId="77777777">
        <w:trPr>
          <w:trHeight w:val="380"/>
        </w:trPr>
        <w:tc>
          <w:tcPr>
            <w:tcW w:w="4720" w:type="dxa"/>
            <w:tcBorders>
              <w:top w:val="nil"/>
              <w:left w:val="nil"/>
              <w:bottom w:val="nil"/>
              <w:right w:val="nil"/>
            </w:tcBorders>
            <w:tcMar>
              <w:top w:w="128" w:type="dxa"/>
              <w:left w:w="43" w:type="dxa"/>
              <w:bottom w:w="43" w:type="dxa"/>
              <w:right w:w="43" w:type="dxa"/>
            </w:tcMar>
          </w:tcPr>
          <w:p w14:paraId="2D4557B4" w14:textId="77777777" w:rsidR="000A2A2B" w:rsidRPr="007C3060" w:rsidRDefault="000A2A2B" w:rsidP="007C3060">
            <w:r w:rsidRPr="007C3060">
              <w:t>Heimevernet</w:t>
            </w:r>
          </w:p>
        </w:tc>
        <w:tc>
          <w:tcPr>
            <w:tcW w:w="1620" w:type="dxa"/>
            <w:tcBorders>
              <w:top w:val="nil"/>
              <w:left w:val="nil"/>
              <w:bottom w:val="nil"/>
              <w:right w:val="nil"/>
            </w:tcBorders>
            <w:tcMar>
              <w:top w:w="128" w:type="dxa"/>
              <w:left w:w="43" w:type="dxa"/>
              <w:bottom w:w="43" w:type="dxa"/>
              <w:right w:w="43" w:type="dxa"/>
            </w:tcMar>
            <w:vAlign w:val="bottom"/>
          </w:tcPr>
          <w:p w14:paraId="584257FA" w14:textId="77777777" w:rsidR="000A2A2B" w:rsidRPr="007C3060" w:rsidRDefault="000A2A2B" w:rsidP="007C3060">
            <w:r w:rsidRPr="007C3060">
              <w:t>3 035 421</w:t>
            </w:r>
          </w:p>
        </w:tc>
        <w:tc>
          <w:tcPr>
            <w:tcW w:w="1620" w:type="dxa"/>
            <w:tcBorders>
              <w:top w:val="nil"/>
              <w:left w:val="nil"/>
              <w:bottom w:val="nil"/>
              <w:right w:val="nil"/>
            </w:tcBorders>
            <w:tcMar>
              <w:top w:w="128" w:type="dxa"/>
              <w:left w:w="43" w:type="dxa"/>
              <w:bottom w:w="43" w:type="dxa"/>
              <w:right w:w="43" w:type="dxa"/>
            </w:tcMar>
            <w:vAlign w:val="bottom"/>
          </w:tcPr>
          <w:p w14:paraId="0435E585" w14:textId="77777777" w:rsidR="000A2A2B" w:rsidRPr="007C3060" w:rsidRDefault="000A2A2B" w:rsidP="007C3060">
            <w:r w:rsidRPr="007C3060">
              <w:t>331 186</w:t>
            </w:r>
          </w:p>
        </w:tc>
        <w:tc>
          <w:tcPr>
            <w:tcW w:w="1620" w:type="dxa"/>
            <w:tcBorders>
              <w:top w:val="nil"/>
              <w:left w:val="nil"/>
              <w:bottom w:val="nil"/>
              <w:right w:val="nil"/>
            </w:tcBorders>
            <w:tcMar>
              <w:top w:w="128" w:type="dxa"/>
              <w:left w:w="43" w:type="dxa"/>
              <w:bottom w:w="43" w:type="dxa"/>
              <w:right w:w="43" w:type="dxa"/>
            </w:tcMar>
            <w:vAlign w:val="bottom"/>
          </w:tcPr>
          <w:p w14:paraId="22B2CEAC" w14:textId="77777777" w:rsidR="000A2A2B" w:rsidRPr="007C3060" w:rsidRDefault="000A2A2B" w:rsidP="007C3060">
            <w:r w:rsidRPr="007C3060">
              <w:t>3 366 607</w:t>
            </w:r>
          </w:p>
        </w:tc>
      </w:tr>
      <w:tr w:rsidR="004B729E" w:rsidRPr="007C3060" w14:paraId="30904593" w14:textId="77777777">
        <w:trPr>
          <w:trHeight w:val="380"/>
        </w:trPr>
        <w:tc>
          <w:tcPr>
            <w:tcW w:w="4720" w:type="dxa"/>
            <w:tcBorders>
              <w:top w:val="nil"/>
              <w:left w:val="nil"/>
              <w:bottom w:val="nil"/>
              <w:right w:val="nil"/>
            </w:tcBorders>
            <w:tcMar>
              <w:top w:w="128" w:type="dxa"/>
              <w:left w:w="43" w:type="dxa"/>
              <w:bottom w:w="43" w:type="dxa"/>
              <w:right w:w="43" w:type="dxa"/>
            </w:tcMar>
          </w:tcPr>
          <w:p w14:paraId="25302D47" w14:textId="77777777" w:rsidR="000A2A2B" w:rsidRPr="007C3060" w:rsidRDefault="000A2A2B" w:rsidP="007C3060">
            <w:r w:rsidRPr="007C3060">
              <w:t>Hæren</w:t>
            </w:r>
          </w:p>
        </w:tc>
        <w:tc>
          <w:tcPr>
            <w:tcW w:w="1620" w:type="dxa"/>
            <w:tcBorders>
              <w:top w:val="nil"/>
              <w:left w:val="nil"/>
              <w:bottom w:val="nil"/>
              <w:right w:val="nil"/>
            </w:tcBorders>
            <w:tcMar>
              <w:top w:w="128" w:type="dxa"/>
              <w:left w:w="43" w:type="dxa"/>
              <w:bottom w:w="43" w:type="dxa"/>
              <w:right w:w="43" w:type="dxa"/>
            </w:tcMar>
            <w:vAlign w:val="bottom"/>
          </w:tcPr>
          <w:p w14:paraId="4445B66A" w14:textId="77777777" w:rsidR="000A2A2B" w:rsidRPr="007C3060" w:rsidRDefault="000A2A2B" w:rsidP="007C3060">
            <w:r w:rsidRPr="007C3060">
              <w:t>8 100 374</w:t>
            </w:r>
          </w:p>
        </w:tc>
        <w:tc>
          <w:tcPr>
            <w:tcW w:w="1620" w:type="dxa"/>
            <w:tcBorders>
              <w:top w:val="nil"/>
              <w:left w:val="nil"/>
              <w:bottom w:val="nil"/>
              <w:right w:val="nil"/>
            </w:tcBorders>
            <w:tcMar>
              <w:top w:w="128" w:type="dxa"/>
              <w:left w:w="43" w:type="dxa"/>
              <w:bottom w:w="43" w:type="dxa"/>
              <w:right w:w="43" w:type="dxa"/>
            </w:tcMar>
            <w:vAlign w:val="bottom"/>
          </w:tcPr>
          <w:p w14:paraId="4173CE22" w14:textId="77777777" w:rsidR="000A2A2B" w:rsidRPr="007C3060" w:rsidRDefault="000A2A2B" w:rsidP="007C3060">
            <w:r w:rsidRPr="007C3060">
              <w:t>1 373 345</w:t>
            </w:r>
          </w:p>
        </w:tc>
        <w:tc>
          <w:tcPr>
            <w:tcW w:w="1620" w:type="dxa"/>
            <w:tcBorders>
              <w:top w:val="nil"/>
              <w:left w:val="nil"/>
              <w:bottom w:val="nil"/>
              <w:right w:val="nil"/>
            </w:tcBorders>
            <w:tcMar>
              <w:top w:w="128" w:type="dxa"/>
              <w:left w:w="43" w:type="dxa"/>
              <w:bottom w:w="43" w:type="dxa"/>
              <w:right w:w="43" w:type="dxa"/>
            </w:tcMar>
            <w:vAlign w:val="bottom"/>
          </w:tcPr>
          <w:p w14:paraId="12B7CF16" w14:textId="77777777" w:rsidR="000A2A2B" w:rsidRPr="007C3060" w:rsidRDefault="000A2A2B" w:rsidP="007C3060">
            <w:r w:rsidRPr="007C3060">
              <w:t>9 473 719</w:t>
            </w:r>
          </w:p>
        </w:tc>
      </w:tr>
      <w:tr w:rsidR="004B729E" w:rsidRPr="007C3060" w14:paraId="1B577365" w14:textId="77777777">
        <w:trPr>
          <w:trHeight w:val="380"/>
        </w:trPr>
        <w:tc>
          <w:tcPr>
            <w:tcW w:w="4720" w:type="dxa"/>
            <w:tcBorders>
              <w:top w:val="nil"/>
              <w:left w:val="nil"/>
              <w:bottom w:val="nil"/>
              <w:right w:val="nil"/>
            </w:tcBorders>
            <w:tcMar>
              <w:top w:w="128" w:type="dxa"/>
              <w:left w:w="43" w:type="dxa"/>
              <w:bottom w:w="43" w:type="dxa"/>
              <w:right w:w="43" w:type="dxa"/>
            </w:tcMar>
          </w:tcPr>
          <w:p w14:paraId="29C9F64A" w14:textId="77777777" w:rsidR="000A2A2B" w:rsidRPr="007C3060" w:rsidRDefault="000A2A2B" w:rsidP="007C3060">
            <w:r w:rsidRPr="007C3060">
              <w:t>Luftforsvaret</w:t>
            </w:r>
          </w:p>
        </w:tc>
        <w:tc>
          <w:tcPr>
            <w:tcW w:w="1620" w:type="dxa"/>
            <w:tcBorders>
              <w:top w:val="nil"/>
              <w:left w:val="nil"/>
              <w:bottom w:val="nil"/>
              <w:right w:val="nil"/>
            </w:tcBorders>
            <w:tcMar>
              <w:top w:w="128" w:type="dxa"/>
              <w:left w:w="43" w:type="dxa"/>
              <w:bottom w:w="43" w:type="dxa"/>
              <w:right w:w="43" w:type="dxa"/>
            </w:tcMar>
            <w:vAlign w:val="bottom"/>
          </w:tcPr>
          <w:p w14:paraId="43FA3F36" w14:textId="77777777" w:rsidR="000A2A2B" w:rsidRPr="007C3060" w:rsidRDefault="000A2A2B" w:rsidP="007C3060">
            <w:r w:rsidRPr="007C3060">
              <w:t>9 822 227</w:t>
            </w:r>
          </w:p>
        </w:tc>
        <w:tc>
          <w:tcPr>
            <w:tcW w:w="1620" w:type="dxa"/>
            <w:tcBorders>
              <w:top w:val="nil"/>
              <w:left w:val="nil"/>
              <w:bottom w:val="nil"/>
              <w:right w:val="nil"/>
            </w:tcBorders>
            <w:tcMar>
              <w:top w:w="128" w:type="dxa"/>
              <w:left w:w="43" w:type="dxa"/>
              <w:bottom w:w="43" w:type="dxa"/>
              <w:right w:w="43" w:type="dxa"/>
            </w:tcMar>
            <w:vAlign w:val="bottom"/>
          </w:tcPr>
          <w:p w14:paraId="7257DBA6" w14:textId="77777777" w:rsidR="000A2A2B" w:rsidRPr="007C3060" w:rsidRDefault="000A2A2B" w:rsidP="007C3060">
            <w:r w:rsidRPr="007C3060">
              <w:t>887 562</w:t>
            </w:r>
          </w:p>
        </w:tc>
        <w:tc>
          <w:tcPr>
            <w:tcW w:w="1620" w:type="dxa"/>
            <w:tcBorders>
              <w:top w:val="nil"/>
              <w:left w:val="nil"/>
              <w:bottom w:val="nil"/>
              <w:right w:val="nil"/>
            </w:tcBorders>
            <w:tcMar>
              <w:top w:w="128" w:type="dxa"/>
              <w:left w:w="43" w:type="dxa"/>
              <w:bottom w:w="43" w:type="dxa"/>
              <w:right w:w="43" w:type="dxa"/>
            </w:tcMar>
            <w:vAlign w:val="bottom"/>
          </w:tcPr>
          <w:p w14:paraId="2F9251C3" w14:textId="77777777" w:rsidR="000A2A2B" w:rsidRPr="007C3060" w:rsidRDefault="000A2A2B" w:rsidP="007C3060">
            <w:r w:rsidRPr="007C3060">
              <w:t>10 709 789</w:t>
            </w:r>
          </w:p>
        </w:tc>
      </w:tr>
      <w:tr w:rsidR="004B729E" w:rsidRPr="007C3060" w14:paraId="03E21471" w14:textId="77777777">
        <w:trPr>
          <w:trHeight w:val="380"/>
        </w:trPr>
        <w:tc>
          <w:tcPr>
            <w:tcW w:w="4720" w:type="dxa"/>
            <w:tcBorders>
              <w:top w:val="nil"/>
              <w:left w:val="nil"/>
              <w:bottom w:val="nil"/>
              <w:right w:val="nil"/>
            </w:tcBorders>
            <w:tcMar>
              <w:top w:w="128" w:type="dxa"/>
              <w:left w:w="43" w:type="dxa"/>
              <w:bottom w:w="43" w:type="dxa"/>
              <w:right w:w="43" w:type="dxa"/>
            </w:tcMar>
          </w:tcPr>
          <w:p w14:paraId="04F29D19" w14:textId="77777777" w:rsidR="000A2A2B" w:rsidRPr="007C3060" w:rsidRDefault="000A2A2B" w:rsidP="007C3060">
            <w:r w:rsidRPr="007C3060">
              <w:t>Sjøforsvaret, ekskl. Kystvakten</w:t>
            </w:r>
          </w:p>
        </w:tc>
        <w:tc>
          <w:tcPr>
            <w:tcW w:w="1620" w:type="dxa"/>
            <w:tcBorders>
              <w:top w:val="nil"/>
              <w:left w:val="nil"/>
              <w:bottom w:val="nil"/>
              <w:right w:val="nil"/>
            </w:tcBorders>
            <w:tcMar>
              <w:top w:w="128" w:type="dxa"/>
              <w:left w:w="43" w:type="dxa"/>
              <w:bottom w:w="43" w:type="dxa"/>
              <w:right w:w="43" w:type="dxa"/>
            </w:tcMar>
            <w:vAlign w:val="bottom"/>
          </w:tcPr>
          <w:p w14:paraId="6A816C6C" w14:textId="77777777" w:rsidR="000A2A2B" w:rsidRPr="007C3060" w:rsidRDefault="000A2A2B" w:rsidP="007C3060">
            <w:r w:rsidRPr="007C3060">
              <w:t>5 982 322</w:t>
            </w:r>
          </w:p>
        </w:tc>
        <w:tc>
          <w:tcPr>
            <w:tcW w:w="1620" w:type="dxa"/>
            <w:tcBorders>
              <w:top w:val="nil"/>
              <w:left w:val="nil"/>
              <w:bottom w:val="nil"/>
              <w:right w:val="nil"/>
            </w:tcBorders>
            <w:tcMar>
              <w:top w:w="128" w:type="dxa"/>
              <w:left w:w="43" w:type="dxa"/>
              <w:bottom w:w="43" w:type="dxa"/>
              <w:right w:w="43" w:type="dxa"/>
            </w:tcMar>
            <w:vAlign w:val="bottom"/>
          </w:tcPr>
          <w:p w14:paraId="022948C0" w14:textId="77777777" w:rsidR="000A2A2B" w:rsidRPr="007C3060" w:rsidRDefault="000A2A2B" w:rsidP="007C3060">
            <w:r w:rsidRPr="007C3060">
              <w:t>1 732 470</w:t>
            </w:r>
          </w:p>
        </w:tc>
        <w:tc>
          <w:tcPr>
            <w:tcW w:w="1620" w:type="dxa"/>
            <w:tcBorders>
              <w:top w:val="nil"/>
              <w:left w:val="nil"/>
              <w:bottom w:val="nil"/>
              <w:right w:val="nil"/>
            </w:tcBorders>
            <w:tcMar>
              <w:top w:w="128" w:type="dxa"/>
              <w:left w:w="43" w:type="dxa"/>
              <w:bottom w:w="43" w:type="dxa"/>
              <w:right w:w="43" w:type="dxa"/>
            </w:tcMar>
            <w:vAlign w:val="bottom"/>
          </w:tcPr>
          <w:p w14:paraId="04D8953E" w14:textId="77777777" w:rsidR="000A2A2B" w:rsidRPr="007C3060" w:rsidRDefault="000A2A2B" w:rsidP="007C3060">
            <w:r w:rsidRPr="007C3060">
              <w:t>7 714 792</w:t>
            </w:r>
          </w:p>
        </w:tc>
      </w:tr>
      <w:tr w:rsidR="004B729E" w:rsidRPr="007C3060" w14:paraId="55FAC6CB" w14:textId="77777777">
        <w:trPr>
          <w:trHeight w:val="380"/>
        </w:trPr>
        <w:tc>
          <w:tcPr>
            <w:tcW w:w="4720" w:type="dxa"/>
            <w:tcBorders>
              <w:top w:val="nil"/>
              <w:left w:val="nil"/>
              <w:bottom w:val="nil"/>
              <w:right w:val="nil"/>
            </w:tcBorders>
            <w:tcMar>
              <w:top w:w="128" w:type="dxa"/>
              <w:left w:w="43" w:type="dxa"/>
              <w:bottom w:w="43" w:type="dxa"/>
              <w:right w:w="43" w:type="dxa"/>
            </w:tcMar>
          </w:tcPr>
          <w:p w14:paraId="1336DDE7" w14:textId="77777777" w:rsidR="000A2A2B" w:rsidRPr="007C3060" w:rsidRDefault="000A2A2B" w:rsidP="007C3060">
            <w:r w:rsidRPr="007C3060">
              <w:t>Norske styrker i utlandet</w:t>
            </w:r>
          </w:p>
        </w:tc>
        <w:tc>
          <w:tcPr>
            <w:tcW w:w="1620" w:type="dxa"/>
            <w:tcBorders>
              <w:top w:val="nil"/>
              <w:left w:val="nil"/>
              <w:bottom w:val="nil"/>
              <w:right w:val="nil"/>
            </w:tcBorders>
            <w:tcMar>
              <w:top w:w="128" w:type="dxa"/>
              <w:left w:w="43" w:type="dxa"/>
              <w:bottom w:w="43" w:type="dxa"/>
              <w:right w:w="43" w:type="dxa"/>
            </w:tcMar>
            <w:vAlign w:val="bottom"/>
          </w:tcPr>
          <w:p w14:paraId="3AEBAD9B" w14:textId="77777777" w:rsidR="000A2A2B" w:rsidRPr="007C3060" w:rsidRDefault="000A2A2B" w:rsidP="007C3060">
            <w:r w:rsidRPr="007C3060">
              <w:t>1 179 076</w:t>
            </w:r>
          </w:p>
        </w:tc>
        <w:tc>
          <w:tcPr>
            <w:tcW w:w="1620" w:type="dxa"/>
            <w:tcBorders>
              <w:top w:val="nil"/>
              <w:left w:val="nil"/>
              <w:bottom w:val="nil"/>
              <w:right w:val="nil"/>
            </w:tcBorders>
            <w:tcMar>
              <w:top w:w="128" w:type="dxa"/>
              <w:left w:w="43" w:type="dxa"/>
              <w:bottom w:w="43" w:type="dxa"/>
              <w:right w:w="43" w:type="dxa"/>
            </w:tcMar>
            <w:vAlign w:val="bottom"/>
          </w:tcPr>
          <w:p w14:paraId="7E6FD937" w14:textId="77777777" w:rsidR="000A2A2B" w:rsidRPr="007C3060" w:rsidRDefault="000A2A2B" w:rsidP="007C3060">
            <w:r w:rsidRPr="007C3060">
              <w:t>-1 074 495</w:t>
            </w:r>
          </w:p>
        </w:tc>
        <w:tc>
          <w:tcPr>
            <w:tcW w:w="1620" w:type="dxa"/>
            <w:tcBorders>
              <w:top w:val="nil"/>
              <w:left w:val="nil"/>
              <w:bottom w:val="nil"/>
              <w:right w:val="nil"/>
            </w:tcBorders>
            <w:tcMar>
              <w:top w:w="128" w:type="dxa"/>
              <w:left w:w="43" w:type="dxa"/>
              <w:bottom w:w="43" w:type="dxa"/>
              <w:right w:w="43" w:type="dxa"/>
            </w:tcMar>
            <w:vAlign w:val="bottom"/>
          </w:tcPr>
          <w:p w14:paraId="23ECFEE1" w14:textId="77777777" w:rsidR="000A2A2B" w:rsidRPr="007C3060" w:rsidRDefault="000A2A2B" w:rsidP="007C3060">
            <w:r w:rsidRPr="007C3060">
              <w:t>104 581</w:t>
            </w:r>
          </w:p>
        </w:tc>
      </w:tr>
      <w:tr w:rsidR="004B729E" w:rsidRPr="007C3060" w14:paraId="6E03ADFA" w14:textId="77777777">
        <w:trPr>
          <w:trHeight w:val="380"/>
        </w:trPr>
        <w:tc>
          <w:tcPr>
            <w:tcW w:w="4720" w:type="dxa"/>
            <w:tcBorders>
              <w:top w:val="nil"/>
              <w:left w:val="nil"/>
              <w:bottom w:val="nil"/>
              <w:right w:val="nil"/>
            </w:tcBorders>
            <w:tcMar>
              <w:top w:w="128" w:type="dxa"/>
              <w:left w:w="43" w:type="dxa"/>
              <w:bottom w:w="43" w:type="dxa"/>
              <w:right w:w="43" w:type="dxa"/>
            </w:tcMar>
          </w:tcPr>
          <w:p w14:paraId="10A93769" w14:textId="77777777" w:rsidR="000A2A2B" w:rsidRPr="007C3060" w:rsidRDefault="000A2A2B" w:rsidP="007C3060">
            <w:r w:rsidRPr="007C3060">
              <w:t>Kystvakten</w:t>
            </w:r>
          </w:p>
        </w:tc>
        <w:tc>
          <w:tcPr>
            <w:tcW w:w="1620" w:type="dxa"/>
            <w:tcBorders>
              <w:top w:val="nil"/>
              <w:left w:val="nil"/>
              <w:bottom w:val="nil"/>
              <w:right w:val="nil"/>
            </w:tcBorders>
            <w:tcMar>
              <w:top w:w="128" w:type="dxa"/>
              <w:left w:w="43" w:type="dxa"/>
              <w:bottom w:w="43" w:type="dxa"/>
              <w:right w:w="43" w:type="dxa"/>
            </w:tcMar>
            <w:vAlign w:val="bottom"/>
          </w:tcPr>
          <w:p w14:paraId="46BF6C91" w14:textId="77777777" w:rsidR="000A2A2B" w:rsidRPr="007C3060" w:rsidRDefault="000A2A2B" w:rsidP="007C3060">
            <w:r w:rsidRPr="007C3060">
              <w:t>1 674 280</w:t>
            </w:r>
          </w:p>
        </w:tc>
        <w:tc>
          <w:tcPr>
            <w:tcW w:w="1620" w:type="dxa"/>
            <w:tcBorders>
              <w:top w:val="nil"/>
              <w:left w:val="nil"/>
              <w:bottom w:val="nil"/>
              <w:right w:val="nil"/>
            </w:tcBorders>
            <w:tcMar>
              <w:top w:w="128" w:type="dxa"/>
              <w:left w:w="43" w:type="dxa"/>
              <w:bottom w:w="43" w:type="dxa"/>
              <w:right w:w="43" w:type="dxa"/>
            </w:tcMar>
            <w:vAlign w:val="bottom"/>
          </w:tcPr>
          <w:p w14:paraId="38B4E412" w14:textId="77777777" w:rsidR="000A2A2B" w:rsidRPr="007C3060" w:rsidRDefault="000A2A2B" w:rsidP="007C3060">
            <w:r w:rsidRPr="007C3060">
              <w:t>14 366</w:t>
            </w:r>
          </w:p>
        </w:tc>
        <w:tc>
          <w:tcPr>
            <w:tcW w:w="1620" w:type="dxa"/>
            <w:tcBorders>
              <w:top w:val="nil"/>
              <w:left w:val="nil"/>
              <w:bottom w:val="nil"/>
              <w:right w:val="nil"/>
            </w:tcBorders>
            <w:tcMar>
              <w:top w:w="128" w:type="dxa"/>
              <w:left w:w="43" w:type="dxa"/>
              <w:bottom w:w="43" w:type="dxa"/>
              <w:right w:w="43" w:type="dxa"/>
            </w:tcMar>
            <w:vAlign w:val="bottom"/>
          </w:tcPr>
          <w:p w14:paraId="0E9E67E0" w14:textId="77777777" w:rsidR="000A2A2B" w:rsidRPr="007C3060" w:rsidRDefault="000A2A2B" w:rsidP="007C3060">
            <w:r w:rsidRPr="007C3060">
              <w:t>1 688 646</w:t>
            </w:r>
          </w:p>
        </w:tc>
      </w:tr>
      <w:tr w:rsidR="004B729E" w:rsidRPr="007C3060" w14:paraId="3D65A15E" w14:textId="77777777">
        <w:trPr>
          <w:trHeight w:val="380"/>
        </w:trPr>
        <w:tc>
          <w:tcPr>
            <w:tcW w:w="4720" w:type="dxa"/>
            <w:tcBorders>
              <w:top w:val="nil"/>
              <w:left w:val="nil"/>
              <w:bottom w:val="single" w:sz="4" w:space="0" w:color="000000"/>
              <w:right w:val="nil"/>
            </w:tcBorders>
            <w:tcMar>
              <w:top w:w="128" w:type="dxa"/>
              <w:left w:w="43" w:type="dxa"/>
              <w:bottom w:w="43" w:type="dxa"/>
              <w:right w:w="43" w:type="dxa"/>
            </w:tcMar>
          </w:tcPr>
          <w:p w14:paraId="1E36331A" w14:textId="77777777" w:rsidR="000A2A2B" w:rsidRPr="007C3060" w:rsidRDefault="000A2A2B" w:rsidP="007C3060">
            <w:r w:rsidRPr="007C3060">
              <w:t>Forsvarsstaben</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205339D9" w14:textId="77777777" w:rsidR="000A2A2B" w:rsidRPr="007C3060" w:rsidRDefault="000A2A2B" w:rsidP="007C3060">
            <w:r w:rsidRPr="007C3060">
              <w:t>1 591 118</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33DF05A9" w14:textId="77777777" w:rsidR="000A2A2B" w:rsidRPr="007C3060" w:rsidRDefault="000A2A2B" w:rsidP="007C3060">
            <w:r w:rsidRPr="007C3060">
              <w:t>-1 003 164</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0DE8F758" w14:textId="77777777" w:rsidR="000A2A2B" w:rsidRPr="007C3060" w:rsidRDefault="000A2A2B" w:rsidP="007C3060">
            <w:r w:rsidRPr="007C3060">
              <w:t>587 954</w:t>
            </w:r>
          </w:p>
        </w:tc>
      </w:tr>
      <w:tr w:rsidR="004B729E" w:rsidRPr="007C3060" w14:paraId="7FDB8DE4" w14:textId="77777777">
        <w:trPr>
          <w:trHeight w:val="380"/>
        </w:trPr>
        <w:tc>
          <w:tcPr>
            <w:tcW w:w="4720" w:type="dxa"/>
            <w:tcBorders>
              <w:top w:val="single" w:sz="4" w:space="0" w:color="000000"/>
              <w:left w:val="nil"/>
              <w:bottom w:val="single" w:sz="4" w:space="0" w:color="000000"/>
              <w:right w:val="nil"/>
            </w:tcBorders>
            <w:tcMar>
              <w:top w:w="128" w:type="dxa"/>
              <w:left w:w="43" w:type="dxa"/>
              <w:bottom w:w="43" w:type="dxa"/>
              <w:right w:w="43" w:type="dxa"/>
            </w:tcMar>
          </w:tcPr>
          <w:p w14:paraId="7EEC680A" w14:textId="77777777" w:rsidR="000A2A2B" w:rsidRPr="007C3060" w:rsidRDefault="000A2A2B" w:rsidP="007C3060">
            <w:r w:rsidRPr="007C3060">
              <w:t>Sum kap. 1720</w:t>
            </w:r>
          </w:p>
        </w:tc>
        <w:tc>
          <w:tcPr>
            <w:tcW w:w="1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60401E" w14:textId="77777777" w:rsidR="000A2A2B" w:rsidRPr="007C3060" w:rsidRDefault="000A2A2B" w:rsidP="007C3060">
            <w:r w:rsidRPr="007C3060">
              <w:t>46 588 725</w:t>
            </w:r>
          </w:p>
        </w:tc>
        <w:tc>
          <w:tcPr>
            <w:tcW w:w="1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889BBC" w14:textId="77777777" w:rsidR="000A2A2B" w:rsidRPr="007C3060" w:rsidRDefault="000A2A2B" w:rsidP="007C3060">
            <w:r w:rsidRPr="007C3060">
              <w:t>3 316 727</w:t>
            </w:r>
          </w:p>
        </w:tc>
        <w:tc>
          <w:tcPr>
            <w:tcW w:w="1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CB5728" w14:textId="77777777" w:rsidR="000A2A2B" w:rsidRPr="007C3060" w:rsidRDefault="000A2A2B" w:rsidP="007C3060">
            <w:r w:rsidRPr="007C3060">
              <w:t>49 905 452</w:t>
            </w:r>
          </w:p>
        </w:tc>
      </w:tr>
    </w:tbl>
    <w:p w14:paraId="298EB2C3" w14:textId="77777777" w:rsidR="000A2A2B" w:rsidRPr="007C3060" w:rsidRDefault="000A2A2B" w:rsidP="007C3060">
      <w:r w:rsidRPr="007C3060">
        <w:t>De viktigste interne endringene kommer som følge av:</w:t>
      </w:r>
    </w:p>
    <w:p w14:paraId="626C9C3C" w14:textId="77777777" w:rsidR="000A2A2B" w:rsidRPr="007C3060" w:rsidRDefault="000A2A2B" w:rsidP="007C3060">
      <w:pPr>
        <w:pStyle w:val="Liste"/>
      </w:pPr>
      <w:r w:rsidRPr="007C3060">
        <w:t>Overføring av avdelinger fra Forsvarets logistikkorganisasjon til grenene som følge av tillitsreformen i forsvarssektoren F24</w:t>
      </w:r>
    </w:p>
    <w:p w14:paraId="7BB288E1" w14:textId="77777777" w:rsidR="000A2A2B" w:rsidRPr="007C3060" w:rsidRDefault="000A2A2B" w:rsidP="007C3060">
      <w:pPr>
        <w:pStyle w:val="Liste"/>
      </w:pPr>
      <w:r w:rsidRPr="007C3060">
        <w:t>Fordeling av avsetning til internasjonal virksomhet fra «Norske styrker i utlandet» til avdelingene</w:t>
      </w:r>
    </w:p>
    <w:p w14:paraId="0B3A0CD6" w14:textId="77777777" w:rsidR="000A2A2B" w:rsidRPr="007C3060" w:rsidRDefault="000A2A2B" w:rsidP="007C3060">
      <w:pPr>
        <w:pStyle w:val="Liste"/>
      </w:pPr>
      <w:r w:rsidRPr="007C3060">
        <w:t>Fordeling av avsetning til personellopptrapping fra Forsvarsstaben til avdelingene</w:t>
      </w:r>
    </w:p>
    <w:p w14:paraId="4D0B3333" w14:textId="77777777" w:rsidR="000A2A2B" w:rsidRPr="007C3060" w:rsidRDefault="000A2A2B" w:rsidP="007C3060">
      <w:r w:rsidRPr="007C3060">
        <w:t>Videre er det fordeling av disponeringer som er foreslått under omtale av kap. 1720, post 01 og post 71.</w:t>
      </w:r>
    </w:p>
    <w:p w14:paraId="41B813FA" w14:textId="77777777" w:rsidR="000A2A2B" w:rsidRPr="007C3060" w:rsidRDefault="000A2A2B" w:rsidP="007C3060">
      <w:r w:rsidRPr="007C3060">
        <w:t>Inkludert omdisponeringer mellom kapitler og poster på Forsvarsdepartementets budsjettområde, foreslås bevilgningen på kap. 1720 tilført 3 316,7 mill. kroner, jf. nærmere omtale under kap. 1720, postene 01 og 71.</w:t>
      </w:r>
    </w:p>
    <w:p w14:paraId="4DE33F9A" w14:textId="77777777" w:rsidR="000A2A2B" w:rsidRPr="007C3060" w:rsidRDefault="000A2A2B" w:rsidP="007C3060">
      <w:pPr>
        <w:pStyle w:val="avsnitt-undertittel"/>
      </w:pPr>
      <w:r w:rsidRPr="007C3060">
        <w:t>Informasjonssak om SOTG</w:t>
      </w:r>
    </w:p>
    <w:p w14:paraId="220BD25C" w14:textId="77777777" w:rsidR="000A2A2B" w:rsidRPr="007C3060" w:rsidRDefault="000A2A2B" w:rsidP="007C3060">
      <w:r w:rsidRPr="007C3060">
        <w:t xml:space="preserve">Det skal etableres en ny maritim innsatsskvadron (SOTG) med utgangspunkt i Ramsund orlogs-stasjon innen utgangen av 2026, jf. omtale i kap. 3.1.8 i </w:t>
      </w:r>
      <w:proofErr w:type="spellStart"/>
      <w:r w:rsidRPr="007C3060">
        <w:t>Prop</w:t>
      </w:r>
      <w:proofErr w:type="spellEnd"/>
      <w:r w:rsidRPr="007C3060">
        <w:t xml:space="preserve">. 1 S (2024–2025) for Forsvarsdepartementet. Som det </w:t>
      </w:r>
      <w:proofErr w:type="gramStart"/>
      <w:r w:rsidRPr="007C3060">
        <w:t>fremgår</w:t>
      </w:r>
      <w:proofErr w:type="gramEnd"/>
      <w:r w:rsidRPr="007C3060">
        <w:t xml:space="preserve"> av denne omtalen, skal den operative evnen gradvis øke i perioden etter 2026. Ved utgangen av 2026 vil den nye skvadronen være i stand til oppdragsløsning. I en overgangsfase vil avdelingen operere ut fra både Ramsund og Haakonsvern i påvente av ferdigstillelse av nødvendig eiendom, bygg og anlegg i Ramsund. Samtidig vil øving og trening fortsette, og bidra til stadig økning av avdelingens kapasitet. Full operativ evne vil først oppnås når alle innsatsfaktorer er på plass, og enheten får øvd og trent tilstrekkelig sammen.</w:t>
      </w:r>
    </w:p>
    <w:p w14:paraId="3A91DDFA" w14:textId="77777777" w:rsidR="000A2A2B" w:rsidRPr="007C3060" w:rsidRDefault="000A2A2B" w:rsidP="007C3060">
      <w:pPr>
        <w:pStyle w:val="avsnitt-undertittel"/>
        <w:rPr>
          <w:rStyle w:val="kursiv"/>
        </w:rPr>
      </w:pPr>
      <w:r w:rsidRPr="007C3060">
        <w:rPr>
          <w:rStyle w:val="kursiv"/>
        </w:rPr>
        <w:lastRenderedPageBreak/>
        <w:t>Resultat av FoU-ordningen «Støtte til utvikling av norsk forsvarsteknologi»</w:t>
      </w:r>
    </w:p>
    <w:p w14:paraId="08FD8F66" w14:textId="77777777" w:rsidR="000A2A2B" w:rsidRDefault="000A2A2B" w:rsidP="007C3060">
      <w:r w:rsidRPr="007C3060">
        <w:t>Regjeringen arbeider med å forbedre gjeldende tilskuddsordninger, og vil i løpet av 2025 evaluere gjeldende FOU-ordning om samarbeidsprosjekter mellom forsvarssektoren og industrien. Samarbeidsordningen er et sentralt tiltak i den forsvars-industrielle strategien og er et viktig bidrag til nyskapning og arbeidsplasser. Forsvarsdepartementet legger opp til å evaluere dagens ordning og utarbeide en forskrift for ordningen. I påvente av evaluering og forskrift vil midler til FoU-samarbeidsprosjekter mellom forsvarssektoren og industrien tildeles som enkeltstående tilskudd. Følgende mottakere vil tildeles enkeltstående tilskudd i 2025.</w:t>
      </w:r>
    </w:p>
    <w:p w14:paraId="1195CF47" w14:textId="16E0AE46" w:rsidR="00AC1986" w:rsidRPr="007C3060" w:rsidRDefault="00AC1986" w:rsidP="00530C99">
      <w:pPr>
        <w:pStyle w:val="tabell-tittel"/>
      </w:pPr>
      <w:r w:rsidRPr="007C3060">
        <w:t>Oversikt over enkeltstående tilskudd på kap. 1700, post 73. Tusen kroner</w:t>
      </w:r>
    </w:p>
    <w:p w14:paraId="0272EBCA" w14:textId="77777777" w:rsidR="000A2A2B" w:rsidRPr="007C3060" w:rsidRDefault="000A2A2B" w:rsidP="007C3060">
      <w:pPr>
        <w:pStyle w:val="Tabellnavn"/>
      </w:pPr>
      <w:r w:rsidRPr="007C3060">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560"/>
        <w:gridCol w:w="1040"/>
      </w:tblGrid>
      <w:tr w:rsidR="004B729E" w:rsidRPr="007C3060" w14:paraId="7A9660E4" w14:textId="77777777">
        <w:trPr>
          <w:trHeight w:val="600"/>
        </w:trPr>
        <w:tc>
          <w:tcPr>
            <w:tcW w:w="3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BE961F" w14:textId="77777777" w:rsidR="000A2A2B" w:rsidRPr="007C3060" w:rsidRDefault="000A2A2B" w:rsidP="007C3060">
            <w:r w:rsidRPr="007C3060">
              <w:t>Navn på tilskuddsmottaker</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91FCA8" w14:textId="77777777" w:rsidR="000A2A2B" w:rsidRPr="007C3060" w:rsidRDefault="000A2A2B" w:rsidP="007C3060">
            <w:r w:rsidRPr="007C3060">
              <w:t>Forslag til tildeling</w:t>
            </w:r>
          </w:p>
        </w:tc>
      </w:tr>
      <w:tr w:rsidR="004B729E" w:rsidRPr="007C3060" w14:paraId="47D73AA8" w14:textId="77777777">
        <w:trPr>
          <w:trHeight w:val="380"/>
        </w:trPr>
        <w:tc>
          <w:tcPr>
            <w:tcW w:w="3560" w:type="dxa"/>
            <w:tcBorders>
              <w:top w:val="single" w:sz="4" w:space="0" w:color="000000"/>
              <w:left w:val="nil"/>
              <w:bottom w:val="nil"/>
              <w:right w:val="nil"/>
            </w:tcBorders>
            <w:tcMar>
              <w:top w:w="128" w:type="dxa"/>
              <w:left w:w="43" w:type="dxa"/>
              <w:bottom w:w="43" w:type="dxa"/>
              <w:right w:w="43" w:type="dxa"/>
            </w:tcMar>
            <w:vAlign w:val="bottom"/>
          </w:tcPr>
          <w:p w14:paraId="760FFCF1" w14:textId="77777777" w:rsidR="000A2A2B" w:rsidRPr="007C3060" w:rsidRDefault="000A2A2B" w:rsidP="007C3060">
            <w:proofErr w:type="spellStart"/>
            <w:r w:rsidRPr="007C3060">
              <w:t>Watchbird</w:t>
            </w:r>
            <w:proofErr w:type="spellEnd"/>
            <w:r w:rsidRPr="007C3060">
              <w:t xml:space="preserve"> AS</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5E679BF7" w14:textId="77777777" w:rsidR="000A2A2B" w:rsidRPr="007C3060" w:rsidRDefault="000A2A2B" w:rsidP="007C3060">
            <w:r w:rsidRPr="007C3060">
              <w:t>12 431</w:t>
            </w:r>
          </w:p>
        </w:tc>
      </w:tr>
      <w:tr w:rsidR="004B729E" w:rsidRPr="007C3060" w14:paraId="58941092" w14:textId="77777777">
        <w:trPr>
          <w:trHeight w:val="380"/>
        </w:trPr>
        <w:tc>
          <w:tcPr>
            <w:tcW w:w="3560" w:type="dxa"/>
            <w:tcBorders>
              <w:top w:val="nil"/>
              <w:left w:val="nil"/>
              <w:bottom w:val="nil"/>
              <w:right w:val="nil"/>
            </w:tcBorders>
            <w:tcMar>
              <w:top w:w="128" w:type="dxa"/>
              <w:left w:w="43" w:type="dxa"/>
              <w:bottom w:w="43" w:type="dxa"/>
              <w:right w:w="43" w:type="dxa"/>
            </w:tcMar>
            <w:vAlign w:val="bottom"/>
          </w:tcPr>
          <w:p w14:paraId="26F21666" w14:textId="77777777" w:rsidR="000A2A2B" w:rsidRPr="007C3060" w:rsidRDefault="000A2A2B" w:rsidP="007C3060">
            <w:r w:rsidRPr="007C3060">
              <w:t xml:space="preserve">Kongsberg </w:t>
            </w:r>
            <w:proofErr w:type="spellStart"/>
            <w:r w:rsidRPr="007C3060">
              <w:t>Defence</w:t>
            </w:r>
            <w:proofErr w:type="spellEnd"/>
            <w:r w:rsidRPr="007C3060">
              <w:t xml:space="preserve"> &amp; Aerospace AS</w:t>
            </w:r>
          </w:p>
        </w:tc>
        <w:tc>
          <w:tcPr>
            <w:tcW w:w="1040" w:type="dxa"/>
            <w:tcBorders>
              <w:top w:val="nil"/>
              <w:left w:val="nil"/>
              <w:bottom w:val="nil"/>
              <w:right w:val="nil"/>
            </w:tcBorders>
            <w:tcMar>
              <w:top w:w="128" w:type="dxa"/>
              <w:left w:w="43" w:type="dxa"/>
              <w:bottom w:w="43" w:type="dxa"/>
              <w:right w:w="43" w:type="dxa"/>
            </w:tcMar>
            <w:vAlign w:val="bottom"/>
          </w:tcPr>
          <w:p w14:paraId="305218F4" w14:textId="77777777" w:rsidR="000A2A2B" w:rsidRPr="007C3060" w:rsidRDefault="000A2A2B" w:rsidP="007C3060">
            <w:r w:rsidRPr="007C3060">
              <w:t>3 927</w:t>
            </w:r>
          </w:p>
        </w:tc>
      </w:tr>
      <w:tr w:rsidR="004B729E" w:rsidRPr="007C3060" w14:paraId="67241F8A" w14:textId="77777777">
        <w:trPr>
          <w:trHeight w:val="380"/>
        </w:trPr>
        <w:tc>
          <w:tcPr>
            <w:tcW w:w="3560" w:type="dxa"/>
            <w:tcBorders>
              <w:top w:val="nil"/>
              <w:left w:val="nil"/>
              <w:bottom w:val="nil"/>
              <w:right w:val="nil"/>
            </w:tcBorders>
            <w:tcMar>
              <w:top w:w="128" w:type="dxa"/>
              <w:left w:w="43" w:type="dxa"/>
              <w:bottom w:w="43" w:type="dxa"/>
              <w:right w:w="43" w:type="dxa"/>
            </w:tcMar>
            <w:vAlign w:val="bottom"/>
          </w:tcPr>
          <w:p w14:paraId="434C9944" w14:textId="77777777" w:rsidR="000A2A2B" w:rsidRPr="007C3060" w:rsidRDefault="000A2A2B" w:rsidP="007C3060">
            <w:r w:rsidRPr="007C3060">
              <w:t xml:space="preserve">Kongsberg </w:t>
            </w:r>
            <w:proofErr w:type="spellStart"/>
            <w:r w:rsidRPr="007C3060">
              <w:t>Defence</w:t>
            </w:r>
            <w:proofErr w:type="spellEnd"/>
            <w:r w:rsidRPr="007C3060">
              <w:t xml:space="preserve"> &amp; Aerospace AS</w:t>
            </w:r>
          </w:p>
        </w:tc>
        <w:tc>
          <w:tcPr>
            <w:tcW w:w="1040" w:type="dxa"/>
            <w:tcBorders>
              <w:top w:val="nil"/>
              <w:left w:val="nil"/>
              <w:bottom w:val="nil"/>
              <w:right w:val="nil"/>
            </w:tcBorders>
            <w:tcMar>
              <w:top w:w="128" w:type="dxa"/>
              <w:left w:w="43" w:type="dxa"/>
              <w:bottom w:w="43" w:type="dxa"/>
              <w:right w:w="43" w:type="dxa"/>
            </w:tcMar>
            <w:vAlign w:val="bottom"/>
          </w:tcPr>
          <w:p w14:paraId="6CA09294" w14:textId="77777777" w:rsidR="000A2A2B" w:rsidRPr="007C3060" w:rsidRDefault="000A2A2B" w:rsidP="007C3060">
            <w:r w:rsidRPr="007C3060">
              <w:t>2 900</w:t>
            </w:r>
          </w:p>
        </w:tc>
      </w:tr>
      <w:tr w:rsidR="004B729E" w:rsidRPr="007C3060" w14:paraId="221C5B3C" w14:textId="77777777">
        <w:trPr>
          <w:trHeight w:val="380"/>
        </w:trPr>
        <w:tc>
          <w:tcPr>
            <w:tcW w:w="3560" w:type="dxa"/>
            <w:tcBorders>
              <w:top w:val="nil"/>
              <w:left w:val="nil"/>
              <w:bottom w:val="nil"/>
              <w:right w:val="nil"/>
            </w:tcBorders>
            <w:tcMar>
              <w:top w:w="128" w:type="dxa"/>
              <w:left w:w="43" w:type="dxa"/>
              <w:bottom w:w="43" w:type="dxa"/>
              <w:right w:w="43" w:type="dxa"/>
            </w:tcMar>
            <w:vAlign w:val="bottom"/>
          </w:tcPr>
          <w:p w14:paraId="6FDAE100" w14:textId="77777777" w:rsidR="000A2A2B" w:rsidRPr="007C3060" w:rsidRDefault="000A2A2B" w:rsidP="007C3060">
            <w:proofErr w:type="spellStart"/>
            <w:r w:rsidRPr="007C3060">
              <w:t>Searis</w:t>
            </w:r>
            <w:proofErr w:type="spellEnd"/>
            <w:r w:rsidRPr="007C3060">
              <w:t xml:space="preserve"> AS</w:t>
            </w:r>
          </w:p>
        </w:tc>
        <w:tc>
          <w:tcPr>
            <w:tcW w:w="1040" w:type="dxa"/>
            <w:tcBorders>
              <w:top w:val="nil"/>
              <w:left w:val="nil"/>
              <w:bottom w:val="nil"/>
              <w:right w:val="nil"/>
            </w:tcBorders>
            <w:tcMar>
              <w:top w:w="128" w:type="dxa"/>
              <w:left w:w="43" w:type="dxa"/>
              <w:bottom w:w="43" w:type="dxa"/>
              <w:right w:w="43" w:type="dxa"/>
            </w:tcMar>
            <w:vAlign w:val="bottom"/>
          </w:tcPr>
          <w:p w14:paraId="3AF69E1C" w14:textId="77777777" w:rsidR="000A2A2B" w:rsidRPr="007C3060" w:rsidRDefault="000A2A2B" w:rsidP="007C3060">
            <w:r w:rsidRPr="007C3060">
              <w:t xml:space="preserve">8 750 </w:t>
            </w:r>
          </w:p>
        </w:tc>
      </w:tr>
      <w:tr w:rsidR="004B729E" w:rsidRPr="007C3060" w14:paraId="6BA79004" w14:textId="77777777">
        <w:trPr>
          <w:trHeight w:val="380"/>
        </w:trPr>
        <w:tc>
          <w:tcPr>
            <w:tcW w:w="3560" w:type="dxa"/>
            <w:tcBorders>
              <w:top w:val="nil"/>
              <w:left w:val="nil"/>
              <w:bottom w:val="nil"/>
              <w:right w:val="nil"/>
            </w:tcBorders>
            <w:tcMar>
              <w:top w:w="128" w:type="dxa"/>
              <w:left w:w="43" w:type="dxa"/>
              <w:bottom w:w="43" w:type="dxa"/>
              <w:right w:w="43" w:type="dxa"/>
            </w:tcMar>
            <w:vAlign w:val="bottom"/>
          </w:tcPr>
          <w:p w14:paraId="34E4D614" w14:textId="77777777" w:rsidR="000A2A2B" w:rsidRPr="007C3060" w:rsidRDefault="000A2A2B" w:rsidP="007C3060">
            <w:r w:rsidRPr="007C3060">
              <w:t xml:space="preserve">FLIR </w:t>
            </w:r>
            <w:proofErr w:type="spellStart"/>
            <w:r w:rsidRPr="007C3060">
              <w:t>Unmanned</w:t>
            </w:r>
            <w:proofErr w:type="spellEnd"/>
            <w:r w:rsidRPr="007C3060">
              <w:t xml:space="preserve"> </w:t>
            </w:r>
            <w:proofErr w:type="spellStart"/>
            <w:r w:rsidRPr="007C3060">
              <w:t>Aerial</w:t>
            </w:r>
            <w:proofErr w:type="spellEnd"/>
            <w:r w:rsidRPr="007C3060">
              <w:t xml:space="preserve"> Systems AS</w:t>
            </w:r>
          </w:p>
        </w:tc>
        <w:tc>
          <w:tcPr>
            <w:tcW w:w="1040" w:type="dxa"/>
            <w:tcBorders>
              <w:top w:val="nil"/>
              <w:left w:val="nil"/>
              <w:bottom w:val="nil"/>
              <w:right w:val="nil"/>
            </w:tcBorders>
            <w:tcMar>
              <w:top w:w="128" w:type="dxa"/>
              <w:left w:w="43" w:type="dxa"/>
              <w:bottom w:w="43" w:type="dxa"/>
              <w:right w:w="43" w:type="dxa"/>
            </w:tcMar>
            <w:vAlign w:val="bottom"/>
          </w:tcPr>
          <w:p w14:paraId="49F58978" w14:textId="77777777" w:rsidR="000A2A2B" w:rsidRPr="007C3060" w:rsidRDefault="000A2A2B" w:rsidP="007C3060">
            <w:r w:rsidRPr="007C3060">
              <w:t>32 407</w:t>
            </w:r>
          </w:p>
        </w:tc>
      </w:tr>
      <w:tr w:rsidR="004B729E" w:rsidRPr="007C3060" w14:paraId="142A4B75" w14:textId="77777777">
        <w:trPr>
          <w:trHeight w:val="380"/>
        </w:trPr>
        <w:tc>
          <w:tcPr>
            <w:tcW w:w="3560" w:type="dxa"/>
            <w:tcBorders>
              <w:top w:val="nil"/>
              <w:left w:val="nil"/>
              <w:bottom w:val="nil"/>
              <w:right w:val="nil"/>
            </w:tcBorders>
            <w:tcMar>
              <w:top w:w="128" w:type="dxa"/>
              <w:left w:w="43" w:type="dxa"/>
              <w:bottom w:w="43" w:type="dxa"/>
              <w:right w:w="43" w:type="dxa"/>
            </w:tcMar>
            <w:vAlign w:val="bottom"/>
          </w:tcPr>
          <w:p w14:paraId="164CD7FA" w14:textId="77777777" w:rsidR="000A2A2B" w:rsidRPr="007C3060" w:rsidRDefault="000A2A2B" w:rsidP="007C3060">
            <w:proofErr w:type="spellStart"/>
            <w:r w:rsidRPr="007C3060">
              <w:t>Cimon</w:t>
            </w:r>
            <w:proofErr w:type="spellEnd"/>
            <w:r w:rsidRPr="007C3060">
              <w:t xml:space="preserve"> Medical AS</w:t>
            </w:r>
          </w:p>
        </w:tc>
        <w:tc>
          <w:tcPr>
            <w:tcW w:w="1040" w:type="dxa"/>
            <w:tcBorders>
              <w:top w:val="nil"/>
              <w:left w:val="nil"/>
              <w:bottom w:val="nil"/>
              <w:right w:val="nil"/>
            </w:tcBorders>
            <w:tcMar>
              <w:top w:w="128" w:type="dxa"/>
              <w:left w:w="43" w:type="dxa"/>
              <w:bottom w:w="43" w:type="dxa"/>
              <w:right w:w="43" w:type="dxa"/>
            </w:tcMar>
            <w:vAlign w:val="bottom"/>
          </w:tcPr>
          <w:p w14:paraId="1D06424D" w14:textId="77777777" w:rsidR="000A2A2B" w:rsidRPr="007C3060" w:rsidRDefault="000A2A2B" w:rsidP="007C3060">
            <w:r w:rsidRPr="007C3060">
              <w:t>7 500</w:t>
            </w:r>
          </w:p>
        </w:tc>
      </w:tr>
      <w:tr w:rsidR="004B729E" w:rsidRPr="007C3060" w14:paraId="3EB2CEFC" w14:textId="77777777">
        <w:trPr>
          <w:trHeight w:val="500"/>
        </w:trPr>
        <w:tc>
          <w:tcPr>
            <w:tcW w:w="3560" w:type="dxa"/>
            <w:tcBorders>
              <w:top w:val="nil"/>
              <w:left w:val="nil"/>
              <w:bottom w:val="single" w:sz="4" w:space="0" w:color="000000"/>
              <w:right w:val="nil"/>
            </w:tcBorders>
            <w:tcMar>
              <w:top w:w="128" w:type="dxa"/>
              <w:left w:w="43" w:type="dxa"/>
              <w:bottom w:w="43" w:type="dxa"/>
              <w:right w:w="43" w:type="dxa"/>
            </w:tcMar>
            <w:vAlign w:val="bottom"/>
          </w:tcPr>
          <w:p w14:paraId="359D85EC" w14:textId="77777777" w:rsidR="000A2A2B" w:rsidRPr="007C3060" w:rsidRDefault="000A2A2B" w:rsidP="007C3060">
            <w:proofErr w:type="spellStart"/>
            <w:r w:rsidRPr="007C3060">
              <w:t>Havguard</w:t>
            </w:r>
            <w:proofErr w:type="spellEnd"/>
            <w:r w:rsidRPr="007C3060">
              <w:t xml:space="preserve"> AS</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7276DF9" w14:textId="77777777" w:rsidR="000A2A2B" w:rsidRPr="007C3060" w:rsidRDefault="000A2A2B" w:rsidP="007C3060">
            <w:r w:rsidRPr="007C3060">
              <w:t>5 750</w:t>
            </w:r>
          </w:p>
        </w:tc>
      </w:tr>
    </w:tbl>
    <w:p w14:paraId="6EFE665B" w14:textId="77777777" w:rsidR="000A2A2B" w:rsidRPr="007C3060" w:rsidRDefault="000A2A2B" w:rsidP="007C3060">
      <w:pPr>
        <w:pStyle w:val="Overskrift2"/>
      </w:pPr>
      <w:r w:rsidRPr="007C3060">
        <w:t>Energidepartementet</w:t>
      </w:r>
    </w:p>
    <w:p w14:paraId="30A9B5C2" w14:textId="77777777" w:rsidR="000A2A2B" w:rsidRPr="007C3060" w:rsidRDefault="000A2A2B" w:rsidP="007C3060">
      <w:pPr>
        <w:pStyle w:val="b-budkaptit"/>
      </w:pPr>
      <w:r w:rsidRPr="007C3060">
        <w:t>Kap. 1800 Energidepartementet</w:t>
      </w:r>
    </w:p>
    <w:p w14:paraId="79AEA153" w14:textId="1FB99433" w:rsidR="000A2A2B" w:rsidRPr="007C3060" w:rsidRDefault="000A2A2B" w:rsidP="007C3060">
      <w:pPr>
        <w:pStyle w:val="b-post"/>
      </w:pPr>
      <w:r w:rsidRPr="007C3060">
        <w:t>Post 21 Spesielle driftsutgifter, kan overføres, kan nyttes under postene 50, 71 og 72</w:t>
      </w:r>
    </w:p>
    <w:p w14:paraId="3B6FE2CA" w14:textId="77777777" w:rsidR="000A2A2B" w:rsidRPr="007C3060" w:rsidRDefault="000A2A2B" w:rsidP="007C3060">
      <w:r w:rsidRPr="007C3060">
        <w:t>Bevilgningen på posten foreslås redusert med 2 mill. kroner til delvis inndekning for økte administrative utgifter på kap. 1820 Norges vassdrags- og energidirektorat i forbindelse med innføring av Norgespris.</w:t>
      </w:r>
    </w:p>
    <w:p w14:paraId="4E5C401D" w14:textId="77777777" w:rsidR="000A2A2B" w:rsidRPr="007C3060" w:rsidRDefault="000A2A2B" w:rsidP="007C3060">
      <w:pPr>
        <w:pStyle w:val="b-post"/>
      </w:pPr>
      <w:r w:rsidRPr="007C3060">
        <w:lastRenderedPageBreak/>
        <w:t>Post 70 Tilskudd til internasjonale organisasjoner mv.</w:t>
      </w:r>
    </w:p>
    <w:p w14:paraId="4414857B" w14:textId="77777777" w:rsidR="000A2A2B" w:rsidRPr="007C3060" w:rsidRDefault="000A2A2B" w:rsidP="007C3060">
      <w:r w:rsidRPr="007C3060">
        <w:t>Det foreslås å øke bevilgningen med 4 mill. kroner. Økningen har sammenheng med oppdatert anslag over utbetalingsbehov og valutajusteringer, hovedsakelig knyttet til bidraget til ACER og IEA.</w:t>
      </w:r>
    </w:p>
    <w:p w14:paraId="62519D91" w14:textId="77777777" w:rsidR="000A2A2B" w:rsidRPr="007C3060" w:rsidRDefault="000A2A2B" w:rsidP="007C3060">
      <w:pPr>
        <w:pStyle w:val="b-budkaptit"/>
      </w:pPr>
      <w:r w:rsidRPr="007C3060">
        <w:t>Kap. 1820 Norges vassdrags- og energidirektorat</w:t>
      </w:r>
    </w:p>
    <w:p w14:paraId="7016B45E" w14:textId="77777777" w:rsidR="000A2A2B" w:rsidRPr="007C3060" w:rsidRDefault="000A2A2B" w:rsidP="007C3060">
      <w:pPr>
        <w:pStyle w:val="b-post"/>
      </w:pPr>
      <w:r w:rsidRPr="007C3060">
        <w:t>Post 01 Driftsutgifter</w:t>
      </w:r>
    </w:p>
    <w:p w14:paraId="32125B2F" w14:textId="77777777" w:rsidR="000A2A2B" w:rsidRPr="007C3060" w:rsidRDefault="000A2A2B" w:rsidP="007C3060">
      <w:r w:rsidRPr="007C3060">
        <w:t>Innføring av Norgespris og strømstønad for fjernvarme vil medføre behov for å forberede, gjennomføre og følge opp ordningene, jf. omtale under ny post 78 Norgespris for fjernvarme. I denne sammenhengen må det blant annet etableres administrative rutiner og utvikles IT-løsninger for inn- og utbetalinger, informasjon og veiledning til husholdninger, boligselskaper og fjernvarmeselskaper mv., tilsyn og kontroll, og behandling av klagesaker på tilsvarende måte som for strømstønadsordningen og Norgespris for strøm, jf. omtale under post 26. Det arbeides med å avklare hvilke aktører som skal administrere ordningene for fjernvarme, og det er i den sammenheng behov for å øke bevilgningen.</w:t>
      </w:r>
    </w:p>
    <w:p w14:paraId="0540D63F" w14:textId="77777777" w:rsidR="000A2A2B" w:rsidRPr="007C3060" w:rsidRDefault="000A2A2B" w:rsidP="007C3060">
      <w:r w:rsidRPr="007C3060">
        <w:t>Det foreslås å øke bevilgningen med 6 mill. kroner.</w:t>
      </w:r>
    </w:p>
    <w:p w14:paraId="2367DCE5" w14:textId="77777777" w:rsidR="000A2A2B" w:rsidRPr="007C3060" w:rsidRDefault="000A2A2B" w:rsidP="007C3060">
      <w:pPr>
        <w:pStyle w:val="b-post"/>
      </w:pPr>
      <w:r w:rsidRPr="007C3060">
        <w:t>Post 26 Reguleringsmyndigheten for energi</w:t>
      </w:r>
    </w:p>
    <w:p w14:paraId="629204E5" w14:textId="77777777" w:rsidR="000A2A2B" w:rsidRPr="007C3060" w:rsidRDefault="000A2A2B" w:rsidP="007C3060">
      <w:r w:rsidRPr="007C3060">
        <w:t>Reguleringsmyndigheten for energi (RME) vil få i oppgave å forberede, gjennomføre og følge opp ordningen med Norgespris for strøm, jf. omtale under ny post 77 Norgespris for strøm. Dette vil medføre behov for økt bevilgning til bistand til utvikling av tekniske løsninger for inngåelse av avtale om Norgespris, IT-løsninger for inn- og utbetalinger, informasjonsarbeid, samt tilsyn og kontroll. Videre vil RME behandle klager og forespørsler som følge av innføringen av Norgespris.</w:t>
      </w:r>
    </w:p>
    <w:p w14:paraId="16D2BEE1" w14:textId="77777777" w:rsidR="000A2A2B" w:rsidRPr="007C3060" w:rsidRDefault="000A2A2B" w:rsidP="007C3060">
      <w:r w:rsidRPr="007C3060">
        <w:t>Det foreslås å øke bevilgningen med 7 mill. kroner.</w:t>
      </w:r>
    </w:p>
    <w:p w14:paraId="2DF1709E" w14:textId="77777777" w:rsidR="000A2A2B" w:rsidRPr="007C3060" w:rsidRDefault="000A2A2B" w:rsidP="007C3060">
      <w:pPr>
        <w:pStyle w:val="b-post"/>
      </w:pPr>
      <w:r w:rsidRPr="007C3060">
        <w:t>Post 62 Fordeling av inntekt fra avgift på vindkraft</w:t>
      </w:r>
    </w:p>
    <w:p w14:paraId="227A1DB0" w14:textId="77777777" w:rsidR="000A2A2B" w:rsidRPr="007C3060" w:rsidRDefault="000A2A2B" w:rsidP="007C3060">
      <w:r w:rsidRPr="007C3060">
        <w:t>Innbetalt produksjonsavgift fra landbasert vindkraft for 2024 fordeles og utbetales av NVE til vertskommunene i 2025. For 2024 var avgiftssatsen 2,3 øre/kWh, og det ble innbetalt 332,9 mill. kroner. Det er en reduksjon på 38,1 mill. kroner fra Saldert budsjett 2025.</w:t>
      </w:r>
    </w:p>
    <w:p w14:paraId="41D1BCEF" w14:textId="77777777" w:rsidR="000A2A2B" w:rsidRPr="007C3060" w:rsidRDefault="000A2A2B" w:rsidP="007C3060">
      <w:r w:rsidRPr="007C3060">
        <w:t>Det foreslås å redusere bevilgningen med 38,1 mill. kroner.</w:t>
      </w:r>
    </w:p>
    <w:p w14:paraId="2649E80E" w14:textId="77777777" w:rsidR="000A2A2B" w:rsidRPr="007C3060" w:rsidRDefault="000A2A2B" w:rsidP="007C3060">
      <w:pPr>
        <w:pStyle w:val="b-post"/>
      </w:pPr>
      <w:r w:rsidRPr="007C3060">
        <w:t>Post 75 Strømstønadsordning, overslagsbevilgning</w:t>
      </w:r>
    </w:p>
    <w:p w14:paraId="7C5822A5" w14:textId="77777777" w:rsidR="000A2A2B" w:rsidRPr="007C3060" w:rsidRDefault="000A2A2B" w:rsidP="007C3060">
      <w:r w:rsidRPr="007C3060">
        <w:t>Bevilgningen til strømstønadsordningen skal dekke utbetaling av stønad for strømforbruk fra desember 2024 til og med november 2025. Med utgangspunkt i gjennomførte utbetalinger så langt i 2025 og terminpriser per mars 2025, anslås bevilgningsbehovet for strømstønadsordningen redusert med om lag 1 mrd. kroner sammenlignet med Saldert budsjett 2025.</w:t>
      </w:r>
    </w:p>
    <w:p w14:paraId="5C3611AB" w14:textId="77777777" w:rsidR="000A2A2B" w:rsidRPr="007C3060" w:rsidRDefault="000A2A2B" w:rsidP="007C3060">
      <w:r w:rsidRPr="007C3060">
        <w:lastRenderedPageBreak/>
        <w:t>Videre anslås bevilgningsbehovet for ordningen å reduseres med ytterligere om lag 400 mill. kroner i 2025, som følge av at en andel av strømkundene antas å bytte over fra dagens strømstønadsordning til Norgespris for månedene oktober og november. Se nærmere omtale under ny post 77 Norgespris for strøm. Forslag til ny lov om Norgespris og strømstønad til husholdninger har vært på høring. Energidepartementet vil snarlig fremme en lovproposisjon for Stortinget, med forslag til innretning av ordningene.</w:t>
      </w:r>
    </w:p>
    <w:p w14:paraId="2150C588" w14:textId="77777777" w:rsidR="000A2A2B" w:rsidRPr="007C3060" w:rsidRDefault="000A2A2B" w:rsidP="007C3060">
      <w:r w:rsidRPr="007C3060">
        <w:t>Videre foreslår regjeringen å sette forbruks-taket for strømstønadsordningen til 4 000 kWh per måned per målepunkt, tilsvarende forbruks-taket for Norgespris for strøm for boliger, jf. omtale under post 77. Like forbrukstak for ordningene vil gjøre det enklere for husholdningene å gjøre vurderinger mellom de to ordningene. Under gjeldende strømstønadsordning er forbrukstaket 5 000 kWh per måned per målepunkt. Reduksjonen i forbrukstak under strømstønadsordningen reduserer isolert sett utgiftene under ordningen lite. Det tas sikte på at endringen trer i kraft fra og med 1. oktober.</w:t>
      </w:r>
    </w:p>
    <w:p w14:paraId="32B6C846" w14:textId="77777777" w:rsidR="000A2A2B" w:rsidRPr="007C3060" w:rsidRDefault="000A2A2B" w:rsidP="007C3060">
      <w:r w:rsidRPr="007C3060">
        <w:t>Det er stor usikkerhet knyttet til kostnadsanslaget for strømstønadsordningen. Statens faktiske utgifter avhenger av faktiske strømpriser og husholdningenes forbruk, samt hvor mange husholdninger som velger Norgespris for strøm.</w:t>
      </w:r>
    </w:p>
    <w:p w14:paraId="292E056A" w14:textId="77777777" w:rsidR="000A2A2B" w:rsidRPr="007C3060" w:rsidRDefault="000A2A2B" w:rsidP="007C3060">
      <w:r w:rsidRPr="007C3060">
        <w:t>Samlet anslås utbetalinger under strømstønadsordningen i 2025 nedjustert med 1,4 mrd. kroner til 3,4 mrd. kroner. Anslaget er usikkert.</w:t>
      </w:r>
    </w:p>
    <w:p w14:paraId="65928122" w14:textId="77777777" w:rsidR="000A2A2B" w:rsidRPr="007C3060" w:rsidRDefault="000A2A2B" w:rsidP="007C3060">
      <w:r w:rsidRPr="007C3060">
        <w:t>Som følge av innføringen av Norgespris for strøm, foreslås det å endre navn på post 75 fra «Stønad til husholdninger for ekstraordinære strømutgifter» til «Strømstønadsordning». Norges-pris for strøm budsjetteres på ny post 77 Norgespris for strøm.</w:t>
      </w:r>
    </w:p>
    <w:p w14:paraId="4070D616" w14:textId="77777777" w:rsidR="000A2A2B" w:rsidRPr="007C3060" w:rsidRDefault="000A2A2B" w:rsidP="007C3060">
      <w:r w:rsidRPr="007C3060">
        <w:t>Det foreslås å redusere bevilgningen med 1,4 mrd. kroner.</w:t>
      </w:r>
    </w:p>
    <w:p w14:paraId="43D1D093" w14:textId="2D772931" w:rsidR="000A2A2B" w:rsidRPr="007C3060" w:rsidRDefault="000A2A2B" w:rsidP="007C3060">
      <w:pPr>
        <w:pStyle w:val="b-post"/>
      </w:pPr>
      <w:r w:rsidRPr="007C3060">
        <w:t>Post 77 (Ny) Norgespris for strøm, overslagsbevilgning</w:t>
      </w:r>
    </w:p>
    <w:p w14:paraId="633B7549" w14:textId="77777777" w:rsidR="000A2A2B" w:rsidRPr="007C3060" w:rsidRDefault="000A2A2B" w:rsidP="007C3060">
      <w:r w:rsidRPr="007C3060">
        <w:t>For å gi husholdninger i hele landet forutsigbarhet for strømutgiftene i en tid med volatile og tidvis svært høye priser, foreslås det å innføre Norges-pris for strøm.</w:t>
      </w:r>
    </w:p>
    <w:p w14:paraId="7B0F6235" w14:textId="77777777" w:rsidR="000A2A2B" w:rsidRPr="007C3060" w:rsidRDefault="000A2A2B" w:rsidP="007C3060">
      <w:r w:rsidRPr="007C3060">
        <w:t>Forslaget om Norgespris er innrettet som en statlig finansiert ordning som innebærer at den enkelte nettkunde avregnes mot en fast pris per kWh. Regjeringens forslag omfatter nettkunder med egen strømmåler som er rettmessig registrert som husholdningskunde eller fritidsboligkunde. Det foreslås at ordningen avgrenses mot næringskunder. For husholdninger vil Norgespris være et valgfritt alternativ til dagens strømstønadsordning. Også for fritidsboliger vil ordningen være valgfri. Ordningens innretning vil lovfestes. Energidepartementet vil snarlig fremme en lovproposisjon for Stortinget, med forslag om innretning av ordningene.</w:t>
      </w:r>
    </w:p>
    <w:p w14:paraId="183792A7" w14:textId="77777777" w:rsidR="000A2A2B" w:rsidRPr="007C3060" w:rsidRDefault="000A2A2B" w:rsidP="007C3060">
      <w:pPr>
        <w:pStyle w:val="avsnitt-undertittel"/>
      </w:pPr>
      <w:r w:rsidRPr="007C3060">
        <w:t>Om ordningen</w:t>
      </w:r>
    </w:p>
    <w:p w14:paraId="2701CCD6" w14:textId="77777777" w:rsidR="000A2A2B" w:rsidRPr="007C3060" w:rsidRDefault="000A2A2B" w:rsidP="007C3060">
      <w:r w:rsidRPr="007C3060">
        <w:t xml:space="preserve">Forslag til ny lov om Norgespris og strømstønad til husholdninger har vært på høring. Forslag om Norgespris innebærer at den enkelte nettkunde avregnes mot en fast pris per kWh. Når spotprisen i kundens prisområde er høyere enn Norgesprisen mottar kunden en støtte fra staten lik differansen mellom Norgespris og spotpris. Når spotprisen er lavere enn Norgesprisen avregnes kunden for differansen mellom Norgespris og spotpris. Beregningene gjøres time for </w:t>
      </w:r>
      <w:r w:rsidRPr="007C3060">
        <w:lastRenderedPageBreak/>
        <w:t>time, og multipliseres med tilhørende forbruk i den enkelte time. Summen av dette vil dermed kunne innebære både ut- og innbetalinger fra og til staten. Beløpet som kunden enten mottar eller får som tillegg på regningen er beskrevet som et «prissikringsbeløp». Prissikringsbeløpet vil variere med utviklingen i spotprisen, og husholdningen vil etter avregning stå overfor en fast pris eksklusive merverdiavgift og andre avgifter. Nettleie, avgifter og påslag fra kraftleverandøren kommer i tillegg.</w:t>
      </w:r>
    </w:p>
    <w:p w14:paraId="0B1C021D" w14:textId="77777777" w:rsidR="000A2A2B" w:rsidRPr="007C3060" w:rsidRDefault="000A2A2B" w:rsidP="007C3060">
      <w:r w:rsidRPr="007C3060">
        <w:t xml:space="preserve">Forslaget innebærer at prissikringsbeløpet vil mottas eller innbetales månedlig. Nettselskapet skal beregne beløpet. Inn- og utbetalinger til og fra nettkunden vil skje etterskuddsvis, for påløpt forbruk i foregående måned. Prissikringsbeløpet skal enten trekkes fra eller legges til på kundens nettleiefaktura. Dersom prissikringsbeløpet er positivt og høyere enn kundens månedlige nettleie, utbetales differansen til kunden. Hvis prissikringsbeløpet er negativt, skal beløpet kreves inn. I tilfeller der kunden har felles faktura for strøm og nettleie fra kraftleverandør (gjennom-fakturering), skal prissikringsbeløpet </w:t>
      </w:r>
      <w:proofErr w:type="gramStart"/>
      <w:r w:rsidRPr="007C3060">
        <w:t>fremgå</w:t>
      </w:r>
      <w:proofErr w:type="gramEnd"/>
      <w:r w:rsidRPr="007C3060">
        <w:t xml:space="preserve"> på fellesfakturaen.</w:t>
      </w:r>
    </w:p>
    <w:p w14:paraId="4C89DA3E" w14:textId="77777777" w:rsidR="000A2A2B" w:rsidRPr="007C3060" w:rsidRDefault="000A2A2B" w:rsidP="007C3060">
      <w:r w:rsidRPr="007C3060">
        <w:t xml:space="preserve">Forslaget innebærer at prissikringsbeløpene vil </w:t>
      </w:r>
      <w:proofErr w:type="spellStart"/>
      <w:r w:rsidRPr="007C3060">
        <w:t>nettoavregnes</w:t>
      </w:r>
      <w:proofErr w:type="spellEnd"/>
      <w:r w:rsidRPr="007C3060">
        <w:t xml:space="preserve"> mellom staten, nettselskapene og kundene. Bruttobudsjettering og bruttoregnskapsføring av de månedlige prissikringsbeløpene som blir netto utbetalt eller netto innbetalt til/fra nettselskap samlet for en måned, vil ikke gi en hensiktsmessig eller fullstendig oversikt over alle bruttobeløp som er overført mellom nettselskapene og kundene og mellom nettselskapene og staten. Som følge av dette, foreslås det en fullmakt til å nettoføre ut- og innbetalinger av prissikringsbeløp som følger av avregning måned for måned på budsjettposten, jf. forslag til romertallsvedtak.</w:t>
      </w:r>
    </w:p>
    <w:p w14:paraId="5F864FD8" w14:textId="77777777" w:rsidR="000A2A2B" w:rsidRPr="007C3060" w:rsidRDefault="000A2A2B" w:rsidP="007C3060">
      <w:r w:rsidRPr="007C3060">
        <w:t>Forslaget innebærer videre at husholdninger kan velge å inngå avtale om Norgespris for boliger og/eller fritidsboliger inntil ett kalenderår av gangen, og at kundens målepunkt for strøm bindes til avtalen ut kalenderåret dersom man velger å tegne en slik avtale. Kundens målepunkt vil være bundet i inntil 15 måneder dersom avtalen om Norgespris er inngått i perioden fra 1. oktober 2025 til 31. desember 2026. Det foreslås at nivået på Norgespris justeres 1. januar og gjelder for ett kalenderår av gangen, med unntak av i 2025–2026. Fra og med 1. oktober 2025 til 31. desember 2026 foreslås det en Norgespris på 40 øre/kWh eksklusive avgifter, jf. forslag til romertallsvedtak. Prisen etter avgifter, nettleie og påslag i avtalen med kraftleverandøren vil være høyere, og variere avhengig av hvor i landet man bor. Eksempelvis har Finnmark, Troms og Nordland fritak fra å betale merverdiavgift.</w:t>
      </w:r>
    </w:p>
    <w:p w14:paraId="3EB1EAB5" w14:textId="77777777" w:rsidR="000A2A2B" w:rsidRPr="007C3060" w:rsidRDefault="000A2A2B" w:rsidP="007C3060">
      <w:r w:rsidRPr="007C3060">
        <w:t>Første justering av Norgesprisen vil skje med virkning fra 1. januar 2027. Prisjusteringen i det enkelte år skal ta utgangspunkt i prisbildet på strøm fremover. Prisfastsettelsen skal samtidig ivareta formålet med ordningen, som er å sikre forutsigbare og stabile strømpriser med utgangspunkt i den reelle historiske kraftprisutviklingen.</w:t>
      </w:r>
    </w:p>
    <w:p w14:paraId="4A860868" w14:textId="77777777" w:rsidR="000A2A2B" w:rsidRPr="007C3060" w:rsidRDefault="000A2A2B" w:rsidP="007C3060">
      <w:r w:rsidRPr="007C3060">
        <w:t>I høringsnotatet om forslag til ny lov om Norgespris og strømstønad til husholdninger ble det presenterte tre alternative forbrukstak for Norges-pris og strømstønadsordningen på henholdsvis 5 000 kWh, 4 000 kWh og 3 000 kWh per måned per målepunkt for boliger. For fritidsboliger ble det presentert alternative forbrukstak på 1 500 kWh, 1 000 kWh og 500 kWh per måned per målepunkt.</w:t>
      </w:r>
    </w:p>
    <w:p w14:paraId="12FD51C7" w14:textId="77777777" w:rsidR="000A2A2B" w:rsidRPr="007C3060" w:rsidRDefault="000A2A2B" w:rsidP="007C3060">
      <w:r w:rsidRPr="007C3060">
        <w:t xml:space="preserve">Regjeringen foreslår et forbrukstak på 4 000 kWh per måned per målepunkt for boliger og et forbrukstak på 1 000 kWh per måned per målepunkt for fritidsboliger. Regjeringen foreslår like </w:t>
      </w:r>
      <w:r w:rsidRPr="007C3060">
        <w:lastRenderedPageBreak/>
        <w:t>forbrukstak for Norgespris og strømstønadsordningen. Dette vil gjøre det enklere for kundene å vurdere hvilken av de to ordningene de skal velge. Det vises til omtale under post 75.</w:t>
      </w:r>
    </w:p>
    <w:p w14:paraId="1B370A86" w14:textId="77777777" w:rsidR="000A2A2B" w:rsidRPr="007C3060" w:rsidRDefault="000A2A2B" w:rsidP="007C3060">
      <w:r w:rsidRPr="007C3060">
        <w:t>Regjeringen anerkjenner at et lavt tak kan gi sterkere insentiver til energieffektivisering og strømsparing hos flere husholdninger i perioder der markedsprisen er høyere enn Norgesprisen eller over innslagspunktet i strømstønadsordningen. Samtidig vil et lavt tak i større grad kunne ramme enkelte husholdninger med et høyt nødvendighetsforbruk. I gjennomsnitt er det en positiv sammenheng mellom inntektsnivå og strømforbruk. Samtidig er det stor variasjon i strømforbruket på alle inntektsnivåer. Regjeringens forslag til forbrukstak balanserer insentivene til energi-effektivisering, fordelingsvirkninger og formålet med ordningen som er å sikre forutsigbare og stabile strømpriser med utgangspunkt i den reelle historiske kraftprisutviklingen.</w:t>
      </w:r>
    </w:p>
    <w:p w14:paraId="299B783E" w14:textId="77777777" w:rsidR="000A2A2B" w:rsidRPr="007C3060" w:rsidRDefault="000A2A2B" w:rsidP="007C3060">
      <w:r w:rsidRPr="007C3060">
        <w:t>I høringen av forslag til ny lov om Norgespris og strømstønad til husholdninger, mente mange høringsinstanser at forbrukstaket for boliger bør settes til 3 000 kWh eller lavere. Samtidig mente enkelte høringsinstanser som representerer forbrukerne, samt en rekke privatpersoner, at taket bør settes til 4 000 eller 5 000 kWh.</w:t>
      </w:r>
    </w:p>
    <w:p w14:paraId="4C60B9E4" w14:textId="77777777" w:rsidR="000A2A2B" w:rsidRPr="007C3060" w:rsidRDefault="000A2A2B" w:rsidP="007C3060">
      <w:r w:rsidRPr="007C3060">
        <w:t>Regjeringen vektlegger at et tak på 4 000 kWh for boliger gir husholdningene forutsigbarhet, og i stor grad vil sørge for at forbruket til de aller fleste boliger på vinterstid dekkes. Samtidig gir et tak på 4 000 kWh sterkere insentiv til energieffektivisering og strømsparing for husholdningene med høyest forbruk.</w:t>
      </w:r>
    </w:p>
    <w:p w14:paraId="35C831BA" w14:textId="77777777" w:rsidR="000A2A2B" w:rsidRPr="007C3060" w:rsidRDefault="000A2A2B" w:rsidP="007C3060">
      <w:r w:rsidRPr="007C3060">
        <w:t>I 2024 hadde 9 pst. av alle norske husholdninger et forbruk som oversteg taket på 4 000 kWh i én eller flere måneder. I 2023 var gjennomsnittlig årlig forbruk for husholdninger 15 700 kWh per år og 1 308 kWh per måned. Blant fritidsboligene hadde 49 pst. et forbruk som oversteg 1 000 kWh i én eller flere måneder i løpet av 2024. I 2023 var gjennomsnittlig årlig forbruk for fritidsboliger 5 100 kWh per år. Det er naturlig at taket for fritidsboliger settes lavere enn for boliger, gitt graden av nødvendighet, forbruksnivå og -mønster.</w:t>
      </w:r>
    </w:p>
    <w:p w14:paraId="5C287480" w14:textId="77777777" w:rsidR="000A2A2B" w:rsidRPr="007C3060" w:rsidRDefault="000A2A2B" w:rsidP="007C3060">
      <w:pPr>
        <w:pStyle w:val="avsnitt-undertittel"/>
      </w:pPr>
      <w:r w:rsidRPr="007C3060">
        <w:t>Kostnadsanslag</w:t>
      </w:r>
    </w:p>
    <w:p w14:paraId="170A3ABA" w14:textId="77777777" w:rsidR="000A2A2B" w:rsidRPr="007C3060" w:rsidRDefault="000A2A2B" w:rsidP="007C3060">
      <w:r w:rsidRPr="007C3060">
        <w:t>Det er stor usikkerhet knyttet til kostnadsanslaget for Norgespris. Statens utgifter og inntekter vil avhenge av hvor mange som velger ordningen, utviklingen i strømpriser og strømforbruk. Anslagene er derfor beheftet med stor usikkerhet.</w:t>
      </w:r>
    </w:p>
    <w:p w14:paraId="7E7BBE71" w14:textId="77777777" w:rsidR="000A2A2B" w:rsidRPr="007C3060" w:rsidRDefault="000A2A2B" w:rsidP="007C3060">
      <w:r w:rsidRPr="007C3060">
        <w:t>Når det gjelder andelen som velger Norgespris, tilsier strømpriser basert på terminpriser fra mars 2025 at det er større sannsynlighet for at husholdninger i Sør-Norge (NO1, NO2 og NO5) vil velge Norgespris. Hvor stor andel av husholdningene som vil velge Norgespris eller fortsette med strømstønad er usikkert, og avhenger blant annet av preferansene til husholdninger i ulike deler av landet, hvor aktive husholdningene er i valg av type strømstønad og forventninger om fremtidige strømpriser. Det må også forventes en viss treghet med tanke på eventuelt valg av Norgespris, ettersom kundene ikke automatisk får Norgespris. Dette taler for at en lavere andel velger Norgespris i 2025 enn i 2026 og eventuelt senere år. De samme forutsetningene og antakelsene om forbrukernes handlingsmønster gjelder også for fritidsboliger. For fritidsboliger avhenger valg av Norgespris trolig også av andelen strømforbruk som skjer på sommeren og på vinteren. Ettersom strømstønad ikke er et alternativ for fritidsboliger, legges det imidlertid til grunn at andelen av fritidsboliger som velger Norgespris er høyere enn andelen av boliger.</w:t>
      </w:r>
    </w:p>
    <w:p w14:paraId="6C460330" w14:textId="77777777" w:rsidR="000A2A2B" w:rsidRPr="007C3060" w:rsidRDefault="000A2A2B" w:rsidP="007C3060">
      <w:r w:rsidRPr="007C3060">
        <w:lastRenderedPageBreak/>
        <w:t>I kostnadsanslaget for 2025 er det på usikkert grunnlag lagt til grunn at 60 pst. av boligene i Sør-Norge (NO1, NO2 og NO5) inngår avtale om Norgespris i 2025. For fritidsboliger er det lagt til grunn at 80 pst. av fritidsboligene i Sør-Norge (NO1, NO2 og NO5) inngår avtale om Norgespris i 2025. For Midt- og Nord-Norge (NO3 og NO4) er det lagt til grunn at ingen boliger eller fritidsboliger vil velge Norgespris i 2025.</w:t>
      </w:r>
    </w:p>
    <w:p w14:paraId="54F5384E" w14:textId="77777777" w:rsidR="000A2A2B" w:rsidRPr="007C3060" w:rsidRDefault="000A2A2B" w:rsidP="007C3060">
      <w:r w:rsidRPr="007C3060">
        <w:t>I tillegg til usikkerheten om andelen strømkunder som velger Norgespris fremfor dagens strømstønadsordning, er det usikkerhet om utviklingen i strømpriser og strømforbruk frem i tid. Ordningen vil innebære økte utgifter for staten i timer hvor strømprisen er over Norges-pris, og inntekter i timer hvor strømprisen er under Norgespris. Forholdet mellom inntekter og utgifter vil også variere mellom prisområdene.</w:t>
      </w:r>
    </w:p>
    <w:p w14:paraId="5E7DE984" w14:textId="77777777" w:rsidR="000A2A2B" w:rsidRPr="007C3060" w:rsidRDefault="000A2A2B" w:rsidP="007C3060">
      <w:r w:rsidRPr="007C3060">
        <w:t>Samlet sett anslås innføring av Norgespris for strøm på 40 øre/kWh eksklusive merverdiavgift og andre avgifter å innebære et bevilgningsbehov på netto om lag 1 200 mill. kroner i 2025. Av dette er om lag 1 120 mill. kroner knyttet til boliger og 80 mill. knyttet til fritidsboliger. Det ventes ingen innbetalinger under ordningen i 2025. Bevilgningsanslaget er gjort med bakgrunn i husholdningenes forbruksprofil fra 2024 og anslag på strømpriser for 2025 basert på terminpriser fra mars 2025. Anslaget er usikkert. På usikkert grunnlag anslås netto utbetalinger til Norgespris i 2026 til om lag 6,6 mrd. kroner.</w:t>
      </w:r>
    </w:p>
    <w:p w14:paraId="1F745D59" w14:textId="77777777" w:rsidR="000A2A2B" w:rsidRPr="007C3060" w:rsidRDefault="000A2A2B" w:rsidP="007C3060">
      <w:r w:rsidRPr="007C3060">
        <w:t>Som følge av at husholdningskunder med Norgespris ikke får strømstønad, anslås bevilgningen til strømstønadsordningen redusert med om lag 400 mill. kroner, jf. omtale under kap. 1820, post 75. Dette gjør at innføring av Norgespris i 2025 netto anslås å koste om lag 800 mill. kroner mer enn kun å videreføre strømstønadsordningen.</w:t>
      </w:r>
    </w:p>
    <w:p w14:paraId="4E2DE47E" w14:textId="77777777" w:rsidR="000A2A2B" w:rsidRPr="007C3060" w:rsidRDefault="000A2A2B" w:rsidP="007C3060">
      <w:r w:rsidRPr="007C3060">
        <w:t>I år der spotprisen er relativt sett lav gjennom hele året, kan statens utgifter bli lavere. Dette kan for eksempel være tilfelle i år med mye nedbør (våtår) som øker det norske kraftoverskuddet i kombinasjon med høy produksjon av solkraft og vindkraft i landene rundt oss. Motsatt vil statens utgifter øke i år der spotprisen er relativt høy gjennom hele året. Dette kan være tilfelle i for eksempel år med kalde vintre eller år med mindre tilsig enn i et normalår (tørrår).</w:t>
      </w:r>
    </w:p>
    <w:p w14:paraId="51A38259" w14:textId="77777777" w:rsidR="000A2A2B" w:rsidRPr="007C3060" w:rsidRDefault="000A2A2B" w:rsidP="007C3060">
      <w:r w:rsidRPr="007C3060">
        <w:t>Det foreslås en bevilgning på 1 200 mill. kroner. Bevilgningen skal dekke utbetaling i forbindelse med Norgespris for strømforbruk fra oktober til og med november 2025. Strømbruk for desember 2025 vil utbetales i 2026 på samme måte som for strømstønadsordningen.</w:t>
      </w:r>
    </w:p>
    <w:p w14:paraId="08CC829A" w14:textId="322E136B" w:rsidR="000A2A2B" w:rsidRPr="007C3060" w:rsidRDefault="000A2A2B" w:rsidP="007C3060">
      <w:pPr>
        <w:pStyle w:val="b-post"/>
      </w:pPr>
      <w:r w:rsidRPr="007C3060">
        <w:t>Post 78 (Ny) Norgespris for fjernvarme, overslags-bevilgning</w:t>
      </w:r>
    </w:p>
    <w:p w14:paraId="28BB017F" w14:textId="77777777" w:rsidR="000A2A2B" w:rsidRPr="007C3060" w:rsidRDefault="000A2A2B" w:rsidP="007C3060">
      <w:r w:rsidRPr="007C3060">
        <w:t>For å bidra til å redusere utgiftene til oppvarming for husholdningskunder av fjernvarmeanlegg foreslås det å innføre Norgespris og strømstønad til husholdninger som bruker fjernvarme. Forslaget innebærer at ordningene for fjernvarme får om lag samme innretning som Norgespris for strøm og strømstønadsordningen, jf. post 75 og ny post 77. Norgespris for fjernvarme vil også være tilgjengelig for fritidsboliger. Ordningene for fjernvarme skal lovfestes. Energidepartementet vil snarlig fremme en lovproposisjon for Stor-tinget, med forslag om innretning av ordningene.</w:t>
      </w:r>
    </w:p>
    <w:p w14:paraId="29353DC7" w14:textId="77777777" w:rsidR="000A2A2B" w:rsidRPr="007C3060" w:rsidRDefault="000A2A2B" w:rsidP="007C3060">
      <w:pPr>
        <w:pStyle w:val="avsnitt-undertittel"/>
      </w:pPr>
      <w:r w:rsidRPr="007C3060">
        <w:lastRenderedPageBreak/>
        <w:t>Om ordningen</w:t>
      </w:r>
    </w:p>
    <w:p w14:paraId="7A8FD08F" w14:textId="77777777" w:rsidR="000A2A2B" w:rsidRPr="007C3060" w:rsidRDefault="000A2A2B" w:rsidP="007C3060">
      <w:r w:rsidRPr="007C3060">
        <w:t>Forslag til ny lov om Norgespris og strømstønad til husholdninger har vært på høring. Forslaget innebærer at fjernvarmekundene kan velge mellom å inngå avtale om Norgespris, som innebærer at kunden avregnes mot en referansepris på strøm på 40 øre/kWh eksklusive avgifter for fjernvarme eller motta en strømstønad per kWh fjernvarme tilsvarende 90 pst. av strømpris som overstiger 75 øre/kWh eksklusive avgifter. En forskjell fra ordningene som foreslås for strøm, er at støtten for fjernvarme ikke vil bli beregnet time for time, men for et gjennomsnitt per måned. Bakgrunnen er at mange fjernvarmekunder avregnes månedlig eller sjeldnere. På samme måte som for strøm, vil strømstønad være standard ordning for alle fjernvarmekunder. Dersom kunden ønsker Norgespris, må kunden gjøre et aktivt valg. Etter energi-loven skal prisen for fjernvarme ikke overstige prisen for elektrisk oppvarming i vedkommende forsyningsområde. Fjernvarmepris skal dekke kostnader knyttet til både varmeleveranse og til distribusjon (rørnett). Dette er forskjellig fra strømprisen som kun dekker strømleveransen, mens nettleien dekker distribusjonen av strøm. Endelig fjernvarmepris til kunden vil derfor normalt være høyere enn strømpris.</w:t>
      </w:r>
    </w:p>
    <w:p w14:paraId="7A40F2E9" w14:textId="77777777" w:rsidR="000A2A2B" w:rsidRPr="007C3060" w:rsidRDefault="000A2A2B" w:rsidP="007C3060">
      <w:r w:rsidRPr="007C3060">
        <w:t>På samme måte som for Norgespris på strøm, kan prissikringsbeløpet for fjernvarme også medføre netto innbetalinger i perioder. Bruttobudsjettering og bruttoregnskapsføring av de månedlige prissikringsbeløpene, vil ikke gi en hensiktsmessig eller fullstendig oversikt over alle bruttobeløp som er overført mellom fjernvarmeselskapene og kundene og mellom fjernvarmeselskapene og staten. På samme måte som for Norgespris på strøm, foreslås det derfor en fullmakt til å nettoføre ut- og innbetalinger av prissikringsbeløp som følger av avregning måned for måned på budsjettposten, jf. forslag til romertallsvedtak.</w:t>
      </w:r>
    </w:p>
    <w:p w14:paraId="28B3C351" w14:textId="77777777" w:rsidR="000A2A2B" w:rsidRPr="007C3060" w:rsidRDefault="000A2A2B" w:rsidP="007C3060">
      <w:r w:rsidRPr="007C3060">
        <w:t>Tilsvarende ordningene for strøm, innebærer forslaget at husholdninger kan velge å inngå avtale om Norgespris for inntil ett kalenderår av gangen. Kundens energimåler for fjernvarme vil bindes til avtalen ut kalenderåret dersom man velger å tegne en slik avtale. Det foreslås at nivået på Norgespris justeres 1. januar og gjelder for ett kalenderår av gangen, med unntak av i 2025–2026. Fra og med 1. oktober 2025 til 31. desember 2026 foreslås det en Norgespris på 40 øre/kWh eksklusive avgifter, jf. forslag til romertallsvedtak. Første justering av Norgesprisen vil skje med virkning fra 1. januar 2027.</w:t>
      </w:r>
    </w:p>
    <w:p w14:paraId="1358B8D8" w14:textId="77777777" w:rsidR="000A2A2B" w:rsidRPr="007C3060" w:rsidRDefault="000A2A2B" w:rsidP="007C3060">
      <w:r w:rsidRPr="007C3060">
        <w:t>Det foreslås et forbrukstak på 3 500 kWh per måned for Norgespris og strømstønad til husholdninger som bruker fjernvarme, det vil si noe lavere enn for strøm. Differansen i størrelsen på forbrukstakene begrunnes med at fjern-varmekunder også bruker strøm, blant annet til belysning, elektriske apparater mv. Det finnes også enkelte fritidsboliger som er knyttet til fjernvarmenettet. Det tas sikte på at forbrukstaket for fjernvarme i fritidsboliger settes til 1 000 kWh per måned, tilsvarende Norgespris på strøm.</w:t>
      </w:r>
    </w:p>
    <w:p w14:paraId="4DB7F5B5" w14:textId="77777777" w:rsidR="000A2A2B" w:rsidRPr="007C3060" w:rsidRDefault="000A2A2B" w:rsidP="007C3060">
      <w:pPr>
        <w:pStyle w:val="avsnitt-undertittel"/>
      </w:pPr>
      <w:r w:rsidRPr="007C3060">
        <w:t>Kostnadsanslag</w:t>
      </w:r>
    </w:p>
    <w:p w14:paraId="255A0649" w14:textId="77777777" w:rsidR="000A2A2B" w:rsidRPr="007C3060" w:rsidRDefault="000A2A2B" w:rsidP="007C3060">
      <w:r w:rsidRPr="007C3060">
        <w:t>Anslag for utgifter ved Norgespris som retter seg mot husholdningers fjernvarmeforbruk i boliger og fritidsboliger er usikre. Statens utgifter og inntekter vil avhenge av hvor mange som velger ordningen, utviklingen i strømpriser og faktisk fjernvarmeforbruk.</w:t>
      </w:r>
    </w:p>
    <w:p w14:paraId="09AFD6B8" w14:textId="77777777" w:rsidR="000A2A2B" w:rsidRPr="007C3060" w:rsidRDefault="000A2A2B" w:rsidP="007C3060">
      <w:r w:rsidRPr="007C3060">
        <w:t xml:space="preserve">Når det gjelder andelen velger Norgespris for fjernvarme, tilsier strømpriser basert på terminpriser fra mars 2025 at det er større sannsynlighet for at husholdninger i Sør-Norge (NO1, NO2 </w:t>
      </w:r>
      <w:r w:rsidRPr="007C3060">
        <w:lastRenderedPageBreak/>
        <w:t>og NO5) vil velge Norgespris. Hvor stor andel av husholdninger som vil velge Norgespris er usikkert. Av samme grunner som beskrevet under Norgespris for strøm under post 77, legges det til grunn at husholdninger og fritidsboligeiere i Midt- og Nord-Norge (NO3 og NO4) ikke vil velge Norgespris for fjernvarme.</w:t>
      </w:r>
    </w:p>
    <w:p w14:paraId="39CD0D29" w14:textId="77777777" w:rsidR="000A2A2B" w:rsidRPr="007C3060" w:rsidRDefault="000A2A2B" w:rsidP="007C3060">
      <w:r w:rsidRPr="007C3060">
        <w:t>Det anslås på usikkert grunnlag at 70 pst. av fjernvarmekundene i Sør-Norge vil velge Norgespris, mens alle husholdninger og fritidsboligeiere i Midt- og Nord-Norge vil beholde strømstønadsordningen for fjernvarme. Som følge av antatt treghet med tanke på eventuell innmelding i Norgesprisordningen, legges det til grunn en høyere andel for Sør-Norge i 2026. At flere fjern-varmekunder enn strømkunder anslagsvis vil velge Norgespris begrunnes med at det i de fleste tilfeller er boligselskap (borettslag o.l.) som vil ta beslutning om inngåelse av Norgespris for fjernvarme. Videre er fjernvarme et produkt som kun brukes til oppvarming. Forbruket er klart høyest i vinterhalvåret når strømprisene normalt er høyere. Dette kan tilsi at en større andel fjern-varmekunder vil velge Norgespris sammenlignet med strømkunder.</w:t>
      </w:r>
    </w:p>
    <w:p w14:paraId="0A7EC034" w14:textId="77777777" w:rsidR="000A2A2B" w:rsidRPr="007C3060" w:rsidRDefault="000A2A2B" w:rsidP="007C3060">
      <w:r w:rsidRPr="007C3060">
        <w:t>Som grunnlag for beregning av overslagsbevilgningen er det benyttet strømprisanslag basert på terminpriser for strøm fra mars 2025 og tall fra SSBs fjernvarmestatistikk for levert fjernvarme til husholdninger i 2023. Med bakgrunn i ovennevnte forutsetninger, anslås bevilgningsbehovet ved Norgespris for fjernvarme for 2025 til om lag 65 mill. kroner. Av dette er hoveddelen knyttet til husholdninger fordi svært få fritidsboliger bruker fjernvarme. Det ventes ingen innbetalinger under ordningen i 2025. For 2026 anslås bevilgningsbehovet på usikkert grunnlag til knappe 370 mill. kroner.</w:t>
      </w:r>
    </w:p>
    <w:p w14:paraId="3BA04A5B" w14:textId="77777777" w:rsidR="000A2A2B" w:rsidRPr="007C3060" w:rsidRDefault="000A2A2B" w:rsidP="007C3060">
      <w:r w:rsidRPr="007C3060">
        <w:t>Det foreslås en bevilgning på 65 mill. kroner. Bevilgningen vil dekke utbetaling av Norgespris for fjernvarme fra oktober til november 2025. Norgespris for fjernvarme for desember 2025 vil utbetales i januar 2026 på samme måte som for strøm.</w:t>
      </w:r>
    </w:p>
    <w:p w14:paraId="0F515922" w14:textId="77777777" w:rsidR="000A2A2B" w:rsidRPr="007C3060" w:rsidRDefault="000A2A2B" w:rsidP="007C3060">
      <w:pPr>
        <w:pStyle w:val="b-post"/>
      </w:pPr>
      <w:r w:rsidRPr="007C3060">
        <w:t>Post 79 (Ny) Strømstønad for fjernvarme, -overslagsbevilgning</w:t>
      </w:r>
    </w:p>
    <w:p w14:paraId="3ED5192F" w14:textId="77777777" w:rsidR="000A2A2B" w:rsidRPr="007C3060" w:rsidRDefault="000A2A2B" w:rsidP="007C3060">
      <w:r w:rsidRPr="007C3060">
        <w:t>Jf. omtale under ny post 78 foreslås det å innføre strømstønad til husholdninger som bruker fjernvarme, tilsvarende strømstønadsordningen for strøm. Energidepartementet vil snarlig fremme en lovproposisjon for Stortinget om Norgespris og strømstønad til husholdninger, med forslag om innretning av ordningene.</w:t>
      </w:r>
    </w:p>
    <w:p w14:paraId="103403E2" w14:textId="77777777" w:rsidR="000A2A2B" w:rsidRPr="007C3060" w:rsidRDefault="000A2A2B" w:rsidP="007C3060">
      <w:r w:rsidRPr="007C3060">
        <w:t>I 2025 vil strømstønad for fjernvarme tilsvare 90 pst. av strømpris som overstiger 75 øre/kWh eksklusive avgifter. Til forskjell fra ordningene for strøm vil strømstønad for fjernvarme beregnes som et gjennomsnitt per måned, istedenfor per time. Dette skyldes at mange fjernvarmekunder avregnes månedlig eller sjeldnere.</w:t>
      </w:r>
    </w:p>
    <w:p w14:paraId="3685A67B" w14:textId="77777777" w:rsidR="000A2A2B" w:rsidRPr="007C3060" w:rsidRDefault="000A2A2B" w:rsidP="007C3060">
      <w:r w:rsidRPr="007C3060">
        <w:t>Ettersom den gjennomsnittlige fjernvarme-prisen i oktober og november ikke antas å overstige terskelverdien på 75 øre/kWh eksklusive avgifter, antas det heller ikke utbetaling av strømstønad til fjernvarmekunder i 2025. Anslaget er imidlertid usikkert. På dette grunnlag fremmes forslag til fullmakt til å utgiftsføre eventuell utbetaling av strømstønad i 2025 uten bevilgning, jf. forslag til romertallsvedtak.</w:t>
      </w:r>
    </w:p>
    <w:p w14:paraId="40508B0F" w14:textId="77777777" w:rsidR="000A2A2B" w:rsidRPr="007C3060" w:rsidRDefault="000A2A2B" w:rsidP="007C3060">
      <w:r w:rsidRPr="007C3060">
        <w:t>På samme måte som strømstønadsordningen under post 75, vil strømstønadsordningen for fjernvarme være en lovfestet ordning og dermed ha stikkordet «overslagsbevilgning», jf. forslag til romertallsvedtak.</w:t>
      </w:r>
    </w:p>
    <w:p w14:paraId="6CF39823" w14:textId="77777777" w:rsidR="000A2A2B" w:rsidRPr="007C3060" w:rsidRDefault="000A2A2B" w:rsidP="007C3060">
      <w:pPr>
        <w:pStyle w:val="b-budkaptit"/>
      </w:pPr>
      <w:r w:rsidRPr="007C3060">
        <w:lastRenderedPageBreak/>
        <w:t>Kap. 1850 Klima, industri og teknologi</w:t>
      </w:r>
    </w:p>
    <w:p w14:paraId="582060D0" w14:textId="77777777" w:rsidR="000A2A2B" w:rsidRPr="007C3060" w:rsidRDefault="000A2A2B" w:rsidP="007C3060">
      <w:pPr>
        <w:pStyle w:val="b-post"/>
      </w:pPr>
      <w:r w:rsidRPr="007C3060">
        <w:t>Post 73 Norges forskningsråd, kan overføres</w:t>
      </w:r>
    </w:p>
    <w:p w14:paraId="6D2EED31" w14:textId="77777777" w:rsidR="000A2A2B" w:rsidRPr="007C3060" w:rsidRDefault="000A2A2B" w:rsidP="007C3060">
      <w:r w:rsidRPr="007C3060">
        <w:t>I tråd med kravet til realistisk budsjettering foreslås det å redusere bevilgningen til Norges forskningsråd med 12 mill. kroner til 954 mill. kroner. Reduksjonen skyldes i hovedsak forskyvninger til senere år.</w:t>
      </w:r>
    </w:p>
    <w:p w14:paraId="3C4E64A4" w14:textId="77777777" w:rsidR="000A2A2B" w:rsidRPr="007C3060" w:rsidRDefault="000A2A2B" w:rsidP="007C3060">
      <w:r w:rsidRPr="007C3060">
        <w:t>Forskyvningen medfører isolert sett at tilsagnsfullmakten på posten må øke tilsvarende. Ettersom Forskningsrådet har nedjustert rammen for nye tilsagn i 2025 er det kun behov for at tilsagnsfullmakten økes med 1 mill. kroner til 4 151 mill. kroner i 2025, jf. forslag til romertallsvedtak.</w:t>
      </w:r>
    </w:p>
    <w:p w14:paraId="2677BA87" w14:textId="77777777" w:rsidR="000A2A2B" w:rsidRPr="007C3060" w:rsidRDefault="000A2A2B" w:rsidP="007C3060">
      <w:r w:rsidRPr="007C3060">
        <w:t>Det foreslås å redusere bevilgningen med 12 mill. kroner, samt en tilsagnsfullmakt på 4 151 mill. kroner.</w:t>
      </w:r>
    </w:p>
    <w:p w14:paraId="5A3B8371" w14:textId="77777777" w:rsidR="000A2A2B" w:rsidRPr="007C3060" w:rsidRDefault="000A2A2B" w:rsidP="007C3060">
      <w:pPr>
        <w:pStyle w:val="b-budkaptit"/>
      </w:pPr>
      <w:r w:rsidRPr="007C3060">
        <w:t>Kap. 5680 Statnett SF</w:t>
      </w:r>
    </w:p>
    <w:p w14:paraId="382E5AF2" w14:textId="77777777" w:rsidR="000A2A2B" w:rsidRPr="007C3060" w:rsidRDefault="000A2A2B" w:rsidP="007C3060">
      <w:pPr>
        <w:pStyle w:val="b-post"/>
      </w:pPr>
      <w:r w:rsidRPr="007C3060">
        <w:t>Post 85 Utbytte</w:t>
      </w:r>
    </w:p>
    <w:p w14:paraId="6563C809" w14:textId="77777777" w:rsidR="000A2A2B" w:rsidRPr="007C3060" w:rsidRDefault="000A2A2B" w:rsidP="007C3060">
      <w:r w:rsidRPr="007C3060">
        <w:t>Konsernets overskudd etter skatt for 2024, justert for endring i saldo for mer- og mindreinntekt etter skatt, utgjør 1 218 mill. kroner. For regnskapsåret 2024 er utbyttet fastsatt til 50 pst. av konsernets årsresultat.</w:t>
      </w:r>
    </w:p>
    <w:p w14:paraId="3FFDDE1B" w14:textId="77777777" w:rsidR="000A2A2B" w:rsidRPr="007C3060" w:rsidRDefault="000A2A2B" w:rsidP="007C3060">
      <w:r w:rsidRPr="007C3060">
        <w:t>Det foreslås å redusere bevilgningen med 1 051 mill. kroner. Reduksjonen i konsernets overskudd skyldes i hovedsak økte systemdriftskostnader.</w:t>
      </w:r>
    </w:p>
    <w:p w14:paraId="093E8DAD" w14:textId="77777777" w:rsidR="000A2A2B" w:rsidRPr="007C3060" w:rsidRDefault="000A2A2B" w:rsidP="007C3060">
      <w:pPr>
        <w:pStyle w:val="a-tilraar-dep"/>
      </w:pPr>
      <w:r w:rsidRPr="007C3060">
        <w:t>Finansdepartementet</w:t>
      </w:r>
    </w:p>
    <w:p w14:paraId="3FCDCD7C" w14:textId="77777777" w:rsidR="000A2A2B" w:rsidRPr="007C3060" w:rsidRDefault="000A2A2B" w:rsidP="007C3060">
      <w:pPr>
        <w:pStyle w:val="a-tilraar-tit"/>
      </w:pPr>
      <w:r w:rsidRPr="007C3060">
        <w:t>tilrår:</w:t>
      </w:r>
    </w:p>
    <w:p w14:paraId="5550EB42" w14:textId="77777777" w:rsidR="000A2A2B" w:rsidRPr="007C3060" w:rsidRDefault="000A2A2B" w:rsidP="007C3060">
      <w:r w:rsidRPr="007C3060">
        <w:t>At Deres Majestet godkjenner og skriver under et framlagt forslag til proposisjon til -Stortinget om tilleggsbevilgninger og omprioriteringer i statsbudsjettet 2025.</w:t>
      </w:r>
    </w:p>
    <w:p w14:paraId="1C5E1B52" w14:textId="77777777" w:rsidR="000A2A2B" w:rsidRPr="007C3060" w:rsidRDefault="000A2A2B" w:rsidP="007C3060">
      <w:pPr>
        <w:pStyle w:val="a-konge-tekst"/>
        <w:rPr>
          <w:rStyle w:val="halvfet0"/>
        </w:rPr>
      </w:pPr>
      <w:r w:rsidRPr="007C3060">
        <w:rPr>
          <w:rStyle w:val="halvfet0"/>
        </w:rPr>
        <w:t>Vi HARALD,</w:t>
      </w:r>
      <w:r w:rsidRPr="007C3060">
        <w:t xml:space="preserve"> Norges Konge,</w:t>
      </w:r>
    </w:p>
    <w:p w14:paraId="614AD22F" w14:textId="77777777" w:rsidR="000A2A2B" w:rsidRPr="007C3060" w:rsidRDefault="000A2A2B" w:rsidP="007C3060">
      <w:pPr>
        <w:pStyle w:val="a-konge-tit"/>
      </w:pPr>
      <w:r w:rsidRPr="007C3060">
        <w:t>stadfester:</w:t>
      </w:r>
    </w:p>
    <w:p w14:paraId="0E6E3429" w14:textId="77777777" w:rsidR="000A2A2B" w:rsidRPr="007C3060" w:rsidRDefault="000A2A2B" w:rsidP="007C3060">
      <w:r w:rsidRPr="007C3060">
        <w:t>Stortinget blir bedt om å gjøre vedtak om tilleggsbevilgninger og omprioriteringer i statsbudsjettet 2025 i samsvar med et vedlagt forslag.</w:t>
      </w:r>
    </w:p>
    <w:p w14:paraId="34D3CFA1" w14:textId="77777777" w:rsidR="000A2A2B" w:rsidRPr="007C3060" w:rsidRDefault="000A2A2B" w:rsidP="007C3060">
      <w:pPr>
        <w:pStyle w:val="a-vedtak-tit"/>
      </w:pPr>
      <w:r w:rsidRPr="007C3060">
        <w:t>Forslag</w:t>
      </w:r>
    </w:p>
    <w:p w14:paraId="3CD118F3" w14:textId="2B8C0007" w:rsidR="000A2A2B" w:rsidRPr="007C3060" w:rsidRDefault="000A2A2B" w:rsidP="007C3060">
      <w:pPr>
        <w:pStyle w:val="a-vedtak-tit"/>
      </w:pPr>
      <w:r w:rsidRPr="007C3060">
        <w:t>til vedtak om tilleggsbevilgninger og omprioriteringer</w:t>
      </w:r>
      <w:r w:rsidR="00414C2B">
        <w:t xml:space="preserve"> </w:t>
      </w:r>
      <w:r w:rsidRPr="007C3060">
        <w:t>i statsbudsjettet 2025</w:t>
      </w:r>
    </w:p>
    <w:p w14:paraId="3CB6E45D" w14:textId="77777777" w:rsidR="000A2A2B" w:rsidRPr="007C3060" w:rsidRDefault="000A2A2B" w:rsidP="007C3060">
      <w:pPr>
        <w:pStyle w:val="a-vedtak-del"/>
      </w:pPr>
      <w:r w:rsidRPr="007C3060">
        <w:t>I</w:t>
      </w:r>
    </w:p>
    <w:p w14:paraId="4F63A591" w14:textId="77777777" w:rsidR="000A2A2B" w:rsidRPr="007C3060" w:rsidRDefault="000A2A2B" w:rsidP="007C3060">
      <w:r w:rsidRPr="007C3060">
        <w:t>I statsbudsjettet for 2025 gjøres følgende endringer:</w:t>
      </w:r>
    </w:p>
    <w:p w14:paraId="3CD38717" w14:textId="77777777" w:rsidR="000A2A2B" w:rsidRPr="007C3060" w:rsidRDefault="000A2A2B" w:rsidP="007C3060">
      <w:pPr>
        <w:pStyle w:val="a-vedtak-tekst"/>
      </w:pPr>
      <w:r w:rsidRPr="007C3060">
        <w:lastRenderedPageBreak/>
        <w:t>Utgifter:</w:t>
      </w:r>
    </w:p>
    <w:p w14:paraId="19F247E9" w14:textId="77777777" w:rsidR="000A2A2B" w:rsidRPr="007C3060" w:rsidRDefault="000A2A2B" w:rsidP="007C3060">
      <w:pPr>
        <w:pStyle w:val="Tabellnavn"/>
      </w:pPr>
      <w:r w:rsidRPr="007C3060">
        <w:t>05N1xt2</w:t>
      </w:r>
    </w:p>
    <w:tbl>
      <w:tblPr>
        <w:tblW w:w="10466" w:type="dxa"/>
        <w:jc w:val="right"/>
        <w:tblLayout w:type="fixed"/>
        <w:tblCellMar>
          <w:top w:w="128" w:type="dxa"/>
          <w:left w:w="43" w:type="dxa"/>
          <w:bottom w:w="43" w:type="dxa"/>
          <w:right w:w="43" w:type="dxa"/>
        </w:tblCellMar>
        <w:tblLook w:val="0000" w:firstRow="0" w:lastRow="0" w:firstColumn="0" w:lastColumn="0" w:noHBand="0" w:noVBand="0"/>
      </w:tblPr>
      <w:tblGrid>
        <w:gridCol w:w="969"/>
        <w:gridCol w:w="992"/>
        <w:gridCol w:w="4819"/>
        <w:gridCol w:w="1717"/>
        <w:gridCol w:w="1969"/>
      </w:tblGrid>
      <w:tr w:rsidR="004B729E" w:rsidRPr="007C3060" w14:paraId="2F135CD3" w14:textId="77777777" w:rsidTr="00414C2B">
        <w:trPr>
          <w:trHeight w:val="360"/>
          <w:jc w:val="right"/>
        </w:trPr>
        <w:tc>
          <w:tcPr>
            <w:tcW w:w="969" w:type="dxa"/>
            <w:tcBorders>
              <w:top w:val="single" w:sz="4" w:space="0" w:color="000000"/>
              <w:left w:val="nil"/>
              <w:bottom w:val="single" w:sz="4" w:space="0" w:color="000000"/>
              <w:right w:val="nil"/>
            </w:tcBorders>
            <w:tcMar>
              <w:top w:w="128" w:type="dxa"/>
              <w:left w:w="43" w:type="dxa"/>
              <w:bottom w:w="43" w:type="dxa"/>
              <w:right w:w="123" w:type="dxa"/>
            </w:tcMar>
          </w:tcPr>
          <w:p w14:paraId="7EBD8537" w14:textId="77777777" w:rsidR="000A2A2B" w:rsidRPr="007C3060" w:rsidRDefault="000A2A2B" w:rsidP="007C3060">
            <w:r w:rsidRPr="007C3060">
              <w:t>Kap.</w:t>
            </w:r>
          </w:p>
        </w:tc>
        <w:tc>
          <w:tcPr>
            <w:tcW w:w="992" w:type="dxa"/>
            <w:tcBorders>
              <w:top w:val="single" w:sz="4" w:space="0" w:color="000000"/>
              <w:left w:val="nil"/>
              <w:bottom w:val="single" w:sz="4" w:space="0" w:color="000000"/>
              <w:right w:val="nil"/>
            </w:tcBorders>
            <w:tcMar>
              <w:top w:w="128" w:type="dxa"/>
              <w:left w:w="43" w:type="dxa"/>
              <w:bottom w:w="43" w:type="dxa"/>
              <w:right w:w="123" w:type="dxa"/>
            </w:tcMar>
          </w:tcPr>
          <w:p w14:paraId="47AC8B70" w14:textId="77777777" w:rsidR="000A2A2B" w:rsidRPr="007C3060" w:rsidRDefault="000A2A2B" w:rsidP="007C3060">
            <w:r w:rsidRPr="007C3060">
              <w:t>Post</w:t>
            </w:r>
          </w:p>
        </w:tc>
        <w:tc>
          <w:tcPr>
            <w:tcW w:w="48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6E164A" w14:textId="77777777" w:rsidR="000A2A2B" w:rsidRPr="007C3060" w:rsidRDefault="000A2A2B" w:rsidP="007C3060">
            <w:r w:rsidRPr="007C3060">
              <w:t>Formål</w:t>
            </w:r>
          </w:p>
        </w:tc>
        <w:tc>
          <w:tcPr>
            <w:tcW w:w="17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59DD1D" w14:textId="77777777" w:rsidR="000A2A2B" w:rsidRPr="007C3060" w:rsidRDefault="000A2A2B" w:rsidP="007C3060"/>
        </w:tc>
        <w:tc>
          <w:tcPr>
            <w:tcW w:w="196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847F46" w14:textId="77777777" w:rsidR="000A2A2B" w:rsidRPr="007C3060" w:rsidRDefault="000A2A2B" w:rsidP="007C3060">
            <w:r w:rsidRPr="007C3060">
              <w:t>Kroner</w:t>
            </w:r>
          </w:p>
        </w:tc>
      </w:tr>
      <w:tr w:rsidR="004B729E" w:rsidRPr="007C3060" w14:paraId="1559560C" w14:textId="77777777" w:rsidTr="00414C2B">
        <w:trPr>
          <w:trHeight w:val="380"/>
          <w:jc w:val="right"/>
        </w:trPr>
        <w:tc>
          <w:tcPr>
            <w:tcW w:w="969" w:type="dxa"/>
            <w:tcBorders>
              <w:top w:val="single" w:sz="4" w:space="0" w:color="000000"/>
              <w:left w:val="nil"/>
              <w:bottom w:val="nil"/>
              <w:right w:val="nil"/>
            </w:tcBorders>
            <w:tcMar>
              <w:top w:w="128" w:type="dxa"/>
              <w:left w:w="43" w:type="dxa"/>
              <w:bottom w:w="43" w:type="dxa"/>
              <w:right w:w="123" w:type="dxa"/>
            </w:tcMar>
          </w:tcPr>
          <w:p w14:paraId="14DCCD91" w14:textId="77777777" w:rsidR="000A2A2B" w:rsidRPr="007C3060" w:rsidRDefault="000A2A2B" w:rsidP="007C3060">
            <w:r w:rsidRPr="007C3060">
              <w:t>20</w:t>
            </w:r>
          </w:p>
        </w:tc>
        <w:tc>
          <w:tcPr>
            <w:tcW w:w="992" w:type="dxa"/>
            <w:tcBorders>
              <w:top w:val="single" w:sz="4" w:space="0" w:color="000000"/>
              <w:left w:val="nil"/>
              <w:bottom w:val="nil"/>
              <w:right w:val="nil"/>
            </w:tcBorders>
            <w:tcMar>
              <w:top w:w="128" w:type="dxa"/>
              <w:left w:w="43" w:type="dxa"/>
              <w:bottom w:w="43" w:type="dxa"/>
              <w:right w:w="123" w:type="dxa"/>
            </w:tcMar>
          </w:tcPr>
          <w:p w14:paraId="75C6EF04" w14:textId="77777777" w:rsidR="000A2A2B" w:rsidRPr="007C3060" w:rsidRDefault="000A2A2B" w:rsidP="007C3060"/>
        </w:tc>
        <w:tc>
          <w:tcPr>
            <w:tcW w:w="4819" w:type="dxa"/>
            <w:tcBorders>
              <w:top w:val="single" w:sz="4" w:space="0" w:color="000000"/>
              <w:left w:val="nil"/>
              <w:bottom w:val="nil"/>
              <w:right w:val="nil"/>
            </w:tcBorders>
            <w:tcMar>
              <w:top w:w="128" w:type="dxa"/>
              <w:left w:w="43" w:type="dxa"/>
              <w:bottom w:w="43" w:type="dxa"/>
              <w:right w:w="43" w:type="dxa"/>
            </w:tcMar>
            <w:vAlign w:val="bottom"/>
          </w:tcPr>
          <w:p w14:paraId="6BCC6742" w14:textId="77777777" w:rsidR="000A2A2B" w:rsidRPr="007C3060" w:rsidRDefault="000A2A2B" w:rsidP="007C3060">
            <w:r w:rsidRPr="007C3060">
              <w:t>Statsministerens kontor:</w:t>
            </w:r>
          </w:p>
        </w:tc>
        <w:tc>
          <w:tcPr>
            <w:tcW w:w="1717" w:type="dxa"/>
            <w:tcBorders>
              <w:top w:val="single" w:sz="4" w:space="0" w:color="000000"/>
              <w:left w:val="nil"/>
              <w:bottom w:val="nil"/>
              <w:right w:val="nil"/>
            </w:tcBorders>
            <w:tcMar>
              <w:top w:w="128" w:type="dxa"/>
              <w:left w:w="43" w:type="dxa"/>
              <w:bottom w:w="43" w:type="dxa"/>
              <w:right w:w="43" w:type="dxa"/>
            </w:tcMar>
            <w:vAlign w:val="bottom"/>
          </w:tcPr>
          <w:p w14:paraId="1BA24418" w14:textId="77777777" w:rsidR="000A2A2B" w:rsidRPr="007C3060" w:rsidRDefault="000A2A2B" w:rsidP="007C3060"/>
        </w:tc>
        <w:tc>
          <w:tcPr>
            <w:tcW w:w="1969" w:type="dxa"/>
            <w:tcBorders>
              <w:top w:val="single" w:sz="4" w:space="0" w:color="000000"/>
              <w:left w:val="nil"/>
              <w:bottom w:val="nil"/>
              <w:right w:val="nil"/>
            </w:tcBorders>
            <w:tcMar>
              <w:top w:w="128" w:type="dxa"/>
              <w:left w:w="43" w:type="dxa"/>
              <w:bottom w:w="43" w:type="dxa"/>
              <w:right w:w="43" w:type="dxa"/>
            </w:tcMar>
            <w:vAlign w:val="bottom"/>
          </w:tcPr>
          <w:p w14:paraId="3B1AFC99" w14:textId="77777777" w:rsidR="000A2A2B" w:rsidRPr="007C3060" w:rsidRDefault="000A2A2B" w:rsidP="007C3060"/>
        </w:tc>
      </w:tr>
      <w:tr w:rsidR="004B729E" w:rsidRPr="007C3060" w14:paraId="7E8C9D1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F46C36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8C242D7"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4F8B33CE" w14:textId="77777777" w:rsidR="000A2A2B" w:rsidRPr="007C3060" w:rsidRDefault="000A2A2B" w:rsidP="007C3060">
            <w:r w:rsidRPr="007C3060">
              <w:t>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2A4F4FD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FB78596" w14:textId="77777777" w:rsidR="000A2A2B" w:rsidRPr="007C3060" w:rsidRDefault="000A2A2B" w:rsidP="007C3060">
            <w:r w:rsidRPr="007C3060">
              <w:t>6 000 000</w:t>
            </w:r>
          </w:p>
        </w:tc>
      </w:tr>
      <w:tr w:rsidR="004B729E" w:rsidRPr="007C3060" w14:paraId="0F6EFCD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3734DC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97B9DA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65B6809" w14:textId="77777777" w:rsidR="000A2A2B" w:rsidRPr="007C3060" w:rsidRDefault="000A2A2B" w:rsidP="007C3060">
            <w:r w:rsidRPr="007C3060">
              <w:t>fra kr 116 121 000 til kr 110 121 000</w:t>
            </w:r>
          </w:p>
        </w:tc>
        <w:tc>
          <w:tcPr>
            <w:tcW w:w="1717" w:type="dxa"/>
            <w:tcBorders>
              <w:top w:val="nil"/>
              <w:left w:val="nil"/>
              <w:bottom w:val="nil"/>
              <w:right w:val="nil"/>
            </w:tcBorders>
            <w:tcMar>
              <w:top w:w="128" w:type="dxa"/>
              <w:left w:w="43" w:type="dxa"/>
              <w:bottom w:w="43" w:type="dxa"/>
              <w:right w:w="43" w:type="dxa"/>
            </w:tcMar>
            <w:vAlign w:val="bottom"/>
          </w:tcPr>
          <w:p w14:paraId="7BB2D15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6171AE2" w14:textId="77777777" w:rsidR="000A2A2B" w:rsidRPr="007C3060" w:rsidRDefault="000A2A2B" w:rsidP="007C3060"/>
        </w:tc>
      </w:tr>
      <w:tr w:rsidR="004B729E" w:rsidRPr="007C3060" w14:paraId="672B13C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FE66214" w14:textId="77777777" w:rsidR="000A2A2B" w:rsidRPr="007C3060" w:rsidRDefault="000A2A2B" w:rsidP="007C3060">
            <w:r w:rsidRPr="007C3060">
              <w:t>21</w:t>
            </w:r>
          </w:p>
        </w:tc>
        <w:tc>
          <w:tcPr>
            <w:tcW w:w="992" w:type="dxa"/>
            <w:tcBorders>
              <w:top w:val="nil"/>
              <w:left w:val="nil"/>
              <w:bottom w:val="nil"/>
              <w:right w:val="nil"/>
            </w:tcBorders>
            <w:tcMar>
              <w:top w:w="128" w:type="dxa"/>
              <w:left w:w="43" w:type="dxa"/>
              <w:bottom w:w="43" w:type="dxa"/>
              <w:right w:w="123" w:type="dxa"/>
            </w:tcMar>
          </w:tcPr>
          <w:p w14:paraId="344D65E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84BBB3F" w14:textId="77777777" w:rsidR="000A2A2B" w:rsidRPr="007C3060" w:rsidRDefault="000A2A2B" w:rsidP="007C3060">
            <w:r w:rsidRPr="007C3060">
              <w:t>Statsrådet:</w:t>
            </w:r>
          </w:p>
        </w:tc>
        <w:tc>
          <w:tcPr>
            <w:tcW w:w="1717" w:type="dxa"/>
            <w:tcBorders>
              <w:top w:val="nil"/>
              <w:left w:val="nil"/>
              <w:bottom w:val="nil"/>
              <w:right w:val="nil"/>
            </w:tcBorders>
            <w:tcMar>
              <w:top w:w="128" w:type="dxa"/>
              <w:left w:w="43" w:type="dxa"/>
              <w:bottom w:w="43" w:type="dxa"/>
              <w:right w:w="43" w:type="dxa"/>
            </w:tcMar>
            <w:vAlign w:val="bottom"/>
          </w:tcPr>
          <w:p w14:paraId="2C5B0F5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C676F71" w14:textId="77777777" w:rsidR="000A2A2B" w:rsidRPr="007C3060" w:rsidRDefault="000A2A2B" w:rsidP="007C3060"/>
        </w:tc>
      </w:tr>
      <w:tr w:rsidR="004B729E" w:rsidRPr="007C3060" w14:paraId="09B1410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AA3597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7AC1AB2"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5089113B"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3566D3D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4DA6714" w14:textId="77777777" w:rsidR="000A2A2B" w:rsidRPr="007C3060" w:rsidRDefault="000A2A2B" w:rsidP="007C3060">
            <w:r w:rsidRPr="007C3060">
              <w:t>8 200 000</w:t>
            </w:r>
          </w:p>
        </w:tc>
      </w:tr>
      <w:tr w:rsidR="004B729E" w:rsidRPr="007C3060" w14:paraId="4373427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018B6C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F28FF8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2E0CFD0" w14:textId="77777777" w:rsidR="000A2A2B" w:rsidRPr="007C3060" w:rsidRDefault="000A2A2B" w:rsidP="007C3060">
            <w:r w:rsidRPr="007C3060">
              <w:t>fra kr 197 674 000 til kr 205 874 000</w:t>
            </w:r>
          </w:p>
        </w:tc>
        <w:tc>
          <w:tcPr>
            <w:tcW w:w="1717" w:type="dxa"/>
            <w:tcBorders>
              <w:top w:val="nil"/>
              <w:left w:val="nil"/>
              <w:bottom w:val="nil"/>
              <w:right w:val="nil"/>
            </w:tcBorders>
            <w:tcMar>
              <w:top w:w="128" w:type="dxa"/>
              <w:left w:w="43" w:type="dxa"/>
              <w:bottom w:w="43" w:type="dxa"/>
              <w:right w:w="43" w:type="dxa"/>
            </w:tcMar>
            <w:vAlign w:val="bottom"/>
          </w:tcPr>
          <w:p w14:paraId="659147A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177FEB6" w14:textId="77777777" w:rsidR="000A2A2B" w:rsidRPr="007C3060" w:rsidRDefault="000A2A2B" w:rsidP="007C3060"/>
        </w:tc>
      </w:tr>
      <w:tr w:rsidR="004B729E" w:rsidRPr="007C3060" w14:paraId="54CC43F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7C8B6FA" w14:textId="77777777" w:rsidR="000A2A2B" w:rsidRPr="007C3060" w:rsidRDefault="000A2A2B" w:rsidP="007C3060">
            <w:r w:rsidRPr="007C3060">
              <w:t>41</w:t>
            </w:r>
          </w:p>
        </w:tc>
        <w:tc>
          <w:tcPr>
            <w:tcW w:w="992" w:type="dxa"/>
            <w:tcBorders>
              <w:top w:val="nil"/>
              <w:left w:val="nil"/>
              <w:bottom w:val="nil"/>
              <w:right w:val="nil"/>
            </w:tcBorders>
            <w:tcMar>
              <w:top w:w="128" w:type="dxa"/>
              <w:left w:w="43" w:type="dxa"/>
              <w:bottom w:w="43" w:type="dxa"/>
              <w:right w:w="43" w:type="dxa"/>
            </w:tcMar>
          </w:tcPr>
          <w:p w14:paraId="2A206B1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8B82146" w14:textId="77777777" w:rsidR="000A2A2B" w:rsidRPr="007C3060" w:rsidRDefault="000A2A2B" w:rsidP="007C3060">
            <w:r w:rsidRPr="007C3060">
              <w:t>Stortinget:</w:t>
            </w:r>
          </w:p>
        </w:tc>
        <w:tc>
          <w:tcPr>
            <w:tcW w:w="1717" w:type="dxa"/>
            <w:tcBorders>
              <w:top w:val="nil"/>
              <w:left w:val="nil"/>
              <w:bottom w:val="nil"/>
              <w:right w:val="nil"/>
            </w:tcBorders>
            <w:tcMar>
              <w:top w:w="128" w:type="dxa"/>
              <w:left w:w="43" w:type="dxa"/>
              <w:bottom w:w="43" w:type="dxa"/>
              <w:right w:w="43" w:type="dxa"/>
            </w:tcMar>
            <w:vAlign w:val="bottom"/>
          </w:tcPr>
          <w:p w14:paraId="0AE159D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23F632C" w14:textId="77777777" w:rsidR="000A2A2B" w:rsidRPr="007C3060" w:rsidRDefault="000A2A2B" w:rsidP="007C3060"/>
        </w:tc>
      </w:tr>
      <w:tr w:rsidR="004B729E" w:rsidRPr="007C3060" w14:paraId="280FC9D4"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B57F7F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8D03657" w14:textId="77777777" w:rsidR="000A2A2B" w:rsidRPr="007C3060" w:rsidRDefault="000A2A2B" w:rsidP="007C3060">
            <w:r w:rsidRPr="007C3060">
              <w:t>45</w:t>
            </w:r>
          </w:p>
          <w:p w14:paraId="26C1744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695DAD8" w14:textId="2CABB34F" w:rsidR="000A2A2B" w:rsidRPr="007C3060" w:rsidRDefault="000A2A2B" w:rsidP="007C3060">
            <w:r w:rsidRPr="007C3060">
              <w:t xml:space="preserve">Større utstyrsanskaffelser og vedlikehold,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1DF98CA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994AF25" w14:textId="77777777" w:rsidR="000A2A2B" w:rsidRPr="007C3060" w:rsidRDefault="000A2A2B" w:rsidP="007C3060">
            <w:r w:rsidRPr="007C3060">
              <w:t>9 700 000</w:t>
            </w:r>
          </w:p>
        </w:tc>
      </w:tr>
      <w:tr w:rsidR="004B729E" w:rsidRPr="007C3060" w14:paraId="757BE5B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0BE840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7DB313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EFB174B" w14:textId="77777777" w:rsidR="000A2A2B" w:rsidRPr="007C3060" w:rsidRDefault="000A2A2B" w:rsidP="007C3060">
            <w:r w:rsidRPr="007C3060">
              <w:t>fra kr 175 247 000 til kr 184 947 000</w:t>
            </w:r>
          </w:p>
        </w:tc>
        <w:tc>
          <w:tcPr>
            <w:tcW w:w="1717" w:type="dxa"/>
            <w:tcBorders>
              <w:top w:val="nil"/>
              <w:left w:val="nil"/>
              <w:bottom w:val="nil"/>
              <w:right w:val="nil"/>
            </w:tcBorders>
            <w:tcMar>
              <w:top w:w="128" w:type="dxa"/>
              <w:left w:w="43" w:type="dxa"/>
              <w:bottom w:w="43" w:type="dxa"/>
              <w:right w:w="43" w:type="dxa"/>
            </w:tcMar>
            <w:vAlign w:val="bottom"/>
          </w:tcPr>
          <w:p w14:paraId="21B96C3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178E1D0" w14:textId="77777777" w:rsidR="000A2A2B" w:rsidRPr="007C3060" w:rsidRDefault="000A2A2B" w:rsidP="007C3060"/>
        </w:tc>
      </w:tr>
      <w:tr w:rsidR="004B729E" w:rsidRPr="007C3060" w14:paraId="1B4ABE9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D290E2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B10B221"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6A8E6C29" w14:textId="77777777" w:rsidR="000A2A2B" w:rsidRPr="007C3060" w:rsidRDefault="000A2A2B" w:rsidP="007C3060">
            <w:r w:rsidRPr="007C3060">
              <w:t>Tilskudd til partigruppene, forhøyes med</w:t>
            </w:r>
          </w:p>
        </w:tc>
        <w:tc>
          <w:tcPr>
            <w:tcW w:w="1717" w:type="dxa"/>
            <w:tcBorders>
              <w:top w:val="nil"/>
              <w:left w:val="nil"/>
              <w:bottom w:val="nil"/>
              <w:right w:val="nil"/>
            </w:tcBorders>
            <w:tcMar>
              <w:top w:w="128" w:type="dxa"/>
              <w:left w:w="43" w:type="dxa"/>
              <w:bottom w:w="43" w:type="dxa"/>
              <w:right w:w="43" w:type="dxa"/>
            </w:tcMar>
            <w:vAlign w:val="bottom"/>
          </w:tcPr>
          <w:p w14:paraId="74D8485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85D386F" w14:textId="77777777" w:rsidR="000A2A2B" w:rsidRPr="007C3060" w:rsidRDefault="000A2A2B" w:rsidP="007C3060">
            <w:r w:rsidRPr="007C3060">
              <w:t>3 000 000</w:t>
            </w:r>
          </w:p>
        </w:tc>
      </w:tr>
      <w:tr w:rsidR="004B729E" w:rsidRPr="007C3060" w14:paraId="5D0093B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D7E462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057035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527F605" w14:textId="77777777" w:rsidR="000A2A2B" w:rsidRPr="007C3060" w:rsidRDefault="000A2A2B" w:rsidP="007C3060">
            <w:r w:rsidRPr="007C3060">
              <w:t>fra kr 255 288 000 til kr 258 288 000</w:t>
            </w:r>
          </w:p>
        </w:tc>
        <w:tc>
          <w:tcPr>
            <w:tcW w:w="1717" w:type="dxa"/>
            <w:tcBorders>
              <w:top w:val="nil"/>
              <w:left w:val="nil"/>
              <w:bottom w:val="nil"/>
              <w:right w:val="nil"/>
            </w:tcBorders>
            <w:tcMar>
              <w:top w:w="128" w:type="dxa"/>
              <w:left w:w="43" w:type="dxa"/>
              <w:bottom w:w="43" w:type="dxa"/>
              <w:right w:w="43" w:type="dxa"/>
            </w:tcMar>
            <w:vAlign w:val="bottom"/>
          </w:tcPr>
          <w:p w14:paraId="191620B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0F1F2E9" w14:textId="77777777" w:rsidR="000A2A2B" w:rsidRPr="007C3060" w:rsidRDefault="000A2A2B" w:rsidP="007C3060"/>
        </w:tc>
      </w:tr>
      <w:tr w:rsidR="004B729E" w:rsidRPr="007C3060" w14:paraId="1A91E2E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A306AE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E8178BB"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380177EC" w14:textId="77777777" w:rsidR="000A2A2B" w:rsidRPr="007C3060" w:rsidRDefault="000A2A2B" w:rsidP="007C3060">
            <w:r w:rsidRPr="007C3060">
              <w:t>Kontingenter, internasjonale delegasjoner, forhøyes med</w:t>
            </w:r>
          </w:p>
        </w:tc>
        <w:tc>
          <w:tcPr>
            <w:tcW w:w="1717" w:type="dxa"/>
            <w:tcBorders>
              <w:top w:val="nil"/>
              <w:left w:val="nil"/>
              <w:bottom w:val="nil"/>
              <w:right w:val="nil"/>
            </w:tcBorders>
            <w:tcMar>
              <w:top w:w="128" w:type="dxa"/>
              <w:left w:w="43" w:type="dxa"/>
              <w:bottom w:w="43" w:type="dxa"/>
              <w:right w:w="43" w:type="dxa"/>
            </w:tcMar>
            <w:vAlign w:val="bottom"/>
          </w:tcPr>
          <w:p w14:paraId="2B62785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BAF991D" w14:textId="77777777" w:rsidR="000A2A2B" w:rsidRPr="007C3060" w:rsidRDefault="000A2A2B" w:rsidP="007C3060">
            <w:r w:rsidRPr="007C3060">
              <w:t>4 622 000</w:t>
            </w:r>
          </w:p>
        </w:tc>
      </w:tr>
      <w:tr w:rsidR="004B729E" w:rsidRPr="007C3060" w14:paraId="4E797F1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9B9703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A1384D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9DCEEAC" w14:textId="77777777" w:rsidR="000A2A2B" w:rsidRPr="007C3060" w:rsidRDefault="000A2A2B" w:rsidP="007C3060">
            <w:r w:rsidRPr="007C3060">
              <w:t>fra kr 18 788 000 til kr 23 410 000</w:t>
            </w:r>
          </w:p>
        </w:tc>
        <w:tc>
          <w:tcPr>
            <w:tcW w:w="1717" w:type="dxa"/>
            <w:tcBorders>
              <w:top w:val="nil"/>
              <w:left w:val="nil"/>
              <w:bottom w:val="nil"/>
              <w:right w:val="nil"/>
            </w:tcBorders>
            <w:tcMar>
              <w:top w:w="128" w:type="dxa"/>
              <w:left w:w="43" w:type="dxa"/>
              <w:bottom w:w="43" w:type="dxa"/>
              <w:right w:w="43" w:type="dxa"/>
            </w:tcMar>
            <w:vAlign w:val="bottom"/>
          </w:tcPr>
          <w:p w14:paraId="1BBD14E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FD7A248" w14:textId="77777777" w:rsidR="000A2A2B" w:rsidRPr="007C3060" w:rsidRDefault="000A2A2B" w:rsidP="007C3060"/>
        </w:tc>
      </w:tr>
      <w:tr w:rsidR="004B729E" w:rsidRPr="007C3060" w14:paraId="6BC1C87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60E8F5F" w14:textId="77777777" w:rsidR="000A2A2B" w:rsidRPr="007C3060" w:rsidRDefault="000A2A2B" w:rsidP="007C3060">
            <w:r w:rsidRPr="007C3060">
              <w:t>100</w:t>
            </w:r>
          </w:p>
        </w:tc>
        <w:tc>
          <w:tcPr>
            <w:tcW w:w="992" w:type="dxa"/>
            <w:tcBorders>
              <w:top w:val="nil"/>
              <w:left w:val="nil"/>
              <w:bottom w:val="nil"/>
              <w:right w:val="nil"/>
            </w:tcBorders>
            <w:tcMar>
              <w:top w:w="128" w:type="dxa"/>
              <w:left w:w="43" w:type="dxa"/>
              <w:bottom w:w="43" w:type="dxa"/>
              <w:right w:w="123" w:type="dxa"/>
            </w:tcMar>
          </w:tcPr>
          <w:p w14:paraId="179EF17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7A19C9F" w14:textId="77777777" w:rsidR="000A2A2B" w:rsidRPr="007C3060" w:rsidRDefault="000A2A2B" w:rsidP="007C3060">
            <w:r w:rsidRPr="007C3060">
              <w:t>Utenriksdepartementet:</w:t>
            </w:r>
          </w:p>
        </w:tc>
        <w:tc>
          <w:tcPr>
            <w:tcW w:w="1717" w:type="dxa"/>
            <w:tcBorders>
              <w:top w:val="nil"/>
              <w:left w:val="nil"/>
              <w:bottom w:val="nil"/>
              <w:right w:val="nil"/>
            </w:tcBorders>
            <w:tcMar>
              <w:top w:w="128" w:type="dxa"/>
              <w:left w:w="43" w:type="dxa"/>
              <w:bottom w:w="43" w:type="dxa"/>
              <w:right w:w="43" w:type="dxa"/>
            </w:tcMar>
            <w:vAlign w:val="bottom"/>
          </w:tcPr>
          <w:p w14:paraId="1E02636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CACC9AD" w14:textId="77777777" w:rsidR="000A2A2B" w:rsidRPr="007C3060" w:rsidRDefault="000A2A2B" w:rsidP="007C3060"/>
        </w:tc>
      </w:tr>
      <w:tr w:rsidR="004B729E" w:rsidRPr="007C3060" w14:paraId="13D65D0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434562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6DAA0D6"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6C591D30"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31C1A66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D19DA3E" w14:textId="77777777" w:rsidR="000A2A2B" w:rsidRPr="007C3060" w:rsidRDefault="000A2A2B" w:rsidP="007C3060">
            <w:r w:rsidRPr="007C3060">
              <w:t>8 400 000</w:t>
            </w:r>
          </w:p>
        </w:tc>
      </w:tr>
      <w:tr w:rsidR="004B729E" w:rsidRPr="007C3060" w14:paraId="0674D51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1BBD3F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DBED52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D047576" w14:textId="77777777" w:rsidR="000A2A2B" w:rsidRPr="007C3060" w:rsidRDefault="000A2A2B" w:rsidP="007C3060">
            <w:r w:rsidRPr="007C3060">
              <w:t>fra kr 4 857 100 000 til kr 4 865 500 000</w:t>
            </w:r>
          </w:p>
        </w:tc>
        <w:tc>
          <w:tcPr>
            <w:tcW w:w="1717" w:type="dxa"/>
            <w:tcBorders>
              <w:top w:val="nil"/>
              <w:left w:val="nil"/>
              <w:bottom w:val="nil"/>
              <w:right w:val="nil"/>
            </w:tcBorders>
            <w:tcMar>
              <w:top w:w="128" w:type="dxa"/>
              <w:left w:w="43" w:type="dxa"/>
              <w:bottom w:w="43" w:type="dxa"/>
              <w:right w:w="43" w:type="dxa"/>
            </w:tcMar>
            <w:vAlign w:val="bottom"/>
          </w:tcPr>
          <w:p w14:paraId="0F1B1B7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DF977C7" w14:textId="77777777" w:rsidR="000A2A2B" w:rsidRPr="007C3060" w:rsidRDefault="000A2A2B" w:rsidP="007C3060"/>
        </w:tc>
      </w:tr>
      <w:tr w:rsidR="004B729E" w:rsidRPr="007C3060" w14:paraId="1A9CCDA4"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B1F143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25670EC" w14:textId="77777777" w:rsidR="000A2A2B" w:rsidRPr="007C3060" w:rsidRDefault="000A2A2B" w:rsidP="007C3060">
            <w:r w:rsidRPr="007C3060">
              <w:t>45</w:t>
            </w:r>
          </w:p>
        </w:tc>
        <w:tc>
          <w:tcPr>
            <w:tcW w:w="4819" w:type="dxa"/>
            <w:tcBorders>
              <w:top w:val="nil"/>
              <w:left w:val="nil"/>
              <w:bottom w:val="nil"/>
              <w:right w:val="nil"/>
            </w:tcBorders>
            <w:tcMar>
              <w:top w:w="128" w:type="dxa"/>
              <w:left w:w="43" w:type="dxa"/>
              <w:bottom w:w="43" w:type="dxa"/>
              <w:right w:w="43" w:type="dxa"/>
            </w:tcMar>
            <w:vAlign w:val="bottom"/>
          </w:tcPr>
          <w:p w14:paraId="4936CE66" w14:textId="77777777" w:rsidR="000A2A2B" w:rsidRPr="007C3060" w:rsidRDefault="000A2A2B" w:rsidP="007C3060">
            <w:r w:rsidRPr="007C3060">
              <w:t xml:space="preserve">Større utstyrsanskaffelser og vedlikehold,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5698EF8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42A0208" w14:textId="77777777" w:rsidR="000A2A2B" w:rsidRPr="007C3060" w:rsidRDefault="000A2A2B" w:rsidP="007C3060">
            <w:r w:rsidRPr="007C3060">
              <w:t>50 000 000</w:t>
            </w:r>
          </w:p>
        </w:tc>
      </w:tr>
      <w:tr w:rsidR="004B729E" w:rsidRPr="007C3060" w14:paraId="574DAF4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C89D32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E76A9C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95C27FC" w14:textId="77777777" w:rsidR="000A2A2B" w:rsidRPr="007C3060" w:rsidRDefault="000A2A2B" w:rsidP="007C3060">
            <w:r w:rsidRPr="007C3060">
              <w:t>fra kr 111 979 000 til kr 61 979 000</w:t>
            </w:r>
          </w:p>
        </w:tc>
        <w:tc>
          <w:tcPr>
            <w:tcW w:w="1717" w:type="dxa"/>
            <w:tcBorders>
              <w:top w:val="nil"/>
              <w:left w:val="nil"/>
              <w:bottom w:val="nil"/>
              <w:right w:val="nil"/>
            </w:tcBorders>
            <w:tcMar>
              <w:top w:w="128" w:type="dxa"/>
              <w:left w:w="43" w:type="dxa"/>
              <w:bottom w:w="43" w:type="dxa"/>
              <w:right w:w="43" w:type="dxa"/>
            </w:tcMar>
            <w:vAlign w:val="bottom"/>
          </w:tcPr>
          <w:p w14:paraId="6F76CF9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C064339" w14:textId="77777777" w:rsidR="000A2A2B" w:rsidRPr="007C3060" w:rsidRDefault="000A2A2B" w:rsidP="007C3060"/>
        </w:tc>
      </w:tr>
      <w:tr w:rsidR="004B729E" w:rsidRPr="007C3060" w14:paraId="013CFF9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A4950BD" w14:textId="77777777" w:rsidR="000A2A2B" w:rsidRPr="007C3060" w:rsidRDefault="000A2A2B" w:rsidP="007C3060">
            <w:r w:rsidRPr="007C3060">
              <w:t>105</w:t>
            </w:r>
          </w:p>
        </w:tc>
        <w:tc>
          <w:tcPr>
            <w:tcW w:w="992" w:type="dxa"/>
            <w:tcBorders>
              <w:top w:val="nil"/>
              <w:left w:val="nil"/>
              <w:bottom w:val="nil"/>
              <w:right w:val="nil"/>
            </w:tcBorders>
            <w:tcMar>
              <w:top w:w="128" w:type="dxa"/>
              <w:left w:w="43" w:type="dxa"/>
              <w:bottom w:w="43" w:type="dxa"/>
              <w:right w:w="123" w:type="dxa"/>
            </w:tcMar>
          </w:tcPr>
          <w:p w14:paraId="49AB53B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CB7E415" w14:textId="77777777" w:rsidR="000A2A2B" w:rsidRPr="007C3060" w:rsidRDefault="000A2A2B" w:rsidP="007C3060">
            <w:r w:rsidRPr="007C3060">
              <w:t>Direktoratet for eksportkontroll og sanksjoner:</w:t>
            </w:r>
          </w:p>
        </w:tc>
        <w:tc>
          <w:tcPr>
            <w:tcW w:w="1717" w:type="dxa"/>
            <w:tcBorders>
              <w:top w:val="nil"/>
              <w:left w:val="nil"/>
              <w:bottom w:val="nil"/>
              <w:right w:val="nil"/>
            </w:tcBorders>
            <w:tcMar>
              <w:top w:w="128" w:type="dxa"/>
              <w:left w:w="43" w:type="dxa"/>
              <w:bottom w:w="43" w:type="dxa"/>
              <w:right w:w="43" w:type="dxa"/>
            </w:tcMar>
            <w:vAlign w:val="bottom"/>
          </w:tcPr>
          <w:p w14:paraId="45B5C77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9B288F5" w14:textId="77777777" w:rsidR="000A2A2B" w:rsidRPr="007C3060" w:rsidRDefault="000A2A2B" w:rsidP="007C3060"/>
        </w:tc>
      </w:tr>
      <w:tr w:rsidR="004B729E" w:rsidRPr="007C3060" w14:paraId="73DFAF4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C25FC8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854A0A0"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61A31591"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487F527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78A68B4" w14:textId="77777777" w:rsidR="000A2A2B" w:rsidRPr="007C3060" w:rsidRDefault="000A2A2B" w:rsidP="007C3060">
            <w:r w:rsidRPr="007C3060">
              <w:t>3 000 000</w:t>
            </w:r>
          </w:p>
        </w:tc>
      </w:tr>
      <w:tr w:rsidR="004B729E" w:rsidRPr="007C3060" w14:paraId="3B6DD90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755557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FBBD80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45C11D5" w14:textId="77777777" w:rsidR="000A2A2B" w:rsidRPr="007C3060" w:rsidRDefault="000A2A2B" w:rsidP="007C3060">
            <w:r w:rsidRPr="007C3060">
              <w:t>fra kr 60 000 000 til kr 63 000 000</w:t>
            </w:r>
          </w:p>
        </w:tc>
        <w:tc>
          <w:tcPr>
            <w:tcW w:w="1717" w:type="dxa"/>
            <w:tcBorders>
              <w:top w:val="nil"/>
              <w:left w:val="nil"/>
              <w:bottom w:val="nil"/>
              <w:right w:val="nil"/>
            </w:tcBorders>
            <w:tcMar>
              <w:top w:w="128" w:type="dxa"/>
              <w:left w:w="43" w:type="dxa"/>
              <w:bottom w:w="43" w:type="dxa"/>
              <w:right w:w="43" w:type="dxa"/>
            </w:tcMar>
            <w:vAlign w:val="bottom"/>
          </w:tcPr>
          <w:p w14:paraId="0B25118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81EAA09" w14:textId="77777777" w:rsidR="000A2A2B" w:rsidRPr="007C3060" w:rsidRDefault="000A2A2B" w:rsidP="007C3060"/>
        </w:tc>
      </w:tr>
      <w:tr w:rsidR="004B729E" w:rsidRPr="007C3060" w14:paraId="461BC69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02B1558" w14:textId="77777777" w:rsidR="000A2A2B" w:rsidRPr="007C3060" w:rsidRDefault="000A2A2B" w:rsidP="007C3060">
            <w:r w:rsidRPr="007C3060">
              <w:t>115</w:t>
            </w:r>
          </w:p>
        </w:tc>
        <w:tc>
          <w:tcPr>
            <w:tcW w:w="992" w:type="dxa"/>
            <w:tcBorders>
              <w:top w:val="nil"/>
              <w:left w:val="nil"/>
              <w:bottom w:val="nil"/>
              <w:right w:val="nil"/>
            </w:tcBorders>
            <w:tcMar>
              <w:top w:w="128" w:type="dxa"/>
              <w:left w:w="43" w:type="dxa"/>
              <w:bottom w:w="43" w:type="dxa"/>
              <w:right w:w="123" w:type="dxa"/>
            </w:tcMar>
          </w:tcPr>
          <w:p w14:paraId="0FDE8ED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81B691C" w14:textId="77777777" w:rsidR="000A2A2B" w:rsidRPr="007C3060" w:rsidRDefault="000A2A2B" w:rsidP="007C3060">
            <w:r w:rsidRPr="007C3060">
              <w:t>Næringsfremme, kultur og informasjon:</w:t>
            </w:r>
          </w:p>
        </w:tc>
        <w:tc>
          <w:tcPr>
            <w:tcW w:w="1717" w:type="dxa"/>
            <w:tcBorders>
              <w:top w:val="nil"/>
              <w:left w:val="nil"/>
              <w:bottom w:val="nil"/>
              <w:right w:val="nil"/>
            </w:tcBorders>
            <w:tcMar>
              <w:top w:w="128" w:type="dxa"/>
              <w:left w:w="43" w:type="dxa"/>
              <w:bottom w:w="43" w:type="dxa"/>
              <w:right w:w="43" w:type="dxa"/>
            </w:tcMar>
            <w:vAlign w:val="bottom"/>
          </w:tcPr>
          <w:p w14:paraId="7E9C418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B8B9D3B" w14:textId="77777777" w:rsidR="000A2A2B" w:rsidRPr="007C3060" w:rsidRDefault="000A2A2B" w:rsidP="007C3060"/>
        </w:tc>
      </w:tr>
      <w:tr w:rsidR="004B729E" w:rsidRPr="007C3060" w14:paraId="738A3269"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29D4BE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77551E7"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4AD3F038" w14:textId="520AA375" w:rsidR="000A2A2B" w:rsidRPr="007C3060" w:rsidRDefault="000A2A2B" w:rsidP="007C3060">
            <w:r w:rsidRPr="007C3060">
              <w:t xml:space="preserve">Kultur- og informasjonsformål, </w:t>
            </w:r>
            <w:r w:rsidRPr="007C3060">
              <w:rPr>
                <w:rStyle w:val="kursiv"/>
              </w:rPr>
              <w:t>kan overføres, kan nyttes under post 21</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3FB3845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4E9AC77" w14:textId="77777777" w:rsidR="000A2A2B" w:rsidRPr="007C3060" w:rsidRDefault="000A2A2B" w:rsidP="007C3060">
            <w:r w:rsidRPr="007C3060">
              <w:t>3 000 000</w:t>
            </w:r>
          </w:p>
        </w:tc>
      </w:tr>
      <w:tr w:rsidR="004B729E" w:rsidRPr="007C3060" w14:paraId="0D9B6C2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7BCD68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27F314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492D6D3" w14:textId="77777777" w:rsidR="000A2A2B" w:rsidRPr="007C3060" w:rsidRDefault="000A2A2B" w:rsidP="007C3060">
            <w:r w:rsidRPr="007C3060">
              <w:t>fra kr 38 571 000 til kr 41 571 000</w:t>
            </w:r>
          </w:p>
        </w:tc>
        <w:tc>
          <w:tcPr>
            <w:tcW w:w="1717" w:type="dxa"/>
            <w:tcBorders>
              <w:top w:val="nil"/>
              <w:left w:val="nil"/>
              <w:bottom w:val="nil"/>
              <w:right w:val="nil"/>
            </w:tcBorders>
            <w:tcMar>
              <w:top w:w="128" w:type="dxa"/>
              <w:left w:w="43" w:type="dxa"/>
              <w:bottom w:w="43" w:type="dxa"/>
              <w:right w:w="43" w:type="dxa"/>
            </w:tcMar>
            <w:vAlign w:val="bottom"/>
          </w:tcPr>
          <w:p w14:paraId="3048288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B48A980" w14:textId="77777777" w:rsidR="000A2A2B" w:rsidRPr="007C3060" w:rsidRDefault="000A2A2B" w:rsidP="007C3060"/>
        </w:tc>
      </w:tr>
      <w:tr w:rsidR="004B729E" w:rsidRPr="007C3060" w14:paraId="39BE634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E907659" w14:textId="77777777" w:rsidR="000A2A2B" w:rsidRPr="007C3060" w:rsidRDefault="000A2A2B" w:rsidP="007C3060">
            <w:r w:rsidRPr="007C3060">
              <w:t>116</w:t>
            </w:r>
          </w:p>
        </w:tc>
        <w:tc>
          <w:tcPr>
            <w:tcW w:w="992" w:type="dxa"/>
            <w:tcBorders>
              <w:top w:val="nil"/>
              <w:left w:val="nil"/>
              <w:bottom w:val="nil"/>
              <w:right w:val="nil"/>
            </w:tcBorders>
            <w:tcMar>
              <w:top w:w="128" w:type="dxa"/>
              <w:left w:w="43" w:type="dxa"/>
              <w:bottom w:w="43" w:type="dxa"/>
              <w:right w:w="123" w:type="dxa"/>
            </w:tcMar>
          </w:tcPr>
          <w:p w14:paraId="271902E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592530F" w14:textId="77777777" w:rsidR="000A2A2B" w:rsidRPr="007C3060" w:rsidRDefault="000A2A2B" w:rsidP="007C3060">
            <w:r w:rsidRPr="007C3060">
              <w:t>Internasjonale organisasjoner:</w:t>
            </w:r>
          </w:p>
        </w:tc>
        <w:tc>
          <w:tcPr>
            <w:tcW w:w="1717" w:type="dxa"/>
            <w:tcBorders>
              <w:top w:val="nil"/>
              <w:left w:val="nil"/>
              <w:bottom w:val="nil"/>
              <w:right w:val="nil"/>
            </w:tcBorders>
            <w:tcMar>
              <w:top w:w="128" w:type="dxa"/>
              <w:left w:w="43" w:type="dxa"/>
              <w:bottom w:w="43" w:type="dxa"/>
              <w:right w:w="43" w:type="dxa"/>
            </w:tcMar>
            <w:vAlign w:val="bottom"/>
          </w:tcPr>
          <w:p w14:paraId="59891DD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C49E40B" w14:textId="77777777" w:rsidR="000A2A2B" w:rsidRPr="007C3060" w:rsidRDefault="000A2A2B" w:rsidP="007C3060"/>
        </w:tc>
      </w:tr>
      <w:tr w:rsidR="004B729E" w:rsidRPr="007C3060" w14:paraId="5CCDFAD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7F32FD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77F733F"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5F750270" w14:textId="77777777" w:rsidR="000A2A2B" w:rsidRPr="007C3060" w:rsidRDefault="000A2A2B" w:rsidP="007C3060">
            <w:r w:rsidRPr="007C3060">
              <w:t>Pliktige bidrag, forhøyes med</w:t>
            </w:r>
          </w:p>
        </w:tc>
        <w:tc>
          <w:tcPr>
            <w:tcW w:w="1717" w:type="dxa"/>
            <w:tcBorders>
              <w:top w:val="nil"/>
              <w:left w:val="nil"/>
              <w:bottom w:val="nil"/>
              <w:right w:val="nil"/>
            </w:tcBorders>
            <w:tcMar>
              <w:top w:w="128" w:type="dxa"/>
              <w:left w:w="43" w:type="dxa"/>
              <w:bottom w:w="43" w:type="dxa"/>
              <w:right w:w="43" w:type="dxa"/>
            </w:tcMar>
            <w:vAlign w:val="bottom"/>
          </w:tcPr>
          <w:p w14:paraId="26EB78A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27F6838" w14:textId="77777777" w:rsidR="000A2A2B" w:rsidRPr="007C3060" w:rsidRDefault="000A2A2B" w:rsidP="007C3060">
            <w:r w:rsidRPr="007C3060">
              <w:t>176 819 000</w:t>
            </w:r>
          </w:p>
        </w:tc>
      </w:tr>
      <w:tr w:rsidR="004B729E" w:rsidRPr="007C3060" w14:paraId="32257B8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51DFE4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AB0A54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5C1C3E6" w14:textId="77777777" w:rsidR="000A2A2B" w:rsidRPr="007C3060" w:rsidRDefault="000A2A2B" w:rsidP="007C3060">
            <w:r w:rsidRPr="007C3060">
              <w:t>fra kr 1 596 300 000 til kr 1 773 119 000</w:t>
            </w:r>
          </w:p>
        </w:tc>
        <w:tc>
          <w:tcPr>
            <w:tcW w:w="1717" w:type="dxa"/>
            <w:tcBorders>
              <w:top w:val="nil"/>
              <w:left w:val="nil"/>
              <w:bottom w:val="nil"/>
              <w:right w:val="nil"/>
            </w:tcBorders>
            <w:tcMar>
              <w:top w:w="128" w:type="dxa"/>
              <w:left w:w="43" w:type="dxa"/>
              <w:bottom w:w="43" w:type="dxa"/>
              <w:right w:w="43" w:type="dxa"/>
            </w:tcMar>
            <w:vAlign w:val="bottom"/>
          </w:tcPr>
          <w:p w14:paraId="25853B5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342BBA6" w14:textId="77777777" w:rsidR="000A2A2B" w:rsidRPr="007C3060" w:rsidRDefault="000A2A2B" w:rsidP="007C3060"/>
        </w:tc>
      </w:tr>
      <w:tr w:rsidR="004B729E" w:rsidRPr="007C3060" w14:paraId="2DACC51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30030E0" w14:textId="77777777" w:rsidR="000A2A2B" w:rsidRPr="007C3060" w:rsidRDefault="000A2A2B" w:rsidP="007C3060">
            <w:r w:rsidRPr="007C3060">
              <w:t>117</w:t>
            </w:r>
          </w:p>
        </w:tc>
        <w:tc>
          <w:tcPr>
            <w:tcW w:w="992" w:type="dxa"/>
            <w:tcBorders>
              <w:top w:val="nil"/>
              <w:left w:val="nil"/>
              <w:bottom w:val="nil"/>
              <w:right w:val="nil"/>
            </w:tcBorders>
            <w:tcMar>
              <w:top w:w="128" w:type="dxa"/>
              <w:left w:w="43" w:type="dxa"/>
              <w:bottom w:w="43" w:type="dxa"/>
              <w:right w:w="123" w:type="dxa"/>
            </w:tcMar>
          </w:tcPr>
          <w:p w14:paraId="195FDB8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D751E23" w14:textId="77777777" w:rsidR="000A2A2B" w:rsidRPr="007C3060" w:rsidRDefault="000A2A2B" w:rsidP="007C3060">
            <w:r w:rsidRPr="007C3060">
              <w:t>EØS-finansieringsordningene:</w:t>
            </w:r>
          </w:p>
        </w:tc>
        <w:tc>
          <w:tcPr>
            <w:tcW w:w="1717" w:type="dxa"/>
            <w:tcBorders>
              <w:top w:val="nil"/>
              <w:left w:val="nil"/>
              <w:bottom w:val="nil"/>
              <w:right w:val="nil"/>
            </w:tcBorders>
            <w:tcMar>
              <w:top w:w="128" w:type="dxa"/>
              <w:left w:w="43" w:type="dxa"/>
              <w:bottom w:w="43" w:type="dxa"/>
              <w:right w:w="43" w:type="dxa"/>
            </w:tcMar>
            <w:vAlign w:val="bottom"/>
          </w:tcPr>
          <w:p w14:paraId="6111ED9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7D5BC7D" w14:textId="77777777" w:rsidR="000A2A2B" w:rsidRPr="007C3060" w:rsidRDefault="000A2A2B" w:rsidP="007C3060"/>
        </w:tc>
      </w:tr>
      <w:tr w:rsidR="004B729E" w:rsidRPr="007C3060" w14:paraId="587ECD6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811568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C32213C" w14:textId="77777777" w:rsidR="000A2A2B" w:rsidRPr="007C3060" w:rsidRDefault="000A2A2B" w:rsidP="007C3060">
            <w:r w:rsidRPr="007C3060">
              <w:t>77</w:t>
            </w:r>
          </w:p>
        </w:tc>
        <w:tc>
          <w:tcPr>
            <w:tcW w:w="4819" w:type="dxa"/>
            <w:tcBorders>
              <w:top w:val="nil"/>
              <w:left w:val="nil"/>
              <w:bottom w:val="nil"/>
              <w:right w:val="nil"/>
            </w:tcBorders>
            <w:tcMar>
              <w:top w:w="128" w:type="dxa"/>
              <w:left w:w="43" w:type="dxa"/>
              <w:bottom w:w="43" w:type="dxa"/>
              <w:right w:w="43" w:type="dxa"/>
            </w:tcMar>
            <w:vAlign w:val="bottom"/>
          </w:tcPr>
          <w:p w14:paraId="1A31D59D" w14:textId="7D2D9D76" w:rsidR="000A2A2B" w:rsidRPr="007C3060" w:rsidRDefault="000A2A2B" w:rsidP="007C3060">
            <w:r w:rsidRPr="007C3060">
              <w:t xml:space="preserve">EØS-finansieringsordningen 2014–2021,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04DCA13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F21386F" w14:textId="77777777" w:rsidR="000A2A2B" w:rsidRPr="007C3060" w:rsidRDefault="000A2A2B" w:rsidP="007C3060">
            <w:r w:rsidRPr="007C3060">
              <w:t>165 000 000</w:t>
            </w:r>
          </w:p>
        </w:tc>
      </w:tr>
      <w:tr w:rsidR="004B729E" w:rsidRPr="007C3060" w14:paraId="491E527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39B6C9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CA0E9B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431FE2C" w14:textId="77777777" w:rsidR="000A2A2B" w:rsidRPr="007C3060" w:rsidRDefault="000A2A2B" w:rsidP="007C3060">
            <w:r w:rsidRPr="007C3060">
              <w:t>fra kr 295 000 000 til kr 460 000 000</w:t>
            </w:r>
          </w:p>
        </w:tc>
        <w:tc>
          <w:tcPr>
            <w:tcW w:w="1717" w:type="dxa"/>
            <w:tcBorders>
              <w:top w:val="nil"/>
              <w:left w:val="nil"/>
              <w:bottom w:val="nil"/>
              <w:right w:val="nil"/>
            </w:tcBorders>
            <w:tcMar>
              <w:top w:w="128" w:type="dxa"/>
              <w:left w:w="43" w:type="dxa"/>
              <w:bottom w:w="43" w:type="dxa"/>
              <w:right w:w="43" w:type="dxa"/>
            </w:tcMar>
            <w:vAlign w:val="bottom"/>
          </w:tcPr>
          <w:p w14:paraId="1CF0B3C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92DB24E" w14:textId="77777777" w:rsidR="000A2A2B" w:rsidRPr="007C3060" w:rsidRDefault="000A2A2B" w:rsidP="007C3060"/>
        </w:tc>
      </w:tr>
      <w:tr w:rsidR="004B729E" w:rsidRPr="007C3060" w14:paraId="6BC13D07"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B4DBFC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E0CFA66" w14:textId="03854E89" w:rsidR="000A2A2B" w:rsidRPr="007C3060" w:rsidRDefault="000A2A2B" w:rsidP="00414C2B">
            <w:r w:rsidRPr="007C3060">
              <w:t>78</w:t>
            </w:r>
          </w:p>
        </w:tc>
        <w:tc>
          <w:tcPr>
            <w:tcW w:w="4819" w:type="dxa"/>
            <w:tcBorders>
              <w:top w:val="nil"/>
              <w:left w:val="nil"/>
              <w:bottom w:val="nil"/>
              <w:right w:val="nil"/>
            </w:tcBorders>
            <w:tcMar>
              <w:top w:w="128" w:type="dxa"/>
              <w:left w:w="43" w:type="dxa"/>
              <w:bottom w:w="43" w:type="dxa"/>
              <w:right w:w="43" w:type="dxa"/>
            </w:tcMar>
            <w:vAlign w:val="bottom"/>
          </w:tcPr>
          <w:p w14:paraId="42EEE383" w14:textId="59FEAF87" w:rsidR="000A2A2B" w:rsidRPr="007C3060" w:rsidRDefault="000A2A2B" w:rsidP="007C3060">
            <w:r w:rsidRPr="007C3060">
              <w:t xml:space="preserve">Den norske finansieringsordningen 2014-2021,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619AE4D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E4AEF0B" w14:textId="77777777" w:rsidR="000A2A2B" w:rsidRPr="007C3060" w:rsidRDefault="000A2A2B" w:rsidP="007C3060">
            <w:r w:rsidRPr="007C3060">
              <w:t>73 000 000</w:t>
            </w:r>
          </w:p>
        </w:tc>
      </w:tr>
      <w:tr w:rsidR="004B729E" w:rsidRPr="007C3060" w14:paraId="7786B9C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F4F330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C6636C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850BEB9" w14:textId="77777777" w:rsidR="000A2A2B" w:rsidRPr="007C3060" w:rsidRDefault="000A2A2B" w:rsidP="007C3060">
            <w:r w:rsidRPr="007C3060">
              <w:t>fra kr 334 000 000 til kr 261 000 000</w:t>
            </w:r>
          </w:p>
        </w:tc>
        <w:tc>
          <w:tcPr>
            <w:tcW w:w="1717" w:type="dxa"/>
            <w:tcBorders>
              <w:top w:val="nil"/>
              <w:left w:val="nil"/>
              <w:bottom w:val="nil"/>
              <w:right w:val="nil"/>
            </w:tcBorders>
            <w:tcMar>
              <w:top w:w="128" w:type="dxa"/>
              <w:left w:w="43" w:type="dxa"/>
              <w:bottom w:w="43" w:type="dxa"/>
              <w:right w:w="43" w:type="dxa"/>
            </w:tcMar>
            <w:vAlign w:val="bottom"/>
          </w:tcPr>
          <w:p w14:paraId="1CB182C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F37970" w14:textId="77777777" w:rsidR="000A2A2B" w:rsidRPr="007C3060" w:rsidRDefault="000A2A2B" w:rsidP="007C3060"/>
        </w:tc>
      </w:tr>
      <w:tr w:rsidR="004B729E" w:rsidRPr="007C3060" w14:paraId="3EE74255"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06918C9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8CC38FB" w14:textId="77777777" w:rsidR="000A2A2B" w:rsidRPr="007C3060" w:rsidRDefault="000A2A2B" w:rsidP="007C3060">
            <w:r w:rsidRPr="007C3060">
              <w:t>79</w:t>
            </w:r>
          </w:p>
        </w:tc>
        <w:tc>
          <w:tcPr>
            <w:tcW w:w="4819" w:type="dxa"/>
            <w:tcBorders>
              <w:top w:val="nil"/>
              <w:left w:val="nil"/>
              <w:bottom w:val="nil"/>
              <w:right w:val="nil"/>
            </w:tcBorders>
            <w:tcMar>
              <w:top w:w="128" w:type="dxa"/>
              <w:left w:w="43" w:type="dxa"/>
              <w:bottom w:w="43" w:type="dxa"/>
              <w:right w:w="43" w:type="dxa"/>
            </w:tcMar>
            <w:vAlign w:val="bottom"/>
          </w:tcPr>
          <w:p w14:paraId="6DB2B5C5" w14:textId="1AA0AB08" w:rsidR="000A2A2B" w:rsidRPr="007C3060" w:rsidRDefault="000A2A2B" w:rsidP="007C3060">
            <w:r w:rsidRPr="007C3060">
              <w:t xml:space="preserve">EØS-finansieringsordningen 2021-2028, </w:t>
            </w:r>
            <w:r w:rsidRPr="007C3060">
              <w:rPr>
                <w:rStyle w:val="kursiv"/>
              </w:rPr>
              <w:t>kan overføres,</w:t>
            </w:r>
            <w:r w:rsidRPr="007C3060">
              <w:t xml:space="preserve"> bevilges med</w:t>
            </w:r>
          </w:p>
        </w:tc>
        <w:tc>
          <w:tcPr>
            <w:tcW w:w="1717" w:type="dxa"/>
            <w:tcBorders>
              <w:top w:val="nil"/>
              <w:left w:val="nil"/>
              <w:bottom w:val="nil"/>
              <w:right w:val="nil"/>
            </w:tcBorders>
            <w:tcMar>
              <w:top w:w="128" w:type="dxa"/>
              <w:left w:w="43" w:type="dxa"/>
              <w:bottom w:w="43" w:type="dxa"/>
              <w:right w:w="43" w:type="dxa"/>
            </w:tcMar>
            <w:vAlign w:val="bottom"/>
          </w:tcPr>
          <w:p w14:paraId="7BF4366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2D92181" w14:textId="77777777" w:rsidR="000A2A2B" w:rsidRPr="007C3060" w:rsidRDefault="000A2A2B" w:rsidP="007C3060">
            <w:r w:rsidRPr="007C3060">
              <w:t>150 000 000</w:t>
            </w:r>
          </w:p>
        </w:tc>
      </w:tr>
      <w:tr w:rsidR="004B729E" w:rsidRPr="007C3060" w14:paraId="7AE73B77"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8E8830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AF6AC2F" w14:textId="77777777" w:rsidR="000A2A2B" w:rsidRPr="007C3060" w:rsidRDefault="000A2A2B" w:rsidP="007C3060">
            <w:r w:rsidRPr="007C3060">
              <w:t>80</w:t>
            </w:r>
          </w:p>
        </w:tc>
        <w:tc>
          <w:tcPr>
            <w:tcW w:w="4819" w:type="dxa"/>
            <w:tcBorders>
              <w:top w:val="nil"/>
              <w:left w:val="nil"/>
              <w:bottom w:val="nil"/>
              <w:right w:val="nil"/>
            </w:tcBorders>
            <w:tcMar>
              <w:top w:w="128" w:type="dxa"/>
              <w:left w:w="43" w:type="dxa"/>
              <w:bottom w:w="43" w:type="dxa"/>
              <w:right w:w="43" w:type="dxa"/>
            </w:tcMar>
            <w:vAlign w:val="bottom"/>
          </w:tcPr>
          <w:p w14:paraId="0438535B" w14:textId="20CE1558" w:rsidR="000A2A2B" w:rsidRPr="007C3060" w:rsidRDefault="000A2A2B" w:rsidP="007C3060">
            <w:r w:rsidRPr="007C3060">
              <w:t xml:space="preserve">Den norske finansieringsordningen 2021-2028, </w:t>
            </w:r>
            <w:r w:rsidRPr="007C3060">
              <w:rPr>
                <w:rStyle w:val="kursiv"/>
              </w:rPr>
              <w:t>kan overføres,</w:t>
            </w:r>
            <w:r w:rsidRPr="007C3060">
              <w:t xml:space="preserve"> bevilges med</w:t>
            </w:r>
          </w:p>
        </w:tc>
        <w:tc>
          <w:tcPr>
            <w:tcW w:w="1717" w:type="dxa"/>
            <w:tcBorders>
              <w:top w:val="nil"/>
              <w:left w:val="nil"/>
              <w:bottom w:val="nil"/>
              <w:right w:val="nil"/>
            </w:tcBorders>
            <w:tcMar>
              <w:top w:w="128" w:type="dxa"/>
              <w:left w:w="43" w:type="dxa"/>
              <w:bottom w:w="43" w:type="dxa"/>
              <w:right w:w="43" w:type="dxa"/>
            </w:tcMar>
            <w:vAlign w:val="bottom"/>
          </w:tcPr>
          <w:p w14:paraId="7FE27A1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E728864" w14:textId="77777777" w:rsidR="000A2A2B" w:rsidRPr="007C3060" w:rsidRDefault="000A2A2B" w:rsidP="007C3060">
            <w:r w:rsidRPr="007C3060">
              <w:t>130 000 000</w:t>
            </w:r>
          </w:p>
        </w:tc>
      </w:tr>
      <w:tr w:rsidR="004B729E" w:rsidRPr="007C3060" w14:paraId="5D98B39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3E14DF4" w14:textId="77777777" w:rsidR="000A2A2B" w:rsidRPr="007C3060" w:rsidRDefault="000A2A2B" w:rsidP="007C3060">
            <w:r w:rsidRPr="007C3060">
              <w:t>118</w:t>
            </w:r>
          </w:p>
        </w:tc>
        <w:tc>
          <w:tcPr>
            <w:tcW w:w="992" w:type="dxa"/>
            <w:tcBorders>
              <w:top w:val="nil"/>
              <w:left w:val="nil"/>
              <w:bottom w:val="nil"/>
              <w:right w:val="nil"/>
            </w:tcBorders>
            <w:tcMar>
              <w:top w:w="128" w:type="dxa"/>
              <w:left w:w="43" w:type="dxa"/>
              <w:bottom w:w="43" w:type="dxa"/>
              <w:right w:w="123" w:type="dxa"/>
            </w:tcMar>
          </w:tcPr>
          <w:p w14:paraId="457837B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FFE82E2" w14:textId="77777777" w:rsidR="000A2A2B" w:rsidRPr="007C3060" w:rsidRDefault="000A2A2B" w:rsidP="007C3060">
            <w:r w:rsidRPr="007C3060">
              <w:t>Utenrikspolitiske satsinger:</w:t>
            </w:r>
          </w:p>
        </w:tc>
        <w:tc>
          <w:tcPr>
            <w:tcW w:w="1717" w:type="dxa"/>
            <w:tcBorders>
              <w:top w:val="nil"/>
              <w:left w:val="nil"/>
              <w:bottom w:val="nil"/>
              <w:right w:val="nil"/>
            </w:tcBorders>
            <w:tcMar>
              <w:top w:w="128" w:type="dxa"/>
              <w:left w:w="43" w:type="dxa"/>
              <w:bottom w:w="43" w:type="dxa"/>
              <w:right w:w="43" w:type="dxa"/>
            </w:tcMar>
            <w:vAlign w:val="bottom"/>
          </w:tcPr>
          <w:p w14:paraId="51EFE74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B894E95" w14:textId="77777777" w:rsidR="000A2A2B" w:rsidRPr="007C3060" w:rsidRDefault="000A2A2B" w:rsidP="007C3060"/>
        </w:tc>
      </w:tr>
      <w:tr w:rsidR="004B729E" w:rsidRPr="007C3060" w14:paraId="7ABD109A"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62FC09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0FC34ED"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56873A4B" w14:textId="1D1596BB" w:rsidR="000A2A2B" w:rsidRPr="007C3060" w:rsidRDefault="000A2A2B" w:rsidP="007C3060">
            <w:r w:rsidRPr="007C3060">
              <w:t>Spesielle driftsutgifter, kan overføres, kan nyttes under post 70, 71,</w:t>
            </w:r>
            <w:r w:rsidRPr="007C3060">
              <w:rPr>
                <w:rStyle w:val="kursiv"/>
              </w:rPr>
              <w:t xml:space="preserve"> 72, 73 og 76</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1CD4330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3B75177" w14:textId="77777777" w:rsidR="000A2A2B" w:rsidRPr="007C3060" w:rsidRDefault="000A2A2B" w:rsidP="007C3060">
            <w:r w:rsidRPr="007C3060">
              <w:t>42 700 000</w:t>
            </w:r>
          </w:p>
        </w:tc>
      </w:tr>
      <w:tr w:rsidR="004B729E" w:rsidRPr="007C3060" w14:paraId="33B0459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232E3F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56197D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C09C8CC" w14:textId="77777777" w:rsidR="000A2A2B" w:rsidRPr="007C3060" w:rsidRDefault="000A2A2B" w:rsidP="007C3060">
            <w:r w:rsidRPr="007C3060">
              <w:t>fra kr 103 526 000 til kr 146 226 000</w:t>
            </w:r>
          </w:p>
        </w:tc>
        <w:tc>
          <w:tcPr>
            <w:tcW w:w="1717" w:type="dxa"/>
            <w:tcBorders>
              <w:top w:val="nil"/>
              <w:left w:val="nil"/>
              <w:bottom w:val="nil"/>
              <w:right w:val="nil"/>
            </w:tcBorders>
            <w:tcMar>
              <w:top w:w="128" w:type="dxa"/>
              <w:left w:w="43" w:type="dxa"/>
              <w:bottom w:w="43" w:type="dxa"/>
              <w:right w:w="43" w:type="dxa"/>
            </w:tcMar>
            <w:vAlign w:val="bottom"/>
          </w:tcPr>
          <w:p w14:paraId="1E6929D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767D43" w14:textId="77777777" w:rsidR="000A2A2B" w:rsidRPr="007C3060" w:rsidRDefault="000A2A2B" w:rsidP="007C3060"/>
        </w:tc>
      </w:tr>
      <w:tr w:rsidR="004B729E" w:rsidRPr="007C3060" w14:paraId="28762224"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0C6B5C7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DC6550A"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0CB90906" w14:textId="60443B87" w:rsidR="000A2A2B" w:rsidRPr="007C3060" w:rsidRDefault="000A2A2B" w:rsidP="007C3060">
            <w:r w:rsidRPr="007C3060">
              <w:t xml:space="preserve">Nordområdene og Antarktis, </w:t>
            </w:r>
            <w:r w:rsidRPr="007C3060">
              <w:rPr>
                <w:rStyle w:val="kursiv"/>
              </w:rPr>
              <w:t xml:space="preserve">kan overføres, kan nyttes under post 21,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319BDAF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2CCB0A" w14:textId="77777777" w:rsidR="000A2A2B" w:rsidRPr="007C3060" w:rsidRDefault="000A2A2B" w:rsidP="007C3060">
            <w:r w:rsidRPr="007C3060">
              <w:t>38 000 000</w:t>
            </w:r>
          </w:p>
        </w:tc>
      </w:tr>
      <w:tr w:rsidR="004B729E" w:rsidRPr="007C3060" w14:paraId="29D5F9E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7087AF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B6174C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4C9A81E" w14:textId="77777777" w:rsidR="000A2A2B" w:rsidRPr="007C3060" w:rsidRDefault="000A2A2B" w:rsidP="007C3060">
            <w:r w:rsidRPr="007C3060">
              <w:t>fra kr 54 630 000 til kr 16 630 000</w:t>
            </w:r>
          </w:p>
        </w:tc>
        <w:tc>
          <w:tcPr>
            <w:tcW w:w="1717" w:type="dxa"/>
            <w:tcBorders>
              <w:top w:val="nil"/>
              <w:left w:val="nil"/>
              <w:bottom w:val="nil"/>
              <w:right w:val="nil"/>
            </w:tcBorders>
            <w:tcMar>
              <w:top w:w="128" w:type="dxa"/>
              <w:left w:w="43" w:type="dxa"/>
              <w:bottom w:w="43" w:type="dxa"/>
              <w:right w:w="43" w:type="dxa"/>
            </w:tcMar>
            <w:vAlign w:val="bottom"/>
          </w:tcPr>
          <w:p w14:paraId="27437F2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3720FD3" w14:textId="77777777" w:rsidR="000A2A2B" w:rsidRPr="007C3060" w:rsidRDefault="000A2A2B" w:rsidP="007C3060"/>
        </w:tc>
      </w:tr>
      <w:tr w:rsidR="004B729E" w:rsidRPr="007C3060" w14:paraId="21138535"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0DFF99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B77E3CF"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416B6BFE" w14:textId="34ACA1B4" w:rsidR="000A2A2B" w:rsidRPr="007C3060" w:rsidRDefault="000A2A2B" w:rsidP="007C3060">
            <w:r w:rsidRPr="007C3060">
              <w:t xml:space="preserve">Globale sikkerhetsspørsmål, </w:t>
            </w:r>
            <w:r w:rsidRPr="007C3060">
              <w:rPr>
                <w:rStyle w:val="kursiv"/>
              </w:rPr>
              <w:t>kan overføres, kan nyttes under post 21</w:t>
            </w:r>
            <w:r w:rsidRPr="007C3060">
              <w:t>, nedsettes med</w:t>
            </w:r>
          </w:p>
        </w:tc>
        <w:tc>
          <w:tcPr>
            <w:tcW w:w="1717" w:type="dxa"/>
            <w:tcBorders>
              <w:top w:val="nil"/>
              <w:left w:val="nil"/>
              <w:bottom w:val="nil"/>
              <w:right w:val="nil"/>
            </w:tcBorders>
            <w:tcMar>
              <w:top w:w="128" w:type="dxa"/>
              <w:left w:w="43" w:type="dxa"/>
              <w:bottom w:w="43" w:type="dxa"/>
              <w:right w:w="43" w:type="dxa"/>
            </w:tcMar>
            <w:vAlign w:val="bottom"/>
          </w:tcPr>
          <w:p w14:paraId="511AC96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BADAEB1" w14:textId="77777777" w:rsidR="000A2A2B" w:rsidRPr="007C3060" w:rsidRDefault="000A2A2B" w:rsidP="007C3060">
            <w:r w:rsidRPr="007C3060">
              <w:t>2 700 000</w:t>
            </w:r>
          </w:p>
        </w:tc>
      </w:tr>
      <w:tr w:rsidR="004B729E" w:rsidRPr="007C3060" w14:paraId="591C4ED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4EA11F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2C087D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F287C7A" w14:textId="77777777" w:rsidR="000A2A2B" w:rsidRPr="007C3060" w:rsidRDefault="000A2A2B" w:rsidP="007C3060">
            <w:r w:rsidRPr="007C3060">
              <w:t>fra kr 7 300 000 til kr 4 600 000</w:t>
            </w:r>
          </w:p>
        </w:tc>
        <w:tc>
          <w:tcPr>
            <w:tcW w:w="1717" w:type="dxa"/>
            <w:tcBorders>
              <w:top w:val="nil"/>
              <w:left w:val="nil"/>
              <w:bottom w:val="nil"/>
              <w:right w:val="nil"/>
            </w:tcBorders>
            <w:tcMar>
              <w:top w:w="128" w:type="dxa"/>
              <w:left w:w="43" w:type="dxa"/>
              <w:bottom w:w="43" w:type="dxa"/>
              <w:right w:w="43" w:type="dxa"/>
            </w:tcMar>
            <w:vAlign w:val="bottom"/>
          </w:tcPr>
          <w:p w14:paraId="5F3C3CB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4F1537B" w14:textId="77777777" w:rsidR="000A2A2B" w:rsidRPr="007C3060" w:rsidRDefault="000A2A2B" w:rsidP="007C3060"/>
        </w:tc>
      </w:tr>
      <w:tr w:rsidR="004B729E" w:rsidRPr="007C3060" w14:paraId="137D88FE"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E09F1B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E8BB2C1"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605580CF" w14:textId="77777777" w:rsidR="000A2A2B" w:rsidRPr="007C3060" w:rsidRDefault="000A2A2B" w:rsidP="007C3060">
            <w:r w:rsidRPr="007C3060">
              <w:t>Nedrustning, ikke-spredning og kjernefysisk sikkerhet mv., -</w:t>
            </w:r>
            <w:r w:rsidRPr="007C3060">
              <w:rPr>
                <w:rStyle w:val="kursiv"/>
              </w:rPr>
              <w:t>kan overføres, kan nyttes under post 21</w:t>
            </w:r>
            <w:r w:rsidRPr="007C3060">
              <w:t>, nedsettes med</w:t>
            </w:r>
          </w:p>
        </w:tc>
        <w:tc>
          <w:tcPr>
            <w:tcW w:w="1717" w:type="dxa"/>
            <w:tcBorders>
              <w:top w:val="nil"/>
              <w:left w:val="nil"/>
              <w:bottom w:val="nil"/>
              <w:right w:val="nil"/>
            </w:tcBorders>
            <w:tcMar>
              <w:top w:w="128" w:type="dxa"/>
              <w:left w:w="43" w:type="dxa"/>
              <w:bottom w:w="43" w:type="dxa"/>
              <w:right w:w="43" w:type="dxa"/>
            </w:tcMar>
            <w:vAlign w:val="bottom"/>
          </w:tcPr>
          <w:p w14:paraId="4B3B783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7FA8DA" w14:textId="77777777" w:rsidR="000A2A2B" w:rsidRPr="007C3060" w:rsidRDefault="000A2A2B" w:rsidP="007C3060">
            <w:r w:rsidRPr="007C3060">
              <w:t>11 000 000</w:t>
            </w:r>
          </w:p>
        </w:tc>
      </w:tr>
      <w:tr w:rsidR="004B729E" w:rsidRPr="007C3060" w14:paraId="6D86699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1FD2AE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86497D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62219D4" w14:textId="77777777" w:rsidR="000A2A2B" w:rsidRPr="007C3060" w:rsidRDefault="000A2A2B" w:rsidP="007C3060">
            <w:r w:rsidRPr="007C3060">
              <w:t>fra kr 44 390 000 til kr 33 390 000</w:t>
            </w:r>
          </w:p>
        </w:tc>
        <w:tc>
          <w:tcPr>
            <w:tcW w:w="1717" w:type="dxa"/>
            <w:tcBorders>
              <w:top w:val="nil"/>
              <w:left w:val="nil"/>
              <w:bottom w:val="nil"/>
              <w:right w:val="nil"/>
            </w:tcBorders>
            <w:tcMar>
              <w:top w:w="128" w:type="dxa"/>
              <w:left w:w="43" w:type="dxa"/>
              <w:bottom w:w="43" w:type="dxa"/>
              <w:right w:w="43" w:type="dxa"/>
            </w:tcMar>
            <w:vAlign w:val="bottom"/>
          </w:tcPr>
          <w:p w14:paraId="2545A44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BBBC520" w14:textId="77777777" w:rsidR="000A2A2B" w:rsidRPr="007C3060" w:rsidRDefault="000A2A2B" w:rsidP="007C3060"/>
        </w:tc>
      </w:tr>
      <w:tr w:rsidR="004B729E" w:rsidRPr="007C3060" w14:paraId="3E510D7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88CACC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7CD24B0" w14:textId="77777777" w:rsidR="000A2A2B" w:rsidRPr="007C3060" w:rsidRDefault="000A2A2B" w:rsidP="007C3060">
            <w:r w:rsidRPr="007C3060">
              <w:t>76</w:t>
            </w:r>
          </w:p>
        </w:tc>
        <w:tc>
          <w:tcPr>
            <w:tcW w:w="4819" w:type="dxa"/>
            <w:tcBorders>
              <w:top w:val="nil"/>
              <w:left w:val="nil"/>
              <w:bottom w:val="nil"/>
              <w:right w:val="nil"/>
            </w:tcBorders>
            <w:tcMar>
              <w:top w:w="128" w:type="dxa"/>
              <w:left w:w="43" w:type="dxa"/>
              <w:bottom w:w="43" w:type="dxa"/>
              <w:right w:w="43" w:type="dxa"/>
            </w:tcMar>
            <w:vAlign w:val="bottom"/>
          </w:tcPr>
          <w:p w14:paraId="040537FA" w14:textId="34E9D573" w:rsidR="000A2A2B" w:rsidRPr="007C3060" w:rsidRDefault="000A2A2B" w:rsidP="007C3060">
            <w:r w:rsidRPr="007C3060">
              <w:t xml:space="preserve">Russland, </w:t>
            </w:r>
            <w:r w:rsidRPr="007C3060">
              <w:rPr>
                <w:rStyle w:val="kursiv"/>
              </w:rPr>
              <w:t>kan overføres, kan nyttes under post 21,</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5741229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8D92AEF" w14:textId="77777777" w:rsidR="000A2A2B" w:rsidRPr="007C3060" w:rsidRDefault="000A2A2B" w:rsidP="007C3060">
            <w:r w:rsidRPr="007C3060">
              <w:t>6 000 000</w:t>
            </w:r>
          </w:p>
        </w:tc>
      </w:tr>
      <w:tr w:rsidR="004B729E" w:rsidRPr="007C3060" w14:paraId="4C3D4B6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67F0ED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369EC5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19C4D9F" w14:textId="77777777" w:rsidR="000A2A2B" w:rsidRPr="007C3060" w:rsidRDefault="000A2A2B" w:rsidP="007C3060">
            <w:r w:rsidRPr="007C3060">
              <w:t>fra kr 33 600 000 til kr 39 600 000</w:t>
            </w:r>
          </w:p>
        </w:tc>
        <w:tc>
          <w:tcPr>
            <w:tcW w:w="1717" w:type="dxa"/>
            <w:tcBorders>
              <w:top w:val="nil"/>
              <w:left w:val="nil"/>
              <w:bottom w:val="nil"/>
              <w:right w:val="nil"/>
            </w:tcBorders>
            <w:tcMar>
              <w:top w:w="128" w:type="dxa"/>
              <w:left w:w="43" w:type="dxa"/>
              <w:bottom w:w="43" w:type="dxa"/>
              <w:right w:w="43" w:type="dxa"/>
            </w:tcMar>
            <w:vAlign w:val="bottom"/>
          </w:tcPr>
          <w:p w14:paraId="445AB74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73736C7" w14:textId="77777777" w:rsidR="000A2A2B" w:rsidRPr="007C3060" w:rsidRDefault="000A2A2B" w:rsidP="007C3060"/>
        </w:tc>
      </w:tr>
      <w:tr w:rsidR="004B729E" w:rsidRPr="007C3060" w14:paraId="3215A845"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682A9D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DB9E3B6" w14:textId="77777777" w:rsidR="000A2A2B" w:rsidRPr="007C3060" w:rsidRDefault="000A2A2B" w:rsidP="007C3060">
            <w:r w:rsidRPr="007C3060">
              <w:t>77</w:t>
            </w:r>
          </w:p>
        </w:tc>
        <w:tc>
          <w:tcPr>
            <w:tcW w:w="4819" w:type="dxa"/>
            <w:tcBorders>
              <w:top w:val="nil"/>
              <w:left w:val="nil"/>
              <w:bottom w:val="nil"/>
              <w:right w:val="nil"/>
            </w:tcBorders>
            <w:tcMar>
              <w:top w:w="128" w:type="dxa"/>
              <w:left w:w="43" w:type="dxa"/>
              <w:bottom w:w="43" w:type="dxa"/>
              <w:right w:w="43" w:type="dxa"/>
            </w:tcMar>
            <w:vAlign w:val="bottom"/>
          </w:tcPr>
          <w:p w14:paraId="1F6191B7" w14:textId="09AE6C81" w:rsidR="000A2A2B" w:rsidRPr="007C3060" w:rsidRDefault="000A2A2B" w:rsidP="007C3060">
            <w:r w:rsidRPr="007C3060">
              <w:t xml:space="preserve">Norges forskningsråd – utenriksområdet,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7D1FCFB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870FFE4" w14:textId="77777777" w:rsidR="000A2A2B" w:rsidRPr="007C3060" w:rsidRDefault="000A2A2B" w:rsidP="007C3060">
            <w:r w:rsidRPr="007C3060">
              <w:t>600 000</w:t>
            </w:r>
          </w:p>
        </w:tc>
      </w:tr>
      <w:tr w:rsidR="004B729E" w:rsidRPr="007C3060" w14:paraId="60A8592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3E51BC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766C04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BEA9B91" w14:textId="77777777" w:rsidR="000A2A2B" w:rsidRPr="007C3060" w:rsidRDefault="000A2A2B" w:rsidP="007C3060">
            <w:r w:rsidRPr="007C3060">
              <w:t>fra kr 50 766 000 til kr 51 366 000</w:t>
            </w:r>
          </w:p>
        </w:tc>
        <w:tc>
          <w:tcPr>
            <w:tcW w:w="1717" w:type="dxa"/>
            <w:tcBorders>
              <w:top w:val="nil"/>
              <w:left w:val="nil"/>
              <w:bottom w:val="nil"/>
              <w:right w:val="nil"/>
            </w:tcBorders>
            <w:tcMar>
              <w:top w:w="128" w:type="dxa"/>
              <w:left w:w="43" w:type="dxa"/>
              <w:bottom w:w="43" w:type="dxa"/>
              <w:right w:w="43" w:type="dxa"/>
            </w:tcMar>
            <w:vAlign w:val="bottom"/>
          </w:tcPr>
          <w:p w14:paraId="425EB94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6F5D991" w14:textId="77777777" w:rsidR="000A2A2B" w:rsidRPr="007C3060" w:rsidRDefault="000A2A2B" w:rsidP="007C3060"/>
        </w:tc>
      </w:tr>
      <w:tr w:rsidR="004B729E" w:rsidRPr="007C3060" w14:paraId="0075C86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5721AD2" w14:textId="77777777" w:rsidR="000A2A2B" w:rsidRPr="007C3060" w:rsidRDefault="000A2A2B" w:rsidP="007C3060">
            <w:r w:rsidRPr="007C3060">
              <w:t>140</w:t>
            </w:r>
          </w:p>
        </w:tc>
        <w:tc>
          <w:tcPr>
            <w:tcW w:w="992" w:type="dxa"/>
            <w:tcBorders>
              <w:top w:val="nil"/>
              <w:left w:val="nil"/>
              <w:bottom w:val="nil"/>
              <w:right w:val="nil"/>
            </w:tcBorders>
            <w:tcMar>
              <w:top w:w="128" w:type="dxa"/>
              <w:left w:w="43" w:type="dxa"/>
              <w:bottom w:w="43" w:type="dxa"/>
              <w:right w:w="123" w:type="dxa"/>
            </w:tcMar>
          </w:tcPr>
          <w:p w14:paraId="757BAD5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4B61EFA" w14:textId="77777777" w:rsidR="000A2A2B" w:rsidRPr="007C3060" w:rsidRDefault="000A2A2B" w:rsidP="007C3060">
            <w:r w:rsidRPr="007C3060">
              <w:t>Utenriksdepartementet:</w:t>
            </w:r>
          </w:p>
        </w:tc>
        <w:tc>
          <w:tcPr>
            <w:tcW w:w="1717" w:type="dxa"/>
            <w:tcBorders>
              <w:top w:val="nil"/>
              <w:left w:val="nil"/>
              <w:bottom w:val="nil"/>
              <w:right w:val="nil"/>
            </w:tcBorders>
            <w:tcMar>
              <w:top w:w="128" w:type="dxa"/>
              <w:left w:w="43" w:type="dxa"/>
              <w:bottom w:w="43" w:type="dxa"/>
              <w:right w:w="43" w:type="dxa"/>
            </w:tcMar>
            <w:vAlign w:val="bottom"/>
          </w:tcPr>
          <w:p w14:paraId="79CF292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B6B5A59" w14:textId="77777777" w:rsidR="000A2A2B" w:rsidRPr="007C3060" w:rsidRDefault="000A2A2B" w:rsidP="007C3060"/>
        </w:tc>
      </w:tr>
      <w:tr w:rsidR="004B729E" w:rsidRPr="007C3060" w14:paraId="24AF986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195B02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6935309"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7CE54C2B" w14:textId="77777777" w:rsidR="000A2A2B" w:rsidRPr="007C3060" w:rsidRDefault="000A2A2B" w:rsidP="007C3060">
            <w:r w:rsidRPr="007C3060">
              <w:t xml:space="preserve">Spesielle driftsutgifter,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03A80DE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12A0931" w14:textId="77777777" w:rsidR="000A2A2B" w:rsidRPr="007C3060" w:rsidRDefault="000A2A2B" w:rsidP="007C3060">
            <w:r w:rsidRPr="007C3060">
              <w:t>6 500 000</w:t>
            </w:r>
          </w:p>
        </w:tc>
      </w:tr>
      <w:tr w:rsidR="004B729E" w:rsidRPr="007C3060" w14:paraId="7A2323A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F77A8E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C98545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AE7F840" w14:textId="77777777" w:rsidR="000A2A2B" w:rsidRPr="007C3060" w:rsidRDefault="000A2A2B" w:rsidP="007C3060">
            <w:r w:rsidRPr="007C3060">
              <w:t>fra kr 95 083 000 til kr 88 583 000</w:t>
            </w:r>
          </w:p>
        </w:tc>
        <w:tc>
          <w:tcPr>
            <w:tcW w:w="1717" w:type="dxa"/>
            <w:tcBorders>
              <w:top w:val="nil"/>
              <w:left w:val="nil"/>
              <w:bottom w:val="nil"/>
              <w:right w:val="nil"/>
            </w:tcBorders>
            <w:tcMar>
              <w:top w:w="128" w:type="dxa"/>
              <w:left w:w="43" w:type="dxa"/>
              <w:bottom w:w="43" w:type="dxa"/>
              <w:right w:w="43" w:type="dxa"/>
            </w:tcMar>
            <w:vAlign w:val="bottom"/>
          </w:tcPr>
          <w:p w14:paraId="602B920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28D19CB" w14:textId="77777777" w:rsidR="000A2A2B" w:rsidRPr="007C3060" w:rsidRDefault="000A2A2B" w:rsidP="007C3060"/>
        </w:tc>
      </w:tr>
      <w:tr w:rsidR="004B729E" w:rsidRPr="007C3060" w14:paraId="7346D5F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11BFCF7" w14:textId="77777777" w:rsidR="000A2A2B" w:rsidRPr="007C3060" w:rsidRDefault="000A2A2B" w:rsidP="007C3060">
            <w:r w:rsidRPr="007C3060">
              <w:t>141</w:t>
            </w:r>
          </w:p>
        </w:tc>
        <w:tc>
          <w:tcPr>
            <w:tcW w:w="992" w:type="dxa"/>
            <w:tcBorders>
              <w:top w:val="nil"/>
              <w:left w:val="nil"/>
              <w:bottom w:val="nil"/>
              <w:right w:val="nil"/>
            </w:tcBorders>
            <w:tcMar>
              <w:top w:w="128" w:type="dxa"/>
              <w:left w:w="43" w:type="dxa"/>
              <w:bottom w:w="43" w:type="dxa"/>
              <w:right w:w="123" w:type="dxa"/>
            </w:tcMar>
          </w:tcPr>
          <w:p w14:paraId="19C44FC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B360434" w14:textId="77777777" w:rsidR="000A2A2B" w:rsidRPr="007C3060" w:rsidRDefault="000A2A2B" w:rsidP="007C3060">
            <w:r w:rsidRPr="007C3060">
              <w:t>Direktoratet for utviklingssamarbeid (Norad):</w:t>
            </w:r>
          </w:p>
        </w:tc>
        <w:tc>
          <w:tcPr>
            <w:tcW w:w="1717" w:type="dxa"/>
            <w:tcBorders>
              <w:top w:val="nil"/>
              <w:left w:val="nil"/>
              <w:bottom w:val="nil"/>
              <w:right w:val="nil"/>
            </w:tcBorders>
            <w:tcMar>
              <w:top w:w="128" w:type="dxa"/>
              <w:left w:w="43" w:type="dxa"/>
              <w:bottom w:w="43" w:type="dxa"/>
              <w:right w:w="43" w:type="dxa"/>
            </w:tcMar>
            <w:vAlign w:val="bottom"/>
          </w:tcPr>
          <w:p w14:paraId="024BF01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64795B3" w14:textId="77777777" w:rsidR="000A2A2B" w:rsidRPr="007C3060" w:rsidRDefault="000A2A2B" w:rsidP="007C3060"/>
        </w:tc>
      </w:tr>
      <w:tr w:rsidR="004B729E" w:rsidRPr="007C3060" w14:paraId="1AA7F77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F8B185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6323ABF"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20046337"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635F06C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F94CDCC" w14:textId="77777777" w:rsidR="000A2A2B" w:rsidRPr="007C3060" w:rsidRDefault="000A2A2B" w:rsidP="007C3060">
            <w:r w:rsidRPr="007C3060">
              <w:t>4 800 000</w:t>
            </w:r>
          </w:p>
        </w:tc>
      </w:tr>
      <w:tr w:rsidR="004B729E" w:rsidRPr="007C3060" w14:paraId="07823A2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8CD100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DEBE1A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D3CEE6E" w14:textId="77777777" w:rsidR="000A2A2B" w:rsidRPr="007C3060" w:rsidRDefault="000A2A2B" w:rsidP="007C3060">
            <w:r w:rsidRPr="007C3060">
              <w:t>fra kr 419 283 000 til kr 424 083 000</w:t>
            </w:r>
          </w:p>
        </w:tc>
        <w:tc>
          <w:tcPr>
            <w:tcW w:w="1717" w:type="dxa"/>
            <w:tcBorders>
              <w:top w:val="nil"/>
              <w:left w:val="nil"/>
              <w:bottom w:val="nil"/>
              <w:right w:val="nil"/>
            </w:tcBorders>
            <w:tcMar>
              <w:top w:w="128" w:type="dxa"/>
              <w:left w:w="43" w:type="dxa"/>
              <w:bottom w:w="43" w:type="dxa"/>
              <w:right w:w="43" w:type="dxa"/>
            </w:tcMar>
            <w:vAlign w:val="bottom"/>
          </w:tcPr>
          <w:p w14:paraId="3593CA3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1C1EBDD" w14:textId="77777777" w:rsidR="000A2A2B" w:rsidRPr="007C3060" w:rsidRDefault="000A2A2B" w:rsidP="007C3060"/>
        </w:tc>
      </w:tr>
      <w:tr w:rsidR="004B729E" w:rsidRPr="007C3060" w14:paraId="1B33F8E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9FCCA5A" w14:textId="77777777" w:rsidR="000A2A2B" w:rsidRPr="007C3060" w:rsidRDefault="000A2A2B" w:rsidP="007C3060">
            <w:r w:rsidRPr="007C3060">
              <w:t>144</w:t>
            </w:r>
          </w:p>
        </w:tc>
        <w:tc>
          <w:tcPr>
            <w:tcW w:w="992" w:type="dxa"/>
            <w:tcBorders>
              <w:top w:val="nil"/>
              <w:left w:val="nil"/>
              <w:bottom w:val="nil"/>
              <w:right w:val="nil"/>
            </w:tcBorders>
            <w:tcMar>
              <w:top w:w="128" w:type="dxa"/>
              <w:left w:w="43" w:type="dxa"/>
              <w:bottom w:w="43" w:type="dxa"/>
              <w:right w:w="123" w:type="dxa"/>
            </w:tcMar>
          </w:tcPr>
          <w:p w14:paraId="61EB984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63ECD14" w14:textId="77777777" w:rsidR="000A2A2B" w:rsidRPr="007C3060" w:rsidRDefault="000A2A2B" w:rsidP="007C3060">
            <w:r w:rsidRPr="007C3060">
              <w:t>Norsk senter for utvekslingssamarbeid (</w:t>
            </w:r>
            <w:proofErr w:type="spellStart"/>
            <w:r w:rsidRPr="007C3060">
              <w:t>Norec</w:t>
            </w:r>
            <w:proofErr w:type="spellEnd"/>
            <w:r w:rsidRPr="007C3060">
              <w:t>):</w:t>
            </w:r>
          </w:p>
        </w:tc>
        <w:tc>
          <w:tcPr>
            <w:tcW w:w="1717" w:type="dxa"/>
            <w:tcBorders>
              <w:top w:val="nil"/>
              <w:left w:val="nil"/>
              <w:bottom w:val="nil"/>
              <w:right w:val="nil"/>
            </w:tcBorders>
            <w:tcMar>
              <w:top w:w="128" w:type="dxa"/>
              <w:left w:w="43" w:type="dxa"/>
              <w:bottom w:w="43" w:type="dxa"/>
              <w:right w:w="43" w:type="dxa"/>
            </w:tcMar>
            <w:vAlign w:val="bottom"/>
          </w:tcPr>
          <w:p w14:paraId="524E473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00FDA3C" w14:textId="77777777" w:rsidR="000A2A2B" w:rsidRPr="007C3060" w:rsidRDefault="000A2A2B" w:rsidP="007C3060"/>
        </w:tc>
      </w:tr>
      <w:tr w:rsidR="004B729E" w:rsidRPr="007C3060" w14:paraId="389E709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3E180B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D14373C"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3B97E691"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4D75268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2552CA5" w14:textId="77777777" w:rsidR="000A2A2B" w:rsidRPr="007C3060" w:rsidRDefault="000A2A2B" w:rsidP="007C3060">
            <w:r w:rsidRPr="007C3060">
              <w:t>430 000</w:t>
            </w:r>
          </w:p>
        </w:tc>
      </w:tr>
      <w:tr w:rsidR="004B729E" w:rsidRPr="007C3060" w14:paraId="195152A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152F32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646066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76FF628" w14:textId="77777777" w:rsidR="000A2A2B" w:rsidRPr="007C3060" w:rsidRDefault="000A2A2B" w:rsidP="007C3060">
            <w:r w:rsidRPr="007C3060">
              <w:t>fra kr 71 411 000 til kr 71 841 000</w:t>
            </w:r>
          </w:p>
        </w:tc>
        <w:tc>
          <w:tcPr>
            <w:tcW w:w="1717" w:type="dxa"/>
            <w:tcBorders>
              <w:top w:val="nil"/>
              <w:left w:val="nil"/>
              <w:bottom w:val="nil"/>
              <w:right w:val="nil"/>
            </w:tcBorders>
            <w:tcMar>
              <w:top w:w="128" w:type="dxa"/>
              <w:left w:w="43" w:type="dxa"/>
              <w:bottom w:w="43" w:type="dxa"/>
              <w:right w:w="43" w:type="dxa"/>
            </w:tcMar>
            <w:vAlign w:val="bottom"/>
          </w:tcPr>
          <w:p w14:paraId="7D432F7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5813816" w14:textId="77777777" w:rsidR="000A2A2B" w:rsidRPr="007C3060" w:rsidRDefault="000A2A2B" w:rsidP="007C3060"/>
        </w:tc>
      </w:tr>
      <w:tr w:rsidR="004B729E" w:rsidRPr="007C3060" w14:paraId="07FE091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FDD708A" w14:textId="77777777" w:rsidR="000A2A2B" w:rsidRPr="007C3060" w:rsidRDefault="000A2A2B" w:rsidP="007C3060">
            <w:r w:rsidRPr="007C3060">
              <w:t>151</w:t>
            </w:r>
          </w:p>
        </w:tc>
        <w:tc>
          <w:tcPr>
            <w:tcW w:w="992" w:type="dxa"/>
            <w:tcBorders>
              <w:top w:val="nil"/>
              <w:left w:val="nil"/>
              <w:bottom w:val="nil"/>
              <w:right w:val="nil"/>
            </w:tcBorders>
            <w:tcMar>
              <w:top w:w="128" w:type="dxa"/>
              <w:left w:w="43" w:type="dxa"/>
              <w:bottom w:w="43" w:type="dxa"/>
              <w:right w:w="123" w:type="dxa"/>
            </w:tcMar>
          </w:tcPr>
          <w:p w14:paraId="4D33591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5EDA3F8" w14:textId="77777777" w:rsidR="000A2A2B" w:rsidRPr="007C3060" w:rsidRDefault="000A2A2B" w:rsidP="007C3060">
            <w:r w:rsidRPr="007C3060">
              <w:t>Fred, sikkerhet og globalt samarbeid:</w:t>
            </w:r>
          </w:p>
        </w:tc>
        <w:tc>
          <w:tcPr>
            <w:tcW w:w="1717" w:type="dxa"/>
            <w:tcBorders>
              <w:top w:val="nil"/>
              <w:left w:val="nil"/>
              <w:bottom w:val="nil"/>
              <w:right w:val="nil"/>
            </w:tcBorders>
            <w:tcMar>
              <w:top w:w="128" w:type="dxa"/>
              <w:left w:w="43" w:type="dxa"/>
              <w:bottom w:w="43" w:type="dxa"/>
              <w:right w:w="43" w:type="dxa"/>
            </w:tcMar>
            <w:vAlign w:val="bottom"/>
          </w:tcPr>
          <w:p w14:paraId="48B8280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BE55516" w14:textId="77777777" w:rsidR="000A2A2B" w:rsidRPr="007C3060" w:rsidRDefault="000A2A2B" w:rsidP="007C3060"/>
        </w:tc>
      </w:tr>
      <w:tr w:rsidR="004B729E" w:rsidRPr="007C3060" w14:paraId="0E49278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7AF272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57E93D5" w14:textId="77777777" w:rsidR="000A2A2B" w:rsidRPr="007C3060" w:rsidRDefault="000A2A2B" w:rsidP="007C3060">
            <w:r w:rsidRPr="007C3060">
              <w:t>74</w:t>
            </w:r>
          </w:p>
        </w:tc>
        <w:tc>
          <w:tcPr>
            <w:tcW w:w="4819" w:type="dxa"/>
            <w:tcBorders>
              <w:top w:val="nil"/>
              <w:left w:val="nil"/>
              <w:bottom w:val="nil"/>
              <w:right w:val="nil"/>
            </w:tcBorders>
            <w:tcMar>
              <w:top w:w="128" w:type="dxa"/>
              <w:left w:w="43" w:type="dxa"/>
              <w:bottom w:w="43" w:type="dxa"/>
              <w:right w:w="43" w:type="dxa"/>
            </w:tcMar>
            <w:vAlign w:val="bottom"/>
          </w:tcPr>
          <w:p w14:paraId="73FA2BD7" w14:textId="77777777" w:rsidR="000A2A2B" w:rsidRPr="007C3060" w:rsidRDefault="000A2A2B" w:rsidP="007C3060">
            <w:r w:rsidRPr="007C3060">
              <w:t>Pliktige bidrag til FN-organisasjoner mv., forhøyes med</w:t>
            </w:r>
          </w:p>
        </w:tc>
        <w:tc>
          <w:tcPr>
            <w:tcW w:w="1717" w:type="dxa"/>
            <w:tcBorders>
              <w:top w:val="nil"/>
              <w:left w:val="nil"/>
              <w:bottom w:val="nil"/>
              <w:right w:val="nil"/>
            </w:tcBorders>
            <w:tcMar>
              <w:top w:w="128" w:type="dxa"/>
              <w:left w:w="43" w:type="dxa"/>
              <w:bottom w:w="43" w:type="dxa"/>
              <w:right w:w="43" w:type="dxa"/>
            </w:tcMar>
            <w:vAlign w:val="bottom"/>
          </w:tcPr>
          <w:p w14:paraId="5F70D2A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64E8B78" w14:textId="77777777" w:rsidR="000A2A2B" w:rsidRPr="007C3060" w:rsidRDefault="000A2A2B" w:rsidP="007C3060">
            <w:r w:rsidRPr="007C3060">
              <w:t>24 201 000</w:t>
            </w:r>
          </w:p>
        </w:tc>
      </w:tr>
      <w:tr w:rsidR="004B729E" w:rsidRPr="007C3060" w14:paraId="79B3DAA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77F257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3CD068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B7FF04F" w14:textId="77777777" w:rsidR="000A2A2B" w:rsidRPr="007C3060" w:rsidRDefault="000A2A2B" w:rsidP="007C3060">
            <w:r w:rsidRPr="007C3060">
              <w:t>fra kr 405 220 000 til kr 429 421 000</w:t>
            </w:r>
          </w:p>
        </w:tc>
        <w:tc>
          <w:tcPr>
            <w:tcW w:w="1717" w:type="dxa"/>
            <w:tcBorders>
              <w:top w:val="nil"/>
              <w:left w:val="nil"/>
              <w:bottom w:val="nil"/>
              <w:right w:val="nil"/>
            </w:tcBorders>
            <w:tcMar>
              <w:top w:w="128" w:type="dxa"/>
              <w:left w:w="43" w:type="dxa"/>
              <w:bottom w:w="43" w:type="dxa"/>
              <w:right w:w="43" w:type="dxa"/>
            </w:tcMar>
            <w:vAlign w:val="bottom"/>
          </w:tcPr>
          <w:p w14:paraId="7632F84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C6C16D0" w14:textId="77777777" w:rsidR="000A2A2B" w:rsidRPr="007C3060" w:rsidRDefault="000A2A2B" w:rsidP="007C3060"/>
        </w:tc>
      </w:tr>
      <w:tr w:rsidR="004B729E" w:rsidRPr="007C3060" w14:paraId="2E49E06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3D79E72" w14:textId="77777777" w:rsidR="000A2A2B" w:rsidRPr="007C3060" w:rsidRDefault="000A2A2B" w:rsidP="007C3060">
            <w:r w:rsidRPr="007C3060">
              <w:t>152</w:t>
            </w:r>
          </w:p>
        </w:tc>
        <w:tc>
          <w:tcPr>
            <w:tcW w:w="992" w:type="dxa"/>
            <w:tcBorders>
              <w:top w:val="nil"/>
              <w:left w:val="nil"/>
              <w:bottom w:val="nil"/>
              <w:right w:val="nil"/>
            </w:tcBorders>
            <w:tcMar>
              <w:top w:w="128" w:type="dxa"/>
              <w:left w:w="43" w:type="dxa"/>
              <w:bottom w:w="43" w:type="dxa"/>
              <w:right w:w="123" w:type="dxa"/>
            </w:tcMar>
          </w:tcPr>
          <w:p w14:paraId="01E63F6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91A160C" w14:textId="77777777" w:rsidR="000A2A2B" w:rsidRPr="007C3060" w:rsidRDefault="000A2A2B" w:rsidP="007C3060">
            <w:r w:rsidRPr="007C3060">
              <w:t>Menneskerettigheter:</w:t>
            </w:r>
          </w:p>
        </w:tc>
        <w:tc>
          <w:tcPr>
            <w:tcW w:w="1717" w:type="dxa"/>
            <w:tcBorders>
              <w:top w:val="nil"/>
              <w:left w:val="nil"/>
              <w:bottom w:val="nil"/>
              <w:right w:val="nil"/>
            </w:tcBorders>
            <w:tcMar>
              <w:top w:w="128" w:type="dxa"/>
              <w:left w:w="43" w:type="dxa"/>
              <w:bottom w:w="43" w:type="dxa"/>
              <w:right w:w="43" w:type="dxa"/>
            </w:tcMar>
            <w:vAlign w:val="bottom"/>
          </w:tcPr>
          <w:p w14:paraId="78CCB1D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FCF49AA" w14:textId="77777777" w:rsidR="000A2A2B" w:rsidRPr="007C3060" w:rsidRDefault="000A2A2B" w:rsidP="007C3060"/>
        </w:tc>
      </w:tr>
      <w:tr w:rsidR="004B729E" w:rsidRPr="007C3060" w14:paraId="24F36F2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33229C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67A96A2"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77F193AC" w14:textId="77777777" w:rsidR="000A2A2B" w:rsidRPr="007C3060" w:rsidRDefault="000A2A2B" w:rsidP="007C3060">
            <w:r w:rsidRPr="007C3060">
              <w:t xml:space="preserve">Menneskerettigheter,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09BB30F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D5304FE" w14:textId="77777777" w:rsidR="000A2A2B" w:rsidRPr="007C3060" w:rsidRDefault="000A2A2B" w:rsidP="007C3060">
            <w:r w:rsidRPr="007C3060">
              <w:t>50 000 000</w:t>
            </w:r>
          </w:p>
        </w:tc>
      </w:tr>
      <w:tr w:rsidR="004B729E" w:rsidRPr="007C3060" w14:paraId="3952B1F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9FAD30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67D7F9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793ABF9" w14:textId="77777777" w:rsidR="000A2A2B" w:rsidRPr="007C3060" w:rsidRDefault="000A2A2B" w:rsidP="007C3060">
            <w:r w:rsidRPr="007C3060">
              <w:t>fra kr 671 617 000 til kr 721 617 000</w:t>
            </w:r>
          </w:p>
        </w:tc>
        <w:tc>
          <w:tcPr>
            <w:tcW w:w="1717" w:type="dxa"/>
            <w:tcBorders>
              <w:top w:val="nil"/>
              <w:left w:val="nil"/>
              <w:bottom w:val="nil"/>
              <w:right w:val="nil"/>
            </w:tcBorders>
            <w:tcMar>
              <w:top w:w="128" w:type="dxa"/>
              <w:left w:w="43" w:type="dxa"/>
              <w:bottom w:w="43" w:type="dxa"/>
              <w:right w:w="43" w:type="dxa"/>
            </w:tcMar>
            <w:vAlign w:val="bottom"/>
          </w:tcPr>
          <w:p w14:paraId="2739688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6C645A" w14:textId="77777777" w:rsidR="000A2A2B" w:rsidRPr="007C3060" w:rsidRDefault="000A2A2B" w:rsidP="007C3060"/>
        </w:tc>
      </w:tr>
      <w:tr w:rsidR="004B729E" w:rsidRPr="007C3060" w14:paraId="3BEEB8C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481AEA4" w14:textId="77777777" w:rsidR="000A2A2B" w:rsidRPr="007C3060" w:rsidRDefault="000A2A2B" w:rsidP="007C3060">
            <w:r w:rsidRPr="007C3060">
              <w:t>153</w:t>
            </w:r>
          </w:p>
        </w:tc>
        <w:tc>
          <w:tcPr>
            <w:tcW w:w="992" w:type="dxa"/>
            <w:tcBorders>
              <w:top w:val="nil"/>
              <w:left w:val="nil"/>
              <w:bottom w:val="nil"/>
              <w:right w:val="nil"/>
            </w:tcBorders>
            <w:tcMar>
              <w:top w:w="128" w:type="dxa"/>
              <w:left w:w="43" w:type="dxa"/>
              <w:bottom w:w="43" w:type="dxa"/>
              <w:right w:w="123" w:type="dxa"/>
            </w:tcMar>
          </w:tcPr>
          <w:p w14:paraId="6E158A9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B739C59" w14:textId="77777777" w:rsidR="000A2A2B" w:rsidRPr="007C3060" w:rsidRDefault="000A2A2B" w:rsidP="007C3060">
            <w:r w:rsidRPr="007C3060">
              <w:t xml:space="preserve">Flyktninger, fordrevne og </w:t>
            </w:r>
            <w:proofErr w:type="spellStart"/>
            <w:r w:rsidRPr="007C3060">
              <w:t>vertssamfunn</w:t>
            </w:r>
            <w:proofErr w:type="spellEnd"/>
            <w:r w:rsidRPr="007C3060">
              <w:t>:</w:t>
            </w:r>
          </w:p>
        </w:tc>
        <w:tc>
          <w:tcPr>
            <w:tcW w:w="1717" w:type="dxa"/>
            <w:tcBorders>
              <w:top w:val="nil"/>
              <w:left w:val="nil"/>
              <w:bottom w:val="nil"/>
              <w:right w:val="nil"/>
            </w:tcBorders>
            <w:tcMar>
              <w:top w:w="128" w:type="dxa"/>
              <w:left w:w="43" w:type="dxa"/>
              <w:bottom w:w="43" w:type="dxa"/>
              <w:right w:w="43" w:type="dxa"/>
            </w:tcMar>
            <w:vAlign w:val="bottom"/>
          </w:tcPr>
          <w:p w14:paraId="2D41F12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5CD3172" w14:textId="77777777" w:rsidR="000A2A2B" w:rsidRPr="007C3060" w:rsidRDefault="000A2A2B" w:rsidP="007C3060"/>
        </w:tc>
      </w:tr>
      <w:tr w:rsidR="004B729E" w:rsidRPr="007C3060" w14:paraId="7B22B37C"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034A13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E1A51F1"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22C6478B" w14:textId="5DC4534D" w:rsidR="000A2A2B" w:rsidRPr="007C3060" w:rsidRDefault="000A2A2B" w:rsidP="007C3060">
            <w:r w:rsidRPr="007C3060">
              <w:t xml:space="preserve">Bærekraftige løsninger og </w:t>
            </w:r>
            <w:proofErr w:type="spellStart"/>
            <w:r w:rsidRPr="007C3060">
              <w:t>vertssamfunn</w:t>
            </w:r>
            <w:proofErr w:type="spellEnd"/>
            <w:r w:rsidRPr="007C3060">
              <w:t xml:space="preserve">,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2BB373C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E6DF37D" w14:textId="77777777" w:rsidR="000A2A2B" w:rsidRPr="007C3060" w:rsidRDefault="000A2A2B" w:rsidP="007C3060">
            <w:r w:rsidRPr="007C3060">
              <w:t>10 000 000</w:t>
            </w:r>
          </w:p>
        </w:tc>
      </w:tr>
      <w:tr w:rsidR="004B729E" w:rsidRPr="007C3060" w14:paraId="652AAAC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D4C9B4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EEDB6C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088DA5E" w14:textId="77777777" w:rsidR="000A2A2B" w:rsidRPr="007C3060" w:rsidRDefault="000A2A2B" w:rsidP="007C3060">
            <w:r w:rsidRPr="007C3060">
              <w:t>fra kr 429 504 000 til kr 439 504 000</w:t>
            </w:r>
          </w:p>
        </w:tc>
        <w:tc>
          <w:tcPr>
            <w:tcW w:w="1717" w:type="dxa"/>
            <w:tcBorders>
              <w:top w:val="nil"/>
              <w:left w:val="nil"/>
              <w:bottom w:val="nil"/>
              <w:right w:val="nil"/>
            </w:tcBorders>
            <w:tcMar>
              <w:top w:w="128" w:type="dxa"/>
              <w:left w:w="43" w:type="dxa"/>
              <w:bottom w:w="43" w:type="dxa"/>
              <w:right w:w="43" w:type="dxa"/>
            </w:tcMar>
            <w:vAlign w:val="bottom"/>
          </w:tcPr>
          <w:p w14:paraId="1D2DE9F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5749953" w14:textId="77777777" w:rsidR="000A2A2B" w:rsidRPr="007C3060" w:rsidRDefault="000A2A2B" w:rsidP="007C3060"/>
        </w:tc>
      </w:tr>
      <w:tr w:rsidR="004B729E" w:rsidRPr="007C3060" w14:paraId="42E1F7C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0E77206" w14:textId="77777777" w:rsidR="000A2A2B" w:rsidRPr="007C3060" w:rsidRDefault="000A2A2B" w:rsidP="007C3060">
            <w:r w:rsidRPr="007C3060">
              <w:t>159</w:t>
            </w:r>
          </w:p>
        </w:tc>
        <w:tc>
          <w:tcPr>
            <w:tcW w:w="992" w:type="dxa"/>
            <w:tcBorders>
              <w:top w:val="nil"/>
              <w:left w:val="nil"/>
              <w:bottom w:val="nil"/>
              <w:right w:val="nil"/>
            </w:tcBorders>
            <w:tcMar>
              <w:top w:w="128" w:type="dxa"/>
              <w:left w:w="43" w:type="dxa"/>
              <w:bottom w:w="43" w:type="dxa"/>
              <w:right w:w="123" w:type="dxa"/>
            </w:tcMar>
          </w:tcPr>
          <w:p w14:paraId="3A0E0F6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8726166" w14:textId="77777777" w:rsidR="000A2A2B" w:rsidRPr="007C3060" w:rsidRDefault="000A2A2B" w:rsidP="007C3060">
            <w:r w:rsidRPr="007C3060">
              <w:t>Regionbevilgninger:</w:t>
            </w:r>
          </w:p>
        </w:tc>
        <w:tc>
          <w:tcPr>
            <w:tcW w:w="1717" w:type="dxa"/>
            <w:tcBorders>
              <w:top w:val="nil"/>
              <w:left w:val="nil"/>
              <w:bottom w:val="nil"/>
              <w:right w:val="nil"/>
            </w:tcBorders>
            <w:tcMar>
              <w:top w:w="128" w:type="dxa"/>
              <w:left w:w="43" w:type="dxa"/>
              <w:bottom w:w="43" w:type="dxa"/>
              <w:right w:w="43" w:type="dxa"/>
            </w:tcMar>
            <w:vAlign w:val="bottom"/>
          </w:tcPr>
          <w:p w14:paraId="670F649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493BDB7" w14:textId="77777777" w:rsidR="000A2A2B" w:rsidRPr="007C3060" w:rsidRDefault="000A2A2B" w:rsidP="007C3060"/>
        </w:tc>
      </w:tr>
      <w:tr w:rsidR="004B729E" w:rsidRPr="007C3060" w14:paraId="3CF7E30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1EBBFD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C2BBBE6"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34D45F44" w14:textId="77777777" w:rsidR="000A2A2B" w:rsidRPr="007C3060" w:rsidRDefault="000A2A2B" w:rsidP="007C3060">
            <w:r w:rsidRPr="007C3060">
              <w:t xml:space="preserve">Midtøsten,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52577F2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1B5F801" w14:textId="77777777" w:rsidR="000A2A2B" w:rsidRPr="007C3060" w:rsidRDefault="000A2A2B" w:rsidP="007C3060">
            <w:r w:rsidRPr="007C3060">
              <w:t>37 870 000</w:t>
            </w:r>
          </w:p>
        </w:tc>
      </w:tr>
      <w:tr w:rsidR="004B729E" w:rsidRPr="007C3060" w14:paraId="4E10FDF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CCC706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A005A5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A965CF4" w14:textId="77777777" w:rsidR="000A2A2B" w:rsidRPr="007C3060" w:rsidRDefault="000A2A2B" w:rsidP="007C3060">
            <w:r w:rsidRPr="007C3060">
              <w:t>fra kr 669 311 000 til kr 707 181 000</w:t>
            </w:r>
          </w:p>
        </w:tc>
        <w:tc>
          <w:tcPr>
            <w:tcW w:w="1717" w:type="dxa"/>
            <w:tcBorders>
              <w:top w:val="nil"/>
              <w:left w:val="nil"/>
              <w:bottom w:val="nil"/>
              <w:right w:val="nil"/>
            </w:tcBorders>
            <w:tcMar>
              <w:top w:w="128" w:type="dxa"/>
              <w:left w:w="43" w:type="dxa"/>
              <w:bottom w:w="43" w:type="dxa"/>
              <w:right w:w="43" w:type="dxa"/>
            </w:tcMar>
            <w:vAlign w:val="bottom"/>
          </w:tcPr>
          <w:p w14:paraId="1578A99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10F2BD2" w14:textId="77777777" w:rsidR="000A2A2B" w:rsidRPr="007C3060" w:rsidRDefault="000A2A2B" w:rsidP="007C3060"/>
        </w:tc>
      </w:tr>
      <w:tr w:rsidR="004B729E" w:rsidRPr="007C3060" w14:paraId="5866BEE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CEADA8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8CEF816"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17104BEC" w14:textId="77777777" w:rsidR="000A2A2B" w:rsidRPr="007C3060" w:rsidRDefault="000A2A2B" w:rsidP="007C3060">
            <w:r w:rsidRPr="007C3060">
              <w:t xml:space="preserve">Europa og Sentral-Asia,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673D4DB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5DC1D8F" w14:textId="77777777" w:rsidR="000A2A2B" w:rsidRPr="007C3060" w:rsidRDefault="000A2A2B" w:rsidP="007C3060">
            <w:r w:rsidRPr="007C3060">
              <w:t>10 000 000</w:t>
            </w:r>
          </w:p>
        </w:tc>
      </w:tr>
      <w:tr w:rsidR="004B729E" w:rsidRPr="007C3060" w14:paraId="54F3315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8B5A5F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BACC19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D8C3F3C" w14:textId="77777777" w:rsidR="000A2A2B" w:rsidRPr="007C3060" w:rsidRDefault="000A2A2B" w:rsidP="007C3060">
            <w:r w:rsidRPr="007C3060">
              <w:t>fra kr 423 817 000 til kr 413 817 000</w:t>
            </w:r>
          </w:p>
        </w:tc>
        <w:tc>
          <w:tcPr>
            <w:tcW w:w="1717" w:type="dxa"/>
            <w:tcBorders>
              <w:top w:val="nil"/>
              <w:left w:val="nil"/>
              <w:bottom w:val="nil"/>
              <w:right w:val="nil"/>
            </w:tcBorders>
            <w:tcMar>
              <w:top w:w="128" w:type="dxa"/>
              <w:left w:w="43" w:type="dxa"/>
              <w:bottom w:w="43" w:type="dxa"/>
              <w:right w:w="43" w:type="dxa"/>
            </w:tcMar>
            <w:vAlign w:val="bottom"/>
          </w:tcPr>
          <w:p w14:paraId="6862B83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E42D507" w14:textId="77777777" w:rsidR="000A2A2B" w:rsidRPr="007C3060" w:rsidRDefault="000A2A2B" w:rsidP="007C3060"/>
        </w:tc>
      </w:tr>
      <w:tr w:rsidR="004B729E" w:rsidRPr="007C3060" w14:paraId="75A9F36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0B9324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BCB56F7"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32D414E7" w14:textId="77777777" w:rsidR="000A2A2B" w:rsidRPr="007C3060" w:rsidRDefault="000A2A2B" w:rsidP="007C3060">
            <w:r w:rsidRPr="007C3060">
              <w:t xml:space="preserve">Ukraina og naboland,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0D32AD3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C2C2C3C" w14:textId="77777777" w:rsidR="000A2A2B" w:rsidRPr="007C3060" w:rsidRDefault="000A2A2B" w:rsidP="007C3060">
            <w:r w:rsidRPr="007C3060">
              <w:t>264 200 000</w:t>
            </w:r>
          </w:p>
        </w:tc>
      </w:tr>
      <w:tr w:rsidR="004B729E" w:rsidRPr="007C3060" w14:paraId="26717EE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3EBAF2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3AA507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7DCD585" w14:textId="77777777" w:rsidR="000A2A2B" w:rsidRPr="007C3060" w:rsidRDefault="000A2A2B" w:rsidP="007C3060">
            <w:r w:rsidRPr="007C3060">
              <w:t>fra kr 12 440 500 000 til kr 12 176 300 000</w:t>
            </w:r>
          </w:p>
        </w:tc>
        <w:tc>
          <w:tcPr>
            <w:tcW w:w="1717" w:type="dxa"/>
            <w:tcBorders>
              <w:top w:val="nil"/>
              <w:left w:val="nil"/>
              <w:bottom w:val="nil"/>
              <w:right w:val="nil"/>
            </w:tcBorders>
            <w:tcMar>
              <w:top w:w="128" w:type="dxa"/>
              <w:left w:w="43" w:type="dxa"/>
              <w:bottom w:w="43" w:type="dxa"/>
              <w:right w:w="43" w:type="dxa"/>
            </w:tcMar>
            <w:vAlign w:val="bottom"/>
          </w:tcPr>
          <w:p w14:paraId="7DF81A5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2168ED0" w14:textId="77777777" w:rsidR="000A2A2B" w:rsidRPr="007C3060" w:rsidRDefault="000A2A2B" w:rsidP="007C3060"/>
        </w:tc>
      </w:tr>
      <w:tr w:rsidR="004B729E" w:rsidRPr="007C3060" w14:paraId="5C30FAD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B1F413B" w14:textId="77777777" w:rsidR="000A2A2B" w:rsidRPr="007C3060" w:rsidRDefault="000A2A2B" w:rsidP="007C3060">
            <w:r w:rsidRPr="007C3060">
              <w:t>161</w:t>
            </w:r>
          </w:p>
        </w:tc>
        <w:tc>
          <w:tcPr>
            <w:tcW w:w="992" w:type="dxa"/>
            <w:tcBorders>
              <w:top w:val="nil"/>
              <w:left w:val="nil"/>
              <w:bottom w:val="nil"/>
              <w:right w:val="nil"/>
            </w:tcBorders>
            <w:tcMar>
              <w:top w:w="128" w:type="dxa"/>
              <w:left w:w="43" w:type="dxa"/>
              <w:bottom w:w="43" w:type="dxa"/>
              <w:right w:w="123" w:type="dxa"/>
            </w:tcMar>
          </w:tcPr>
          <w:p w14:paraId="29166D4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C6BAFA2" w14:textId="77777777" w:rsidR="000A2A2B" w:rsidRPr="007C3060" w:rsidRDefault="000A2A2B" w:rsidP="007C3060">
            <w:r w:rsidRPr="007C3060">
              <w:t>Utdanning, forskning og offentlige institusjoner:</w:t>
            </w:r>
          </w:p>
        </w:tc>
        <w:tc>
          <w:tcPr>
            <w:tcW w:w="1717" w:type="dxa"/>
            <w:tcBorders>
              <w:top w:val="nil"/>
              <w:left w:val="nil"/>
              <w:bottom w:val="nil"/>
              <w:right w:val="nil"/>
            </w:tcBorders>
            <w:tcMar>
              <w:top w:w="128" w:type="dxa"/>
              <w:left w:w="43" w:type="dxa"/>
              <w:bottom w:w="43" w:type="dxa"/>
              <w:right w:w="43" w:type="dxa"/>
            </w:tcMar>
            <w:vAlign w:val="bottom"/>
          </w:tcPr>
          <w:p w14:paraId="2A3DCE7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02590CE" w14:textId="77777777" w:rsidR="000A2A2B" w:rsidRPr="007C3060" w:rsidRDefault="000A2A2B" w:rsidP="007C3060"/>
        </w:tc>
      </w:tr>
      <w:tr w:rsidR="004B729E" w:rsidRPr="007C3060" w14:paraId="6F8B94A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E12DE7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4EC8FF0"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525A9977" w14:textId="77777777" w:rsidR="000A2A2B" w:rsidRPr="007C3060" w:rsidRDefault="000A2A2B" w:rsidP="007C3060">
            <w:r w:rsidRPr="007C3060">
              <w:t xml:space="preserve">Utdanning,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8BE5BA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9CFAF79" w14:textId="77777777" w:rsidR="000A2A2B" w:rsidRPr="007C3060" w:rsidRDefault="000A2A2B" w:rsidP="007C3060">
            <w:r w:rsidRPr="007C3060">
              <w:t>68 000 000</w:t>
            </w:r>
          </w:p>
        </w:tc>
      </w:tr>
      <w:tr w:rsidR="004B729E" w:rsidRPr="007C3060" w14:paraId="34C8463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8D22FB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27C8A8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EDAD566" w14:textId="77777777" w:rsidR="000A2A2B" w:rsidRPr="007C3060" w:rsidRDefault="000A2A2B" w:rsidP="007C3060">
            <w:r w:rsidRPr="007C3060">
              <w:t>fra kr 846 798 000 til kr 778 798 000</w:t>
            </w:r>
          </w:p>
        </w:tc>
        <w:tc>
          <w:tcPr>
            <w:tcW w:w="1717" w:type="dxa"/>
            <w:tcBorders>
              <w:top w:val="nil"/>
              <w:left w:val="nil"/>
              <w:bottom w:val="nil"/>
              <w:right w:val="nil"/>
            </w:tcBorders>
            <w:tcMar>
              <w:top w:w="128" w:type="dxa"/>
              <w:left w:w="43" w:type="dxa"/>
              <w:bottom w:w="43" w:type="dxa"/>
              <w:right w:w="43" w:type="dxa"/>
            </w:tcMar>
            <w:vAlign w:val="bottom"/>
          </w:tcPr>
          <w:p w14:paraId="3C39960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83D5A92" w14:textId="77777777" w:rsidR="000A2A2B" w:rsidRPr="007C3060" w:rsidRDefault="000A2A2B" w:rsidP="007C3060"/>
        </w:tc>
      </w:tr>
      <w:tr w:rsidR="004B729E" w:rsidRPr="007C3060" w14:paraId="315F26F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23A882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A85B6F4"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16C87B5F" w14:textId="77777777" w:rsidR="000A2A2B" w:rsidRPr="007C3060" w:rsidRDefault="000A2A2B" w:rsidP="007C3060">
            <w:r w:rsidRPr="007C3060">
              <w:t xml:space="preserve">Forskning,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2431B5F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21F99E2" w14:textId="77777777" w:rsidR="000A2A2B" w:rsidRPr="007C3060" w:rsidRDefault="000A2A2B" w:rsidP="007C3060">
            <w:r w:rsidRPr="007C3060">
              <w:t>8 500 000</w:t>
            </w:r>
          </w:p>
        </w:tc>
      </w:tr>
      <w:tr w:rsidR="004B729E" w:rsidRPr="007C3060" w14:paraId="2FC1CD7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A662CC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CD12C8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FA62D81" w14:textId="77777777" w:rsidR="000A2A2B" w:rsidRPr="007C3060" w:rsidRDefault="000A2A2B" w:rsidP="007C3060">
            <w:r w:rsidRPr="007C3060">
              <w:t>fra kr 67 196 000 til kr 58 696 000</w:t>
            </w:r>
          </w:p>
        </w:tc>
        <w:tc>
          <w:tcPr>
            <w:tcW w:w="1717" w:type="dxa"/>
            <w:tcBorders>
              <w:top w:val="nil"/>
              <w:left w:val="nil"/>
              <w:bottom w:val="nil"/>
              <w:right w:val="nil"/>
            </w:tcBorders>
            <w:tcMar>
              <w:top w:w="128" w:type="dxa"/>
              <w:left w:w="43" w:type="dxa"/>
              <w:bottom w:w="43" w:type="dxa"/>
              <w:right w:w="43" w:type="dxa"/>
            </w:tcMar>
            <w:vAlign w:val="bottom"/>
          </w:tcPr>
          <w:p w14:paraId="552C8E5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95EAA8E" w14:textId="77777777" w:rsidR="000A2A2B" w:rsidRPr="007C3060" w:rsidRDefault="000A2A2B" w:rsidP="007C3060"/>
        </w:tc>
      </w:tr>
      <w:tr w:rsidR="004B729E" w:rsidRPr="007C3060" w14:paraId="036BE0A3"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8F4642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2B3647F" w14:textId="77777777" w:rsidR="000A2A2B" w:rsidRPr="007C3060" w:rsidRDefault="000A2A2B" w:rsidP="007C3060">
            <w:r w:rsidRPr="007C3060">
              <w:t>74</w:t>
            </w:r>
          </w:p>
        </w:tc>
        <w:tc>
          <w:tcPr>
            <w:tcW w:w="4819" w:type="dxa"/>
            <w:tcBorders>
              <w:top w:val="nil"/>
              <w:left w:val="nil"/>
              <w:bottom w:val="nil"/>
              <w:right w:val="nil"/>
            </w:tcBorders>
            <w:tcMar>
              <w:top w:w="128" w:type="dxa"/>
              <w:left w:w="43" w:type="dxa"/>
              <w:bottom w:w="43" w:type="dxa"/>
              <w:right w:w="43" w:type="dxa"/>
            </w:tcMar>
            <w:vAlign w:val="bottom"/>
          </w:tcPr>
          <w:p w14:paraId="07230953" w14:textId="77777777" w:rsidR="000A2A2B" w:rsidRPr="007C3060" w:rsidRDefault="000A2A2B" w:rsidP="007C3060">
            <w:r w:rsidRPr="007C3060">
              <w:t xml:space="preserve">Norges forskningsråd – utviklingsområdet,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6629569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AEAF954" w14:textId="77777777" w:rsidR="000A2A2B" w:rsidRPr="007C3060" w:rsidRDefault="000A2A2B" w:rsidP="007C3060">
            <w:r w:rsidRPr="007C3060">
              <w:t>58 000 000</w:t>
            </w:r>
          </w:p>
        </w:tc>
      </w:tr>
      <w:tr w:rsidR="004B729E" w:rsidRPr="007C3060" w14:paraId="7C287E4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C958DE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070C13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0B1119B" w14:textId="77777777" w:rsidR="000A2A2B" w:rsidRPr="007C3060" w:rsidRDefault="000A2A2B" w:rsidP="007C3060">
            <w:r w:rsidRPr="007C3060">
              <w:t>fra kr 202 650 000 til kr 144 650 000</w:t>
            </w:r>
          </w:p>
        </w:tc>
        <w:tc>
          <w:tcPr>
            <w:tcW w:w="1717" w:type="dxa"/>
            <w:tcBorders>
              <w:top w:val="nil"/>
              <w:left w:val="nil"/>
              <w:bottom w:val="nil"/>
              <w:right w:val="nil"/>
            </w:tcBorders>
            <w:tcMar>
              <w:top w:w="128" w:type="dxa"/>
              <w:left w:w="43" w:type="dxa"/>
              <w:bottom w:w="43" w:type="dxa"/>
              <w:right w:w="43" w:type="dxa"/>
            </w:tcMar>
            <w:vAlign w:val="bottom"/>
          </w:tcPr>
          <w:p w14:paraId="13FD2AD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2608703" w14:textId="77777777" w:rsidR="000A2A2B" w:rsidRPr="007C3060" w:rsidRDefault="000A2A2B" w:rsidP="007C3060"/>
        </w:tc>
      </w:tr>
      <w:tr w:rsidR="004B729E" w:rsidRPr="007C3060" w14:paraId="626547B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881D4FE" w14:textId="77777777" w:rsidR="000A2A2B" w:rsidRPr="007C3060" w:rsidRDefault="000A2A2B" w:rsidP="007C3060">
            <w:r w:rsidRPr="007C3060">
              <w:t>162</w:t>
            </w:r>
          </w:p>
        </w:tc>
        <w:tc>
          <w:tcPr>
            <w:tcW w:w="992" w:type="dxa"/>
            <w:tcBorders>
              <w:top w:val="nil"/>
              <w:left w:val="nil"/>
              <w:bottom w:val="nil"/>
              <w:right w:val="nil"/>
            </w:tcBorders>
            <w:tcMar>
              <w:top w:w="128" w:type="dxa"/>
              <w:left w:w="43" w:type="dxa"/>
              <w:bottom w:w="43" w:type="dxa"/>
              <w:right w:w="123" w:type="dxa"/>
            </w:tcMar>
          </w:tcPr>
          <w:p w14:paraId="67D4F4B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FBC94D3" w14:textId="77777777" w:rsidR="000A2A2B" w:rsidRPr="007C3060" w:rsidRDefault="000A2A2B" w:rsidP="007C3060">
            <w:r w:rsidRPr="007C3060">
              <w:t xml:space="preserve">Næringsutvikling, </w:t>
            </w:r>
            <w:proofErr w:type="spellStart"/>
            <w:r w:rsidRPr="007C3060">
              <w:t>matsystemer</w:t>
            </w:r>
            <w:proofErr w:type="spellEnd"/>
            <w:r w:rsidRPr="007C3060">
              <w:t xml:space="preserve"> og fornybar energi:</w:t>
            </w:r>
          </w:p>
        </w:tc>
        <w:tc>
          <w:tcPr>
            <w:tcW w:w="1717" w:type="dxa"/>
            <w:tcBorders>
              <w:top w:val="nil"/>
              <w:left w:val="nil"/>
              <w:bottom w:val="nil"/>
              <w:right w:val="nil"/>
            </w:tcBorders>
            <w:tcMar>
              <w:top w:w="128" w:type="dxa"/>
              <w:left w:w="43" w:type="dxa"/>
              <w:bottom w:w="43" w:type="dxa"/>
              <w:right w:w="43" w:type="dxa"/>
            </w:tcMar>
            <w:vAlign w:val="bottom"/>
          </w:tcPr>
          <w:p w14:paraId="30A6510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77F1C15" w14:textId="77777777" w:rsidR="000A2A2B" w:rsidRPr="007C3060" w:rsidRDefault="000A2A2B" w:rsidP="007C3060"/>
        </w:tc>
      </w:tr>
      <w:tr w:rsidR="004B729E" w:rsidRPr="007C3060" w14:paraId="60332B15"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27D1B8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49536DF"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1B66F164" w14:textId="4FBC93CD" w:rsidR="000A2A2B" w:rsidRPr="007C3060" w:rsidRDefault="000A2A2B" w:rsidP="007C3060">
            <w:r w:rsidRPr="007C3060">
              <w:t xml:space="preserve">Matsikkerhet, fisk og landbruk,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57473DD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31CBAB2" w14:textId="77777777" w:rsidR="000A2A2B" w:rsidRPr="007C3060" w:rsidRDefault="000A2A2B" w:rsidP="007C3060">
            <w:r w:rsidRPr="007C3060">
              <w:t>150 000 000</w:t>
            </w:r>
          </w:p>
        </w:tc>
      </w:tr>
      <w:tr w:rsidR="004B729E" w:rsidRPr="007C3060" w14:paraId="57D8632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608BE7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87F9C0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2923069" w14:textId="77777777" w:rsidR="000A2A2B" w:rsidRPr="007C3060" w:rsidRDefault="000A2A2B" w:rsidP="007C3060">
            <w:r w:rsidRPr="007C3060">
              <w:t>fra kr 2 127 966 000 til kr 1 977 966 000</w:t>
            </w:r>
          </w:p>
        </w:tc>
        <w:tc>
          <w:tcPr>
            <w:tcW w:w="1717" w:type="dxa"/>
            <w:tcBorders>
              <w:top w:val="nil"/>
              <w:left w:val="nil"/>
              <w:bottom w:val="nil"/>
              <w:right w:val="nil"/>
            </w:tcBorders>
            <w:tcMar>
              <w:top w:w="128" w:type="dxa"/>
              <w:left w:w="43" w:type="dxa"/>
              <w:bottom w:w="43" w:type="dxa"/>
              <w:right w:w="43" w:type="dxa"/>
            </w:tcMar>
            <w:vAlign w:val="bottom"/>
          </w:tcPr>
          <w:p w14:paraId="0D57DA8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E673139" w14:textId="77777777" w:rsidR="000A2A2B" w:rsidRPr="007C3060" w:rsidRDefault="000A2A2B" w:rsidP="007C3060"/>
        </w:tc>
      </w:tr>
      <w:tr w:rsidR="004B729E" w:rsidRPr="007C3060" w14:paraId="45FCC81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36083FF"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48B48349" w14:textId="77777777" w:rsidR="000A2A2B" w:rsidRPr="007C3060" w:rsidRDefault="000A2A2B" w:rsidP="007C3060">
            <w:r w:rsidRPr="007C3060">
              <w:t>77</w:t>
            </w:r>
          </w:p>
        </w:tc>
        <w:tc>
          <w:tcPr>
            <w:tcW w:w="4819" w:type="dxa"/>
            <w:tcBorders>
              <w:top w:val="nil"/>
              <w:left w:val="nil"/>
              <w:bottom w:val="nil"/>
              <w:right w:val="nil"/>
            </w:tcBorders>
            <w:tcMar>
              <w:top w:w="128" w:type="dxa"/>
              <w:left w:w="43" w:type="dxa"/>
              <w:bottom w:w="43" w:type="dxa"/>
              <w:right w:w="43" w:type="dxa"/>
            </w:tcMar>
            <w:vAlign w:val="bottom"/>
          </w:tcPr>
          <w:p w14:paraId="501D6375" w14:textId="77777777" w:rsidR="000A2A2B" w:rsidRPr="007C3060" w:rsidRDefault="000A2A2B" w:rsidP="007C3060">
            <w:proofErr w:type="spellStart"/>
            <w:r w:rsidRPr="007C3060">
              <w:t>Norfund</w:t>
            </w:r>
            <w:proofErr w:type="spellEnd"/>
            <w:r w:rsidRPr="007C3060">
              <w:t xml:space="preserve"> – Ukraina risikokapital, bevilges med</w:t>
            </w:r>
          </w:p>
        </w:tc>
        <w:tc>
          <w:tcPr>
            <w:tcW w:w="1717" w:type="dxa"/>
            <w:tcBorders>
              <w:top w:val="nil"/>
              <w:left w:val="nil"/>
              <w:bottom w:val="nil"/>
              <w:right w:val="nil"/>
            </w:tcBorders>
            <w:tcMar>
              <w:top w:w="128" w:type="dxa"/>
              <w:left w:w="43" w:type="dxa"/>
              <w:bottom w:w="43" w:type="dxa"/>
              <w:right w:w="43" w:type="dxa"/>
            </w:tcMar>
            <w:vAlign w:val="bottom"/>
          </w:tcPr>
          <w:p w14:paraId="127D547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D1E7F0B" w14:textId="77777777" w:rsidR="000A2A2B" w:rsidRPr="007C3060" w:rsidRDefault="000A2A2B" w:rsidP="007C3060">
            <w:r w:rsidRPr="007C3060">
              <w:t>125 000 000</w:t>
            </w:r>
          </w:p>
        </w:tc>
      </w:tr>
      <w:tr w:rsidR="004B729E" w:rsidRPr="007C3060" w14:paraId="5A43DBE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D945D24"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0FC5F88F" w14:textId="77777777" w:rsidR="000A2A2B" w:rsidRPr="007C3060" w:rsidRDefault="000A2A2B" w:rsidP="007C3060">
            <w:r w:rsidRPr="007C3060">
              <w:t>97</w:t>
            </w:r>
          </w:p>
        </w:tc>
        <w:tc>
          <w:tcPr>
            <w:tcW w:w="4819" w:type="dxa"/>
            <w:tcBorders>
              <w:top w:val="nil"/>
              <w:left w:val="nil"/>
              <w:bottom w:val="nil"/>
              <w:right w:val="nil"/>
            </w:tcBorders>
            <w:tcMar>
              <w:top w:w="128" w:type="dxa"/>
              <w:left w:w="43" w:type="dxa"/>
              <w:bottom w:w="43" w:type="dxa"/>
              <w:right w:w="43" w:type="dxa"/>
            </w:tcMar>
            <w:vAlign w:val="bottom"/>
          </w:tcPr>
          <w:p w14:paraId="38DD4E8E" w14:textId="77777777" w:rsidR="000A2A2B" w:rsidRPr="007C3060" w:rsidRDefault="000A2A2B" w:rsidP="007C3060">
            <w:proofErr w:type="spellStart"/>
            <w:r w:rsidRPr="007C3060">
              <w:t>Norfund</w:t>
            </w:r>
            <w:proofErr w:type="spellEnd"/>
            <w:r w:rsidRPr="007C3060">
              <w:t xml:space="preserve"> – Ukraina kapitalinnskudd, bevilges med</w:t>
            </w:r>
          </w:p>
        </w:tc>
        <w:tc>
          <w:tcPr>
            <w:tcW w:w="1717" w:type="dxa"/>
            <w:tcBorders>
              <w:top w:val="nil"/>
              <w:left w:val="nil"/>
              <w:bottom w:val="nil"/>
              <w:right w:val="nil"/>
            </w:tcBorders>
            <w:tcMar>
              <w:top w:w="128" w:type="dxa"/>
              <w:left w:w="43" w:type="dxa"/>
              <w:bottom w:w="43" w:type="dxa"/>
              <w:right w:w="43" w:type="dxa"/>
            </w:tcMar>
            <w:vAlign w:val="bottom"/>
          </w:tcPr>
          <w:p w14:paraId="1D1B77C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1CFC1A0" w14:textId="77777777" w:rsidR="000A2A2B" w:rsidRPr="007C3060" w:rsidRDefault="000A2A2B" w:rsidP="007C3060">
            <w:r w:rsidRPr="007C3060">
              <w:t>125 000 000</w:t>
            </w:r>
          </w:p>
        </w:tc>
      </w:tr>
      <w:tr w:rsidR="004B729E" w:rsidRPr="007C3060" w14:paraId="0910BED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85849BD" w14:textId="77777777" w:rsidR="000A2A2B" w:rsidRPr="007C3060" w:rsidRDefault="000A2A2B" w:rsidP="007C3060">
            <w:r w:rsidRPr="007C3060">
              <w:t>163</w:t>
            </w:r>
          </w:p>
        </w:tc>
        <w:tc>
          <w:tcPr>
            <w:tcW w:w="992" w:type="dxa"/>
            <w:tcBorders>
              <w:top w:val="nil"/>
              <w:left w:val="nil"/>
              <w:bottom w:val="nil"/>
              <w:right w:val="nil"/>
            </w:tcBorders>
            <w:tcMar>
              <w:top w:w="128" w:type="dxa"/>
              <w:left w:w="43" w:type="dxa"/>
              <w:bottom w:w="43" w:type="dxa"/>
              <w:right w:w="123" w:type="dxa"/>
            </w:tcMar>
          </w:tcPr>
          <w:p w14:paraId="6E11DE8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E92DF73" w14:textId="77777777" w:rsidR="000A2A2B" w:rsidRPr="007C3060" w:rsidRDefault="000A2A2B" w:rsidP="007C3060">
            <w:r w:rsidRPr="007C3060">
              <w:t>Klima, miljø og hav:</w:t>
            </w:r>
          </w:p>
        </w:tc>
        <w:tc>
          <w:tcPr>
            <w:tcW w:w="1717" w:type="dxa"/>
            <w:tcBorders>
              <w:top w:val="nil"/>
              <w:left w:val="nil"/>
              <w:bottom w:val="nil"/>
              <w:right w:val="nil"/>
            </w:tcBorders>
            <w:tcMar>
              <w:top w:w="128" w:type="dxa"/>
              <w:left w:w="43" w:type="dxa"/>
              <w:bottom w:w="43" w:type="dxa"/>
              <w:right w:w="43" w:type="dxa"/>
            </w:tcMar>
            <w:vAlign w:val="bottom"/>
          </w:tcPr>
          <w:p w14:paraId="239302B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9DCDCD5" w14:textId="77777777" w:rsidR="000A2A2B" w:rsidRPr="007C3060" w:rsidRDefault="000A2A2B" w:rsidP="007C3060"/>
        </w:tc>
      </w:tr>
      <w:tr w:rsidR="004B729E" w:rsidRPr="007C3060" w14:paraId="2DD746C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276AB7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D9D51F1"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175D769A" w14:textId="77777777" w:rsidR="000A2A2B" w:rsidRPr="007C3060" w:rsidRDefault="000A2A2B" w:rsidP="007C3060">
            <w:r w:rsidRPr="007C3060">
              <w:t xml:space="preserve">Miljø og klima,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779BA2B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8BE7690" w14:textId="77777777" w:rsidR="000A2A2B" w:rsidRPr="007C3060" w:rsidRDefault="000A2A2B" w:rsidP="007C3060">
            <w:r w:rsidRPr="007C3060">
              <w:t>50 000 000</w:t>
            </w:r>
          </w:p>
        </w:tc>
      </w:tr>
      <w:tr w:rsidR="004B729E" w:rsidRPr="007C3060" w14:paraId="1A261CF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6C24F2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7635A5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98EA1C4" w14:textId="77777777" w:rsidR="000A2A2B" w:rsidRPr="007C3060" w:rsidRDefault="000A2A2B" w:rsidP="007C3060">
            <w:r w:rsidRPr="007C3060">
              <w:t>fra kr 1 843 811 000 til kr 1 893 811 000</w:t>
            </w:r>
          </w:p>
        </w:tc>
        <w:tc>
          <w:tcPr>
            <w:tcW w:w="1717" w:type="dxa"/>
            <w:tcBorders>
              <w:top w:val="nil"/>
              <w:left w:val="nil"/>
              <w:bottom w:val="nil"/>
              <w:right w:val="nil"/>
            </w:tcBorders>
            <w:tcMar>
              <w:top w:w="128" w:type="dxa"/>
              <w:left w:w="43" w:type="dxa"/>
              <w:bottom w:w="43" w:type="dxa"/>
              <w:right w:w="43" w:type="dxa"/>
            </w:tcMar>
            <w:vAlign w:val="bottom"/>
          </w:tcPr>
          <w:p w14:paraId="0FE098F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65947D9" w14:textId="77777777" w:rsidR="000A2A2B" w:rsidRPr="007C3060" w:rsidRDefault="000A2A2B" w:rsidP="007C3060"/>
        </w:tc>
      </w:tr>
      <w:tr w:rsidR="004B729E" w:rsidRPr="007C3060" w14:paraId="35FD3FC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330D324" w14:textId="77777777" w:rsidR="000A2A2B" w:rsidRPr="007C3060" w:rsidRDefault="000A2A2B" w:rsidP="007C3060">
            <w:r w:rsidRPr="007C3060">
              <w:t>164</w:t>
            </w:r>
          </w:p>
        </w:tc>
        <w:tc>
          <w:tcPr>
            <w:tcW w:w="992" w:type="dxa"/>
            <w:tcBorders>
              <w:top w:val="nil"/>
              <w:left w:val="nil"/>
              <w:bottom w:val="nil"/>
              <w:right w:val="nil"/>
            </w:tcBorders>
            <w:tcMar>
              <w:top w:w="128" w:type="dxa"/>
              <w:left w:w="43" w:type="dxa"/>
              <w:bottom w:w="43" w:type="dxa"/>
              <w:right w:w="123" w:type="dxa"/>
            </w:tcMar>
          </w:tcPr>
          <w:p w14:paraId="4320EF8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191297D" w14:textId="77777777" w:rsidR="000A2A2B" w:rsidRPr="007C3060" w:rsidRDefault="000A2A2B" w:rsidP="007C3060">
            <w:r w:rsidRPr="007C3060">
              <w:t>Likestilling:</w:t>
            </w:r>
          </w:p>
        </w:tc>
        <w:tc>
          <w:tcPr>
            <w:tcW w:w="1717" w:type="dxa"/>
            <w:tcBorders>
              <w:top w:val="nil"/>
              <w:left w:val="nil"/>
              <w:bottom w:val="nil"/>
              <w:right w:val="nil"/>
            </w:tcBorders>
            <w:tcMar>
              <w:top w:w="128" w:type="dxa"/>
              <w:left w:w="43" w:type="dxa"/>
              <w:bottom w:w="43" w:type="dxa"/>
              <w:right w:w="43" w:type="dxa"/>
            </w:tcMar>
            <w:vAlign w:val="bottom"/>
          </w:tcPr>
          <w:p w14:paraId="18F1836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44A6B26" w14:textId="77777777" w:rsidR="000A2A2B" w:rsidRPr="007C3060" w:rsidRDefault="000A2A2B" w:rsidP="007C3060"/>
        </w:tc>
      </w:tr>
      <w:tr w:rsidR="004B729E" w:rsidRPr="007C3060" w14:paraId="39942A2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F84D79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64F7FF7"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22ED04D8" w14:textId="77777777" w:rsidR="000A2A2B" w:rsidRPr="007C3060" w:rsidRDefault="000A2A2B" w:rsidP="007C3060">
            <w:r w:rsidRPr="007C3060">
              <w:t xml:space="preserve">Likestilling,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79DF8B5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FF15D47" w14:textId="77777777" w:rsidR="000A2A2B" w:rsidRPr="007C3060" w:rsidRDefault="000A2A2B" w:rsidP="007C3060">
            <w:r w:rsidRPr="007C3060">
              <w:t>50 000 000</w:t>
            </w:r>
          </w:p>
        </w:tc>
      </w:tr>
      <w:tr w:rsidR="004B729E" w:rsidRPr="007C3060" w14:paraId="5C0E535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42237A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FBE6D9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7801FB7" w14:textId="77777777" w:rsidR="000A2A2B" w:rsidRPr="007C3060" w:rsidRDefault="000A2A2B" w:rsidP="007C3060">
            <w:r w:rsidRPr="007C3060">
              <w:t>fra kr 233 319 000 til kr 283 319 000</w:t>
            </w:r>
          </w:p>
        </w:tc>
        <w:tc>
          <w:tcPr>
            <w:tcW w:w="1717" w:type="dxa"/>
            <w:tcBorders>
              <w:top w:val="nil"/>
              <w:left w:val="nil"/>
              <w:bottom w:val="nil"/>
              <w:right w:val="nil"/>
            </w:tcBorders>
            <w:tcMar>
              <w:top w:w="128" w:type="dxa"/>
              <w:left w:w="43" w:type="dxa"/>
              <w:bottom w:w="43" w:type="dxa"/>
              <w:right w:w="43" w:type="dxa"/>
            </w:tcMar>
            <w:vAlign w:val="bottom"/>
          </w:tcPr>
          <w:p w14:paraId="494D76B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BD10089" w14:textId="77777777" w:rsidR="000A2A2B" w:rsidRPr="007C3060" w:rsidRDefault="000A2A2B" w:rsidP="007C3060"/>
        </w:tc>
      </w:tr>
      <w:tr w:rsidR="004B729E" w:rsidRPr="007C3060" w14:paraId="052EB32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CA147E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250C522"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2FA77D1F" w14:textId="77777777" w:rsidR="000A2A2B" w:rsidRPr="007C3060" w:rsidRDefault="000A2A2B" w:rsidP="007C3060">
            <w:r w:rsidRPr="007C3060">
              <w:t>FNs befolkningsfond (UNFPA), forhøyes med</w:t>
            </w:r>
          </w:p>
        </w:tc>
        <w:tc>
          <w:tcPr>
            <w:tcW w:w="1717" w:type="dxa"/>
            <w:tcBorders>
              <w:top w:val="nil"/>
              <w:left w:val="nil"/>
              <w:bottom w:val="nil"/>
              <w:right w:val="nil"/>
            </w:tcBorders>
            <w:tcMar>
              <w:top w:w="128" w:type="dxa"/>
              <w:left w:w="43" w:type="dxa"/>
              <w:bottom w:w="43" w:type="dxa"/>
              <w:right w:w="43" w:type="dxa"/>
            </w:tcMar>
            <w:vAlign w:val="bottom"/>
          </w:tcPr>
          <w:p w14:paraId="4777EAF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E7D3A34" w14:textId="77777777" w:rsidR="000A2A2B" w:rsidRPr="007C3060" w:rsidRDefault="000A2A2B" w:rsidP="007C3060">
            <w:r w:rsidRPr="007C3060">
              <w:t>36 500 000</w:t>
            </w:r>
          </w:p>
        </w:tc>
      </w:tr>
      <w:tr w:rsidR="004B729E" w:rsidRPr="007C3060" w14:paraId="046A194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B9AFBD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3BB39F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0AADB99" w14:textId="77777777" w:rsidR="000A2A2B" w:rsidRPr="007C3060" w:rsidRDefault="000A2A2B" w:rsidP="007C3060">
            <w:r w:rsidRPr="007C3060">
              <w:t>fra kr 589 600 000 til kr 626 100 000</w:t>
            </w:r>
          </w:p>
        </w:tc>
        <w:tc>
          <w:tcPr>
            <w:tcW w:w="1717" w:type="dxa"/>
            <w:tcBorders>
              <w:top w:val="nil"/>
              <w:left w:val="nil"/>
              <w:bottom w:val="nil"/>
              <w:right w:val="nil"/>
            </w:tcBorders>
            <w:tcMar>
              <w:top w:w="128" w:type="dxa"/>
              <w:left w:w="43" w:type="dxa"/>
              <w:bottom w:w="43" w:type="dxa"/>
              <w:right w:w="43" w:type="dxa"/>
            </w:tcMar>
            <w:vAlign w:val="bottom"/>
          </w:tcPr>
          <w:p w14:paraId="25B7388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1005283" w14:textId="77777777" w:rsidR="000A2A2B" w:rsidRPr="007C3060" w:rsidRDefault="000A2A2B" w:rsidP="007C3060"/>
        </w:tc>
      </w:tr>
      <w:tr w:rsidR="004B729E" w:rsidRPr="007C3060" w14:paraId="3E5A6DA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5594ACE" w14:textId="77777777" w:rsidR="000A2A2B" w:rsidRPr="007C3060" w:rsidRDefault="000A2A2B" w:rsidP="007C3060">
            <w:r w:rsidRPr="007C3060">
              <w:t>179</w:t>
            </w:r>
          </w:p>
        </w:tc>
        <w:tc>
          <w:tcPr>
            <w:tcW w:w="992" w:type="dxa"/>
            <w:tcBorders>
              <w:top w:val="nil"/>
              <w:left w:val="nil"/>
              <w:bottom w:val="nil"/>
              <w:right w:val="nil"/>
            </w:tcBorders>
            <w:tcMar>
              <w:top w:w="128" w:type="dxa"/>
              <w:left w:w="43" w:type="dxa"/>
              <w:bottom w:w="43" w:type="dxa"/>
              <w:right w:w="123" w:type="dxa"/>
            </w:tcMar>
          </w:tcPr>
          <w:p w14:paraId="7D97B02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F4D0D80" w14:textId="77777777" w:rsidR="000A2A2B" w:rsidRPr="007C3060" w:rsidRDefault="000A2A2B" w:rsidP="007C3060">
            <w:r w:rsidRPr="007C3060">
              <w:t>Flyktningtiltak i Norge:</w:t>
            </w:r>
          </w:p>
        </w:tc>
        <w:tc>
          <w:tcPr>
            <w:tcW w:w="1717" w:type="dxa"/>
            <w:tcBorders>
              <w:top w:val="nil"/>
              <w:left w:val="nil"/>
              <w:bottom w:val="nil"/>
              <w:right w:val="nil"/>
            </w:tcBorders>
            <w:tcMar>
              <w:top w:w="128" w:type="dxa"/>
              <w:left w:w="43" w:type="dxa"/>
              <w:bottom w:w="43" w:type="dxa"/>
              <w:right w:w="43" w:type="dxa"/>
            </w:tcMar>
            <w:vAlign w:val="bottom"/>
          </w:tcPr>
          <w:p w14:paraId="0A0BB8C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EBD4704" w14:textId="77777777" w:rsidR="000A2A2B" w:rsidRPr="007C3060" w:rsidRDefault="000A2A2B" w:rsidP="007C3060"/>
        </w:tc>
      </w:tr>
      <w:tr w:rsidR="004B729E" w:rsidRPr="007C3060" w14:paraId="59D7B21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E2D434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97A1F88"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7D18751A" w14:textId="77777777" w:rsidR="000A2A2B" w:rsidRPr="007C3060" w:rsidRDefault="000A2A2B" w:rsidP="007C3060">
            <w:r w:rsidRPr="007C3060">
              <w:t>Spesielle 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2E51585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1B6B8AF" w14:textId="77777777" w:rsidR="000A2A2B" w:rsidRPr="007C3060" w:rsidRDefault="000A2A2B" w:rsidP="007C3060">
            <w:r w:rsidRPr="007C3060">
              <w:t>843 705 000</w:t>
            </w:r>
          </w:p>
        </w:tc>
      </w:tr>
      <w:tr w:rsidR="004B729E" w:rsidRPr="007C3060" w14:paraId="29B0E95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2D8161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6D54DB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01471D9" w14:textId="77777777" w:rsidR="000A2A2B" w:rsidRPr="007C3060" w:rsidRDefault="000A2A2B" w:rsidP="007C3060">
            <w:r w:rsidRPr="007C3060">
              <w:t>fra kr 4 106 133 000 til kr 3 262 428 000</w:t>
            </w:r>
          </w:p>
        </w:tc>
        <w:tc>
          <w:tcPr>
            <w:tcW w:w="1717" w:type="dxa"/>
            <w:tcBorders>
              <w:top w:val="nil"/>
              <w:left w:val="nil"/>
              <w:bottom w:val="nil"/>
              <w:right w:val="nil"/>
            </w:tcBorders>
            <w:tcMar>
              <w:top w:w="128" w:type="dxa"/>
              <w:left w:w="43" w:type="dxa"/>
              <w:bottom w:w="43" w:type="dxa"/>
              <w:right w:w="43" w:type="dxa"/>
            </w:tcMar>
            <w:vAlign w:val="bottom"/>
          </w:tcPr>
          <w:p w14:paraId="5B608D8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222BCC7" w14:textId="77777777" w:rsidR="000A2A2B" w:rsidRPr="007C3060" w:rsidRDefault="000A2A2B" w:rsidP="007C3060"/>
        </w:tc>
      </w:tr>
      <w:tr w:rsidR="004B729E" w:rsidRPr="007C3060" w14:paraId="10DCE17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2F5BB81" w14:textId="77777777" w:rsidR="000A2A2B" w:rsidRPr="007C3060" w:rsidRDefault="000A2A2B" w:rsidP="007C3060">
            <w:r w:rsidRPr="007C3060">
              <w:t>200</w:t>
            </w:r>
          </w:p>
        </w:tc>
        <w:tc>
          <w:tcPr>
            <w:tcW w:w="992" w:type="dxa"/>
            <w:tcBorders>
              <w:top w:val="nil"/>
              <w:left w:val="nil"/>
              <w:bottom w:val="nil"/>
              <w:right w:val="nil"/>
            </w:tcBorders>
            <w:tcMar>
              <w:top w:w="128" w:type="dxa"/>
              <w:left w:w="43" w:type="dxa"/>
              <w:bottom w:w="43" w:type="dxa"/>
              <w:right w:w="123" w:type="dxa"/>
            </w:tcMar>
          </w:tcPr>
          <w:p w14:paraId="2826FD1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AC8EC51" w14:textId="77777777" w:rsidR="000A2A2B" w:rsidRPr="007C3060" w:rsidRDefault="000A2A2B" w:rsidP="007C3060">
            <w:r w:rsidRPr="007C3060">
              <w:t>Kunnskapsdepartementet:</w:t>
            </w:r>
          </w:p>
        </w:tc>
        <w:tc>
          <w:tcPr>
            <w:tcW w:w="1717" w:type="dxa"/>
            <w:tcBorders>
              <w:top w:val="nil"/>
              <w:left w:val="nil"/>
              <w:bottom w:val="nil"/>
              <w:right w:val="nil"/>
            </w:tcBorders>
            <w:tcMar>
              <w:top w:w="128" w:type="dxa"/>
              <w:left w:w="43" w:type="dxa"/>
              <w:bottom w:w="43" w:type="dxa"/>
              <w:right w:w="43" w:type="dxa"/>
            </w:tcMar>
            <w:vAlign w:val="bottom"/>
          </w:tcPr>
          <w:p w14:paraId="091EEBC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247A04A" w14:textId="77777777" w:rsidR="000A2A2B" w:rsidRPr="007C3060" w:rsidRDefault="000A2A2B" w:rsidP="007C3060"/>
        </w:tc>
      </w:tr>
      <w:tr w:rsidR="004B729E" w:rsidRPr="007C3060" w14:paraId="1DD99F2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4C18C7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0375920"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3662DF91"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0A27875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97F9090" w14:textId="77777777" w:rsidR="000A2A2B" w:rsidRPr="007C3060" w:rsidRDefault="000A2A2B" w:rsidP="007C3060">
            <w:r w:rsidRPr="007C3060">
              <w:t>1 007 000</w:t>
            </w:r>
          </w:p>
        </w:tc>
      </w:tr>
      <w:tr w:rsidR="004B729E" w:rsidRPr="007C3060" w14:paraId="534A8A1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0BAA56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36765C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0B7B66B" w14:textId="77777777" w:rsidR="000A2A2B" w:rsidRPr="007C3060" w:rsidRDefault="000A2A2B" w:rsidP="007C3060">
            <w:r w:rsidRPr="007C3060">
              <w:t>fra kr 414 030 000 til kr 415 037 000</w:t>
            </w:r>
          </w:p>
        </w:tc>
        <w:tc>
          <w:tcPr>
            <w:tcW w:w="1717" w:type="dxa"/>
            <w:tcBorders>
              <w:top w:val="nil"/>
              <w:left w:val="nil"/>
              <w:bottom w:val="nil"/>
              <w:right w:val="nil"/>
            </w:tcBorders>
            <w:tcMar>
              <w:top w:w="128" w:type="dxa"/>
              <w:left w:w="43" w:type="dxa"/>
              <w:bottom w:w="43" w:type="dxa"/>
              <w:right w:w="43" w:type="dxa"/>
            </w:tcMar>
            <w:vAlign w:val="bottom"/>
          </w:tcPr>
          <w:p w14:paraId="62DDF2C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7B76FD7" w14:textId="77777777" w:rsidR="000A2A2B" w:rsidRPr="007C3060" w:rsidRDefault="000A2A2B" w:rsidP="007C3060"/>
        </w:tc>
      </w:tr>
      <w:tr w:rsidR="004B729E" w:rsidRPr="007C3060" w14:paraId="510E738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DA12983" w14:textId="77777777" w:rsidR="000A2A2B" w:rsidRPr="007C3060" w:rsidRDefault="000A2A2B" w:rsidP="007C3060">
            <w:r w:rsidRPr="007C3060">
              <w:t>201</w:t>
            </w:r>
          </w:p>
        </w:tc>
        <w:tc>
          <w:tcPr>
            <w:tcW w:w="992" w:type="dxa"/>
            <w:tcBorders>
              <w:top w:val="nil"/>
              <w:left w:val="nil"/>
              <w:bottom w:val="nil"/>
              <w:right w:val="nil"/>
            </w:tcBorders>
            <w:tcMar>
              <w:top w:w="128" w:type="dxa"/>
              <w:left w:w="43" w:type="dxa"/>
              <w:bottom w:w="43" w:type="dxa"/>
              <w:right w:w="123" w:type="dxa"/>
            </w:tcMar>
          </w:tcPr>
          <w:p w14:paraId="5AC2828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31612F0" w14:textId="77777777" w:rsidR="000A2A2B" w:rsidRPr="007C3060" w:rsidRDefault="000A2A2B" w:rsidP="007C3060">
            <w:r w:rsidRPr="007C3060">
              <w:t>Analyse og kunnskapsgrunnlag:</w:t>
            </w:r>
          </w:p>
        </w:tc>
        <w:tc>
          <w:tcPr>
            <w:tcW w:w="1717" w:type="dxa"/>
            <w:tcBorders>
              <w:top w:val="nil"/>
              <w:left w:val="nil"/>
              <w:bottom w:val="nil"/>
              <w:right w:val="nil"/>
            </w:tcBorders>
            <w:tcMar>
              <w:top w:w="128" w:type="dxa"/>
              <w:left w:w="43" w:type="dxa"/>
              <w:bottom w:w="43" w:type="dxa"/>
              <w:right w:w="43" w:type="dxa"/>
            </w:tcMar>
            <w:vAlign w:val="bottom"/>
          </w:tcPr>
          <w:p w14:paraId="30E16D3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3286DF0" w14:textId="77777777" w:rsidR="000A2A2B" w:rsidRPr="007C3060" w:rsidRDefault="000A2A2B" w:rsidP="007C3060"/>
        </w:tc>
      </w:tr>
      <w:tr w:rsidR="004B729E" w:rsidRPr="007C3060" w14:paraId="054F668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2736FC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1947F7D"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08EB8F7E" w14:textId="77777777" w:rsidR="000A2A2B" w:rsidRPr="007C3060" w:rsidRDefault="000A2A2B" w:rsidP="007C3060">
            <w:r w:rsidRPr="007C3060">
              <w:t>Spesielle 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4FEC874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00E729A" w14:textId="77777777" w:rsidR="000A2A2B" w:rsidRPr="007C3060" w:rsidRDefault="000A2A2B" w:rsidP="007C3060">
            <w:r w:rsidRPr="007C3060">
              <w:t>1 125 000</w:t>
            </w:r>
          </w:p>
        </w:tc>
      </w:tr>
      <w:tr w:rsidR="004B729E" w:rsidRPr="007C3060" w14:paraId="264AC94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21DD23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D165B2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DB3B279" w14:textId="77777777" w:rsidR="000A2A2B" w:rsidRPr="007C3060" w:rsidRDefault="000A2A2B" w:rsidP="007C3060">
            <w:r w:rsidRPr="007C3060">
              <w:t>fra kr 53 731 000 til kr 52 606 000</w:t>
            </w:r>
          </w:p>
        </w:tc>
        <w:tc>
          <w:tcPr>
            <w:tcW w:w="1717" w:type="dxa"/>
            <w:tcBorders>
              <w:top w:val="nil"/>
              <w:left w:val="nil"/>
              <w:bottom w:val="nil"/>
              <w:right w:val="nil"/>
            </w:tcBorders>
            <w:tcMar>
              <w:top w:w="128" w:type="dxa"/>
              <w:left w:w="43" w:type="dxa"/>
              <w:bottom w:w="43" w:type="dxa"/>
              <w:right w:w="43" w:type="dxa"/>
            </w:tcMar>
            <w:vAlign w:val="bottom"/>
          </w:tcPr>
          <w:p w14:paraId="31D2947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69752A7" w14:textId="77777777" w:rsidR="000A2A2B" w:rsidRPr="007C3060" w:rsidRDefault="000A2A2B" w:rsidP="007C3060"/>
        </w:tc>
      </w:tr>
      <w:tr w:rsidR="004B729E" w:rsidRPr="007C3060" w14:paraId="6C4E543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E1979E6" w14:textId="77777777" w:rsidR="000A2A2B" w:rsidRPr="007C3060" w:rsidRDefault="000A2A2B" w:rsidP="007C3060">
            <w:r w:rsidRPr="007C3060">
              <w:t>220</w:t>
            </w:r>
          </w:p>
        </w:tc>
        <w:tc>
          <w:tcPr>
            <w:tcW w:w="992" w:type="dxa"/>
            <w:tcBorders>
              <w:top w:val="nil"/>
              <w:left w:val="nil"/>
              <w:bottom w:val="nil"/>
              <w:right w:val="nil"/>
            </w:tcBorders>
            <w:tcMar>
              <w:top w:w="128" w:type="dxa"/>
              <w:left w:w="43" w:type="dxa"/>
              <w:bottom w:w="43" w:type="dxa"/>
              <w:right w:w="123" w:type="dxa"/>
            </w:tcMar>
          </w:tcPr>
          <w:p w14:paraId="526627B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40FB742" w14:textId="77777777" w:rsidR="000A2A2B" w:rsidRPr="007C3060" w:rsidRDefault="000A2A2B" w:rsidP="007C3060">
            <w:r w:rsidRPr="007C3060">
              <w:t>Utdanningsdirektoratet:</w:t>
            </w:r>
          </w:p>
        </w:tc>
        <w:tc>
          <w:tcPr>
            <w:tcW w:w="1717" w:type="dxa"/>
            <w:tcBorders>
              <w:top w:val="nil"/>
              <w:left w:val="nil"/>
              <w:bottom w:val="nil"/>
              <w:right w:val="nil"/>
            </w:tcBorders>
            <w:tcMar>
              <w:top w:w="128" w:type="dxa"/>
              <w:left w:w="43" w:type="dxa"/>
              <w:bottom w:w="43" w:type="dxa"/>
              <w:right w:w="43" w:type="dxa"/>
            </w:tcMar>
            <w:vAlign w:val="bottom"/>
          </w:tcPr>
          <w:p w14:paraId="59F635E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57E60A4" w14:textId="77777777" w:rsidR="000A2A2B" w:rsidRPr="007C3060" w:rsidRDefault="000A2A2B" w:rsidP="007C3060"/>
        </w:tc>
      </w:tr>
      <w:tr w:rsidR="004B729E" w:rsidRPr="007C3060" w14:paraId="21F7AD1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40267C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B53F903"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1F84B904"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41BA888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C144DC1" w14:textId="77777777" w:rsidR="000A2A2B" w:rsidRPr="007C3060" w:rsidRDefault="000A2A2B" w:rsidP="007C3060">
            <w:r w:rsidRPr="007C3060">
              <w:t>810 000</w:t>
            </w:r>
          </w:p>
        </w:tc>
      </w:tr>
      <w:tr w:rsidR="004B729E" w:rsidRPr="007C3060" w14:paraId="7FA4494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5B9471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FE92C7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F5C061B" w14:textId="77777777" w:rsidR="000A2A2B" w:rsidRPr="007C3060" w:rsidRDefault="000A2A2B" w:rsidP="007C3060">
            <w:r w:rsidRPr="007C3060">
              <w:t>fra kr 418 999 000 til kr 419 809 000</w:t>
            </w:r>
          </w:p>
        </w:tc>
        <w:tc>
          <w:tcPr>
            <w:tcW w:w="1717" w:type="dxa"/>
            <w:tcBorders>
              <w:top w:val="nil"/>
              <w:left w:val="nil"/>
              <w:bottom w:val="nil"/>
              <w:right w:val="nil"/>
            </w:tcBorders>
            <w:tcMar>
              <w:top w:w="128" w:type="dxa"/>
              <w:left w:w="43" w:type="dxa"/>
              <w:bottom w:w="43" w:type="dxa"/>
              <w:right w:w="43" w:type="dxa"/>
            </w:tcMar>
            <w:vAlign w:val="bottom"/>
          </w:tcPr>
          <w:p w14:paraId="1863261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EB8B92A" w14:textId="77777777" w:rsidR="000A2A2B" w:rsidRPr="007C3060" w:rsidRDefault="000A2A2B" w:rsidP="007C3060"/>
        </w:tc>
      </w:tr>
      <w:tr w:rsidR="004B729E" w:rsidRPr="007C3060" w14:paraId="422AB0D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C9D5FB9" w14:textId="77777777" w:rsidR="000A2A2B" w:rsidRPr="007C3060" w:rsidRDefault="000A2A2B" w:rsidP="007C3060">
            <w:r w:rsidRPr="007C3060">
              <w:t>224</w:t>
            </w:r>
          </w:p>
        </w:tc>
        <w:tc>
          <w:tcPr>
            <w:tcW w:w="992" w:type="dxa"/>
            <w:tcBorders>
              <w:top w:val="nil"/>
              <w:left w:val="nil"/>
              <w:bottom w:val="nil"/>
              <w:right w:val="nil"/>
            </w:tcBorders>
            <w:tcMar>
              <w:top w:w="128" w:type="dxa"/>
              <w:left w:w="43" w:type="dxa"/>
              <w:bottom w:w="43" w:type="dxa"/>
              <w:right w:w="123" w:type="dxa"/>
            </w:tcMar>
          </w:tcPr>
          <w:p w14:paraId="1C6E182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6A11869" w14:textId="77777777" w:rsidR="000A2A2B" w:rsidRPr="007C3060" w:rsidRDefault="000A2A2B" w:rsidP="007C3060">
            <w:r w:rsidRPr="007C3060">
              <w:t>Tilskudd til freds- og menneskerettighetssentre:</w:t>
            </w:r>
          </w:p>
        </w:tc>
        <w:tc>
          <w:tcPr>
            <w:tcW w:w="1717" w:type="dxa"/>
            <w:tcBorders>
              <w:top w:val="nil"/>
              <w:left w:val="nil"/>
              <w:bottom w:val="nil"/>
              <w:right w:val="nil"/>
            </w:tcBorders>
            <w:tcMar>
              <w:top w:w="128" w:type="dxa"/>
              <w:left w:w="43" w:type="dxa"/>
              <w:bottom w:w="43" w:type="dxa"/>
              <w:right w:w="43" w:type="dxa"/>
            </w:tcMar>
            <w:vAlign w:val="bottom"/>
          </w:tcPr>
          <w:p w14:paraId="2D324D3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DC9CF82" w14:textId="77777777" w:rsidR="000A2A2B" w:rsidRPr="007C3060" w:rsidRDefault="000A2A2B" w:rsidP="007C3060"/>
        </w:tc>
      </w:tr>
      <w:tr w:rsidR="004B729E" w:rsidRPr="007C3060" w14:paraId="4874595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ACE7F9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F00D39D"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3DC30447" w14:textId="77777777" w:rsidR="000A2A2B" w:rsidRPr="007C3060" w:rsidRDefault="000A2A2B" w:rsidP="007C3060">
            <w:r w:rsidRPr="007C3060">
              <w:t>Freds- og menneskerettighetssentre, forhøyes med</w:t>
            </w:r>
          </w:p>
        </w:tc>
        <w:tc>
          <w:tcPr>
            <w:tcW w:w="1717" w:type="dxa"/>
            <w:tcBorders>
              <w:top w:val="nil"/>
              <w:left w:val="nil"/>
              <w:bottom w:val="nil"/>
              <w:right w:val="nil"/>
            </w:tcBorders>
            <w:tcMar>
              <w:top w:w="128" w:type="dxa"/>
              <w:left w:w="43" w:type="dxa"/>
              <w:bottom w:w="43" w:type="dxa"/>
              <w:right w:w="43" w:type="dxa"/>
            </w:tcMar>
            <w:vAlign w:val="bottom"/>
          </w:tcPr>
          <w:p w14:paraId="7D87F44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3B240FF" w14:textId="77777777" w:rsidR="000A2A2B" w:rsidRPr="007C3060" w:rsidRDefault="000A2A2B" w:rsidP="007C3060">
            <w:r w:rsidRPr="007C3060">
              <w:t>1 500 000</w:t>
            </w:r>
          </w:p>
        </w:tc>
      </w:tr>
      <w:tr w:rsidR="004B729E" w:rsidRPr="007C3060" w14:paraId="0384966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2935AB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A0C9DC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10D15E9" w14:textId="77777777" w:rsidR="000A2A2B" w:rsidRPr="007C3060" w:rsidRDefault="000A2A2B" w:rsidP="007C3060">
            <w:r w:rsidRPr="007C3060">
              <w:t>fra kr 173 927 000 til kr 175 427 000</w:t>
            </w:r>
          </w:p>
        </w:tc>
        <w:tc>
          <w:tcPr>
            <w:tcW w:w="1717" w:type="dxa"/>
            <w:tcBorders>
              <w:top w:val="nil"/>
              <w:left w:val="nil"/>
              <w:bottom w:val="nil"/>
              <w:right w:val="nil"/>
            </w:tcBorders>
            <w:tcMar>
              <w:top w:w="128" w:type="dxa"/>
              <w:left w:w="43" w:type="dxa"/>
              <w:bottom w:w="43" w:type="dxa"/>
              <w:right w:w="43" w:type="dxa"/>
            </w:tcMar>
            <w:vAlign w:val="bottom"/>
          </w:tcPr>
          <w:p w14:paraId="5E0E5DD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832E4E8" w14:textId="77777777" w:rsidR="000A2A2B" w:rsidRPr="007C3060" w:rsidRDefault="000A2A2B" w:rsidP="007C3060"/>
        </w:tc>
      </w:tr>
      <w:tr w:rsidR="004B729E" w:rsidRPr="007C3060" w14:paraId="51D1A80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08A2258" w14:textId="77777777" w:rsidR="000A2A2B" w:rsidRPr="007C3060" w:rsidRDefault="000A2A2B" w:rsidP="007C3060">
            <w:r w:rsidRPr="007C3060">
              <w:t>225</w:t>
            </w:r>
          </w:p>
        </w:tc>
        <w:tc>
          <w:tcPr>
            <w:tcW w:w="992" w:type="dxa"/>
            <w:tcBorders>
              <w:top w:val="nil"/>
              <w:left w:val="nil"/>
              <w:bottom w:val="nil"/>
              <w:right w:val="nil"/>
            </w:tcBorders>
            <w:tcMar>
              <w:top w:w="128" w:type="dxa"/>
              <w:left w:w="43" w:type="dxa"/>
              <w:bottom w:w="43" w:type="dxa"/>
              <w:right w:w="123" w:type="dxa"/>
            </w:tcMar>
          </w:tcPr>
          <w:p w14:paraId="1E543D4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0C05059" w14:textId="77777777" w:rsidR="000A2A2B" w:rsidRPr="007C3060" w:rsidRDefault="000A2A2B" w:rsidP="007C3060">
            <w:r w:rsidRPr="007C3060">
              <w:t>Tiltak i grunnopplæringen:</w:t>
            </w:r>
          </w:p>
        </w:tc>
        <w:tc>
          <w:tcPr>
            <w:tcW w:w="1717" w:type="dxa"/>
            <w:tcBorders>
              <w:top w:val="nil"/>
              <w:left w:val="nil"/>
              <w:bottom w:val="nil"/>
              <w:right w:val="nil"/>
            </w:tcBorders>
            <w:tcMar>
              <w:top w:w="128" w:type="dxa"/>
              <w:left w:w="43" w:type="dxa"/>
              <w:bottom w:w="43" w:type="dxa"/>
              <w:right w:w="43" w:type="dxa"/>
            </w:tcMar>
            <w:vAlign w:val="bottom"/>
          </w:tcPr>
          <w:p w14:paraId="0CD7219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430DE6C" w14:textId="77777777" w:rsidR="000A2A2B" w:rsidRPr="007C3060" w:rsidRDefault="000A2A2B" w:rsidP="007C3060"/>
        </w:tc>
      </w:tr>
      <w:tr w:rsidR="004B729E" w:rsidRPr="007C3060" w14:paraId="721952C8"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732809B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20A2811" w14:textId="77777777" w:rsidR="000A2A2B" w:rsidRPr="007C3060" w:rsidRDefault="000A2A2B" w:rsidP="007C3060">
            <w:r w:rsidRPr="007C3060">
              <w:t>64</w:t>
            </w:r>
          </w:p>
        </w:tc>
        <w:tc>
          <w:tcPr>
            <w:tcW w:w="4819" w:type="dxa"/>
            <w:tcBorders>
              <w:top w:val="nil"/>
              <w:left w:val="nil"/>
              <w:bottom w:val="nil"/>
              <w:right w:val="nil"/>
            </w:tcBorders>
            <w:tcMar>
              <w:top w:w="128" w:type="dxa"/>
              <w:left w:w="43" w:type="dxa"/>
              <w:bottom w:w="43" w:type="dxa"/>
              <w:right w:w="43" w:type="dxa"/>
            </w:tcMar>
            <w:vAlign w:val="bottom"/>
          </w:tcPr>
          <w:p w14:paraId="3AB00BFD" w14:textId="77777777" w:rsidR="000A2A2B" w:rsidRPr="007C3060" w:rsidRDefault="000A2A2B" w:rsidP="007C3060">
            <w:r w:rsidRPr="007C3060">
              <w:t>Tilskudd til opplæring av barn og unge som søker opphold i Norge, nedsettes med</w:t>
            </w:r>
          </w:p>
        </w:tc>
        <w:tc>
          <w:tcPr>
            <w:tcW w:w="1717" w:type="dxa"/>
            <w:tcBorders>
              <w:top w:val="nil"/>
              <w:left w:val="nil"/>
              <w:bottom w:val="nil"/>
              <w:right w:val="nil"/>
            </w:tcBorders>
            <w:tcMar>
              <w:top w:w="128" w:type="dxa"/>
              <w:left w:w="43" w:type="dxa"/>
              <w:bottom w:w="43" w:type="dxa"/>
              <w:right w:w="43" w:type="dxa"/>
            </w:tcMar>
            <w:vAlign w:val="bottom"/>
          </w:tcPr>
          <w:p w14:paraId="0EC8AD6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B0D648" w14:textId="77777777" w:rsidR="000A2A2B" w:rsidRPr="007C3060" w:rsidRDefault="000A2A2B" w:rsidP="007C3060">
            <w:r w:rsidRPr="007C3060">
              <w:t>92 476 000</w:t>
            </w:r>
          </w:p>
        </w:tc>
      </w:tr>
      <w:tr w:rsidR="004B729E" w:rsidRPr="007C3060" w14:paraId="7A944D9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089BF9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F86C95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0E7A44B" w14:textId="77777777" w:rsidR="000A2A2B" w:rsidRPr="007C3060" w:rsidRDefault="000A2A2B" w:rsidP="007C3060">
            <w:r w:rsidRPr="007C3060">
              <w:t>fra kr 375 924 000 til kr 283 448 000</w:t>
            </w:r>
          </w:p>
        </w:tc>
        <w:tc>
          <w:tcPr>
            <w:tcW w:w="1717" w:type="dxa"/>
            <w:tcBorders>
              <w:top w:val="nil"/>
              <w:left w:val="nil"/>
              <w:bottom w:val="nil"/>
              <w:right w:val="nil"/>
            </w:tcBorders>
            <w:tcMar>
              <w:top w:w="128" w:type="dxa"/>
              <w:left w:w="43" w:type="dxa"/>
              <w:bottom w:w="43" w:type="dxa"/>
              <w:right w:w="43" w:type="dxa"/>
            </w:tcMar>
            <w:vAlign w:val="bottom"/>
          </w:tcPr>
          <w:p w14:paraId="51968AD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75A3447" w14:textId="77777777" w:rsidR="000A2A2B" w:rsidRPr="007C3060" w:rsidRDefault="000A2A2B" w:rsidP="007C3060"/>
        </w:tc>
      </w:tr>
      <w:tr w:rsidR="004B729E" w:rsidRPr="007C3060" w14:paraId="2CCA9F3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672D80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ED75E57" w14:textId="77777777" w:rsidR="000A2A2B" w:rsidRPr="007C3060" w:rsidRDefault="000A2A2B" w:rsidP="007C3060">
            <w:r w:rsidRPr="007C3060">
              <w:t>68</w:t>
            </w:r>
          </w:p>
        </w:tc>
        <w:tc>
          <w:tcPr>
            <w:tcW w:w="4819" w:type="dxa"/>
            <w:tcBorders>
              <w:top w:val="nil"/>
              <w:left w:val="nil"/>
              <w:bottom w:val="nil"/>
              <w:right w:val="nil"/>
            </w:tcBorders>
            <w:tcMar>
              <w:top w:w="128" w:type="dxa"/>
              <w:left w:w="43" w:type="dxa"/>
              <w:bottom w:w="43" w:type="dxa"/>
              <w:right w:w="43" w:type="dxa"/>
            </w:tcMar>
            <w:vAlign w:val="bottom"/>
          </w:tcPr>
          <w:p w14:paraId="474AED7F" w14:textId="77777777" w:rsidR="000A2A2B" w:rsidRPr="007C3060" w:rsidRDefault="000A2A2B" w:rsidP="007C3060">
            <w:r w:rsidRPr="007C3060">
              <w:t>Tilskudd til opplæring i kriminalomsorgen, forhøyes med</w:t>
            </w:r>
          </w:p>
        </w:tc>
        <w:tc>
          <w:tcPr>
            <w:tcW w:w="1717" w:type="dxa"/>
            <w:tcBorders>
              <w:top w:val="nil"/>
              <w:left w:val="nil"/>
              <w:bottom w:val="nil"/>
              <w:right w:val="nil"/>
            </w:tcBorders>
            <w:tcMar>
              <w:top w:w="128" w:type="dxa"/>
              <w:left w:w="43" w:type="dxa"/>
              <w:bottom w:w="43" w:type="dxa"/>
              <w:right w:w="43" w:type="dxa"/>
            </w:tcMar>
            <w:vAlign w:val="bottom"/>
          </w:tcPr>
          <w:p w14:paraId="2085FC5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F2DD82A" w14:textId="77777777" w:rsidR="000A2A2B" w:rsidRPr="007C3060" w:rsidRDefault="000A2A2B" w:rsidP="007C3060">
            <w:r w:rsidRPr="007C3060">
              <w:t>1 841 000</w:t>
            </w:r>
          </w:p>
        </w:tc>
      </w:tr>
      <w:tr w:rsidR="004B729E" w:rsidRPr="007C3060" w14:paraId="2ECF044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44A162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93FEF7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4D19AD8" w14:textId="77777777" w:rsidR="000A2A2B" w:rsidRPr="007C3060" w:rsidRDefault="000A2A2B" w:rsidP="007C3060">
            <w:r w:rsidRPr="007C3060">
              <w:t>fra kr 362 249 000 til kr 364 090 000</w:t>
            </w:r>
          </w:p>
        </w:tc>
        <w:tc>
          <w:tcPr>
            <w:tcW w:w="1717" w:type="dxa"/>
            <w:tcBorders>
              <w:top w:val="nil"/>
              <w:left w:val="nil"/>
              <w:bottom w:val="nil"/>
              <w:right w:val="nil"/>
            </w:tcBorders>
            <w:tcMar>
              <w:top w:w="128" w:type="dxa"/>
              <w:left w:w="43" w:type="dxa"/>
              <w:bottom w:w="43" w:type="dxa"/>
              <w:right w:w="43" w:type="dxa"/>
            </w:tcMar>
            <w:vAlign w:val="bottom"/>
          </w:tcPr>
          <w:p w14:paraId="782E0D4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9C17C6C" w14:textId="77777777" w:rsidR="000A2A2B" w:rsidRPr="007C3060" w:rsidRDefault="000A2A2B" w:rsidP="007C3060"/>
        </w:tc>
      </w:tr>
      <w:tr w:rsidR="004B729E" w:rsidRPr="007C3060" w14:paraId="63E2648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6E4688B" w14:textId="77777777" w:rsidR="000A2A2B" w:rsidRPr="007C3060" w:rsidRDefault="000A2A2B" w:rsidP="007C3060">
            <w:r w:rsidRPr="007C3060">
              <w:t>226</w:t>
            </w:r>
          </w:p>
        </w:tc>
        <w:tc>
          <w:tcPr>
            <w:tcW w:w="992" w:type="dxa"/>
            <w:tcBorders>
              <w:top w:val="nil"/>
              <w:left w:val="nil"/>
              <w:bottom w:val="nil"/>
              <w:right w:val="nil"/>
            </w:tcBorders>
            <w:tcMar>
              <w:top w:w="128" w:type="dxa"/>
              <w:left w:w="43" w:type="dxa"/>
              <w:bottom w:w="43" w:type="dxa"/>
              <w:right w:w="123" w:type="dxa"/>
            </w:tcMar>
          </w:tcPr>
          <w:p w14:paraId="138B784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8924F8D" w14:textId="77777777" w:rsidR="000A2A2B" w:rsidRPr="007C3060" w:rsidRDefault="000A2A2B" w:rsidP="007C3060">
            <w:r w:rsidRPr="007C3060">
              <w:t>Kvalitetsutvikling i grunnopplæringen:</w:t>
            </w:r>
          </w:p>
        </w:tc>
        <w:tc>
          <w:tcPr>
            <w:tcW w:w="1717" w:type="dxa"/>
            <w:tcBorders>
              <w:top w:val="nil"/>
              <w:left w:val="nil"/>
              <w:bottom w:val="nil"/>
              <w:right w:val="nil"/>
            </w:tcBorders>
            <w:tcMar>
              <w:top w:w="128" w:type="dxa"/>
              <w:left w:w="43" w:type="dxa"/>
              <w:bottom w:w="43" w:type="dxa"/>
              <w:right w:w="43" w:type="dxa"/>
            </w:tcMar>
            <w:vAlign w:val="bottom"/>
          </w:tcPr>
          <w:p w14:paraId="5002B58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2FBE08E" w14:textId="77777777" w:rsidR="000A2A2B" w:rsidRPr="007C3060" w:rsidRDefault="000A2A2B" w:rsidP="007C3060"/>
        </w:tc>
      </w:tr>
      <w:tr w:rsidR="004B729E" w:rsidRPr="007C3060" w14:paraId="7DBDD08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F36763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760FAA8"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0E7CFC8A" w14:textId="77777777" w:rsidR="000A2A2B" w:rsidRPr="007C3060" w:rsidRDefault="000A2A2B" w:rsidP="007C3060">
            <w:r w:rsidRPr="007C3060">
              <w:t xml:space="preserve">Spesielle driftsutgifter,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6BF0F71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6455AEC" w14:textId="77777777" w:rsidR="000A2A2B" w:rsidRPr="007C3060" w:rsidRDefault="000A2A2B" w:rsidP="007C3060">
            <w:r w:rsidRPr="007C3060">
              <w:t>11 000 000</w:t>
            </w:r>
          </w:p>
        </w:tc>
      </w:tr>
      <w:tr w:rsidR="004B729E" w:rsidRPr="007C3060" w14:paraId="2CBEE43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5F6694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93150D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3F5FFD2" w14:textId="77777777" w:rsidR="000A2A2B" w:rsidRPr="007C3060" w:rsidRDefault="000A2A2B" w:rsidP="007C3060">
            <w:r w:rsidRPr="007C3060">
              <w:t>fra kr 1 164 444 000 til kr 1 153 444 000</w:t>
            </w:r>
          </w:p>
        </w:tc>
        <w:tc>
          <w:tcPr>
            <w:tcW w:w="1717" w:type="dxa"/>
            <w:tcBorders>
              <w:top w:val="nil"/>
              <w:left w:val="nil"/>
              <w:bottom w:val="nil"/>
              <w:right w:val="nil"/>
            </w:tcBorders>
            <w:tcMar>
              <w:top w:w="128" w:type="dxa"/>
              <w:left w:w="43" w:type="dxa"/>
              <w:bottom w:w="43" w:type="dxa"/>
              <w:right w:w="43" w:type="dxa"/>
            </w:tcMar>
            <w:vAlign w:val="bottom"/>
          </w:tcPr>
          <w:p w14:paraId="4F64075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B7A453C" w14:textId="77777777" w:rsidR="000A2A2B" w:rsidRPr="007C3060" w:rsidRDefault="000A2A2B" w:rsidP="007C3060"/>
        </w:tc>
      </w:tr>
      <w:tr w:rsidR="004B729E" w:rsidRPr="007C3060" w14:paraId="0A62E70E"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245EE8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FDC244E" w14:textId="77777777" w:rsidR="000A2A2B" w:rsidRPr="007C3060" w:rsidRDefault="000A2A2B" w:rsidP="007C3060">
            <w:r w:rsidRPr="007C3060">
              <w:t>65</w:t>
            </w:r>
          </w:p>
        </w:tc>
        <w:tc>
          <w:tcPr>
            <w:tcW w:w="4819" w:type="dxa"/>
            <w:tcBorders>
              <w:top w:val="nil"/>
              <w:left w:val="nil"/>
              <w:bottom w:val="nil"/>
              <w:right w:val="nil"/>
            </w:tcBorders>
            <w:tcMar>
              <w:top w:w="128" w:type="dxa"/>
              <w:left w:w="43" w:type="dxa"/>
              <w:bottom w:w="43" w:type="dxa"/>
              <w:right w:w="43" w:type="dxa"/>
            </w:tcMar>
            <w:vAlign w:val="bottom"/>
          </w:tcPr>
          <w:p w14:paraId="7B69A2D1" w14:textId="107F0FB8" w:rsidR="000A2A2B" w:rsidRPr="007C3060" w:rsidRDefault="000A2A2B" w:rsidP="007C3060">
            <w:r w:rsidRPr="007C3060">
              <w:t>Tilskudd til skolemiljøteam og beredskapsteam, forhøyes med</w:t>
            </w:r>
          </w:p>
        </w:tc>
        <w:tc>
          <w:tcPr>
            <w:tcW w:w="1717" w:type="dxa"/>
            <w:tcBorders>
              <w:top w:val="nil"/>
              <w:left w:val="nil"/>
              <w:bottom w:val="nil"/>
              <w:right w:val="nil"/>
            </w:tcBorders>
            <w:tcMar>
              <w:top w:w="128" w:type="dxa"/>
              <w:left w:w="43" w:type="dxa"/>
              <w:bottom w:w="43" w:type="dxa"/>
              <w:right w:w="43" w:type="dxa"/>
            </w:tcMar>
            <w:vAlign w:val="bottom"/>
          </w:tcPr>
          <w:p w14:paraId="1E982E0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F299C6D" w14:textId="77777777" w:rsidR="000A2A2B" w:rsidRPr="007C3060" w:rsidRDefault="000A2A2B" w:rsidP="007C3060">
            <w:r w:rsidRPr="007C3060">
              <w:t>10 000 000</w:t>
            </w:r>
          </w:p>
        </w:tc>
      </w:tr>
      <w:tr w:rsidR="004B729E" w:rsidRPr="007C3060" w14:paraId="4885CE2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F46B55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6A6A4D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20F9437" w14:textId="77777777" w:rsidR="000A2A2B" w:rsidRPr="007C3060" w:rsidRDefault="000A2A2B" w:rsidP="007C3060">
            <w:r w:rsidRPr="007C3060">
              <w:t>fra kr 115 000 000 til kr 125 000 000</w:t>
            </w:r>
          </w:p>
        </w:tc>
        <w:tc>
          <w:tcPr>
            <w:tcW w:w="1717" w:type="dxa"/>
            <w:tcBorders>
              <w:top w:val="nil"/>
              <w:left w:val="nil"/>
              <w:bottom w:val="nil"/>
              <w:right w:val="nil"/>
            </w:tcBorders>
            <w:tcMar>
              <w:top w:w="128" w:type="dxa"/>
              <w:left w:w="43" w:type="dxa"/>
              <w:bottom w:w="43" w:type="dxa"/>
              <w:right w:w="43" w:type="dxa"/>
            </w:tcMar>
            <w:vAlign w:val="bottom"/>
          </w:tcPr>
          <w:p w14:paraId="0AB5EB5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011DE32" w14:textId="77777777" w:rsidR="000A2A2B" w:rsidRPr="007C3060" w:rsidRDefault="000A2A2B" w:rsidP="007C3060"/>
        </w:tc>
      </w:tr>
      <w:tr w:rsidR="004B729E" w:rsidRPr="007C3060" w14:paraId="4DA28AD8"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04170A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98C7629"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1C9DF084" w14:textId="758ABD10" w:rsidR="000A2A2B" w:rsidRPr="007C3060" w:rsidRDefault="000A2A2B" w:rsidP="007C3060">
            <w:r w:rsidRPr="007C3060">
              <w:t>Norges forskningsråd – Tilskudd til vitensentre, forhøyes med</w:t>
            </w:r>
          </w:p>
        </w:tc>
        <w:tc>
          <w:tcPr>
            <w:tcW w:w="1717" w:type="dxa"/>
            <w:tcBorders>
              <w:top w:val="nil"/>
              <w:left w:val="nil"/>
              <w:bottom w:val="nil"/>
              <w:right w:val="nil"/>
            </w:tcBorders>
            <w:tcMar>
              <w:top w:w="128" w:type="dxa"/>
              <w:left w:w="43" w:type="dxa"/>
              <w:bottom w:w="43" w:type="dxa"/>
              <w:right w:w="43" w:type="dxa"/>
            </w:tcMar>
            <w:vAlign w:val="bottom"/>
          </w:tcPr>
          <w:p w14:paraId="7220C7E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EA1BB7D" w14:textId="77777777" w:rsidR="000A2A2B" w:rsidRPr="007C3060" w:rsidRDefault="000A2A2B" w:rsidP="007C3060">
            <w:r w:rsidRPr="007C3060">
              <w:t>5 000 000</w:t>
            </w:r>
          </w:p>
        </w:tc>
      </w:tr>
      <w:tr w:rsidR="004B729E" w:rsidRPr="007C3060" w14:paraId="1F86E36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FB5519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A08E96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2EDCCBB" w14:textId="77777777" w:rsidR="000A2A2B" w:rsidRPr="007C3060" w:rsidRDefault="000A2A2B" w:rsidP="007C3060">
            <w:r w:rsidRPr="007C3060">
              <w:t>fra kr 119 977 000 til kr 124 977 000</w:t>
            </w:r>
          </w:p>
        </w:tc>
        <w:tc>
          <w:tcPr>
            <w:tcW w:w="1717" w:type="dxa"/>
            <w:tcBorders>
              <w:top w:val="nil"/>
              <w:left w:val="nil"/>
              <w:bottom w:val="nil"/>
              <w:right w:val="nil"/>
            </w:tcBorders>
            <w:tcMar>
              <w:top w:w="128" w:type="dxa"/>
              <w:left w:w="43" w:type="dxa"/>
              <w:bottom w:w="43" w:type="dxa"/>
              <w:right w:w="43" w:type="dxa"/>
            </w:tcMar>
            <w:vAlign w:val="bottom"/>
          </w:tcPr>
          <w:p w14:paraId="57D41F5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FC40F2B" w14:textId="77777777" w:rsidR="000A2A2B" w:rsidRPr="007C3060" w:rsidRDefault="000A2A2B" w:rsidP="007C3060"/>
        </w:tc>
      </w:tr>
      <w:tr w:rsidR="004B729E" w:rsidRPr="007C3060" w14:paraId="3CFF8DF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4CEA6C9" w14:textId="77777777" w:rsidR="000A2A2B" w:rsidRPr="007C3060" w:rsidRDefault="000A2A2B" w:rsidP="007C3060">
            <w:r w:rsidRPr="007C3060">
              <w:t>228</w:t>
            </w:r>
          </w:p>
        </w:tc>
        <w:tc>
          <w:tcPr>
            <w:tcW w:w="992" w:type="dxa"/>
            <w:tcBorders>
              <w:top w:val="nil"/>
              <w:left w:val="nil"/>
              <w:bottom w:val="nil"/>
              <w:right w:val="nil"/>
            </w:tcBorders>
            <w:tcMar>
              <w:top w:w="128" w:type="dxa"/>
              <w:left w:w="43" w:type="dxa"/>
              <w:bottom w:w="43" w:type="dxa"/>
              <w:right w:w="123" w:type="dxa"/>
            </w:tcMar>
          </w:tcPr>
          <w:p w14:paraId="56E1219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5D397DF" w14:textId="77777777" w:rsidR="000A2A2B" w:rsidRPr="007C3060" w:rsidRDefault="000A2A2B" w:rsidP="007C3060">
            <w:r w:rsidRPr="007C3060">
              <w:t>Tilskudd til private skoler mv.:</w:t>
            </w:r>
          </w:p>
        </w:tc>
        <w:tc>
          <w:tcPr>
            <w:tcW w:w="1717" w:type="dxa"/>
            <w:tcBorders>
              <w:top w:val="nil"/>
              <w:left w:val="nil"/>
              <w:bottom w:val="nil"/>
              <w:right w:val="nil"/>
            </w:tcBorders>
            <w:tcMar>
              <w:top w:w="128" w:type="dxa"/>
              <w:left w:w="43" w:type="dxa"/>
              <w:bottom w:w="43" w:type="dxa"/>
              <w:right w:w="43" w:type="dxa"/>
            </w:tcMar>
            <w:vAlign w:val="bottom"/>
          </w:tcPr>
          <w:p w14:paraId="717607F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81BC91F" w14:textId="77777777" w:rsidR="000A2A2B" w:rsidRPr="007C3060" w:rsidRDefault="000A2A2B" w:rsidP="007C3060"/>
        </w:tc>
      </w:tr>
      <w:tr w:rsidR="004B729E" w:rsidRPr="007C3060" w14:paraId="0C54030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2F71A0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CAF10DB"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73267ADF" w14:textId="77777777" w:rsidR="000A2A2B" w:rsidRPr="007C3060" w:rsidRDefault="000A2A2B" w:rsidP="007C3060">
            <w:r w:rsidRPr="007C3060">
              <w:t xml:space="preserve">Private grunnskoler,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2644AAA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352D8CD" w14:textId="77777777" w:rsidR="000A2A2B" w:rsidRPr="007C3060" w:rsidRDefault="000A2A2B" w:rsidP="007C3060">
            <w:r w:rsidRPr="007C3060">
              <w:t>17 613 000</w:t>
            </w:r>
          </w:p>
        </w:tc>
      </w:tr>
      <w:tr w:rsidR="004B729E" w:rsidRPr="007C3060" w14:paraId="211C3B2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E059D4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86F964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BE58B7F" w14:textId="77777777" w:rsidR="000A2A2B" w:rsidRPr="007C3060" w:rsidRDefault="000A2A2B" w:rsidP="007C3060">
            <w:r w:rsidRPr="007C3060">
              <w:t>fra kr 4 234 236 000 til kr 4 251 849 000</w:t>
            </w:r>
          </w:p>
        </w:tc>
        <w:tc>
          <w:tcPr>
            <w:tcW w:w="1717" w:type="dxa"/>
            <w:tcBorders>
              <w:top w:val="nil"/>
              <w:left w:val="nil"/>
              <w:bottom w:val="nil"/>
              <w:right w:val="nil"/>
            </w:tcBorders>
            <w:tcMar>
              <w:top w:w="128" w:type="dxa"/>
              <w:left w:w="43" w:type="dxa"/>
              <w:bottom w:w="43" w:type="dxa"/>
              <w:right w:w="43" w:type="dxa"/>
            </w:tcMar>
            <w:vAlign w:val="bottom"/>
          </w:tcPr>
          <w:p w14:paraId="70254F3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25CE724" w14:textId="77777777" w:rsidR="000A2A2B" w:rsidRPr="007C3060" w:rsidRDefault="000A2A2B" w:rsidP="007C3060"/>
        </w:tc>
      </w:tr>
      <w:tr w:rsidR="004B729E" w:rsidRPr="007C3060" w14:paraId="695DB3B8"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316104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07C183E"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03BAB3D5" w14:textId="668409FE" w:rsidR="000A2A2B" w:rsidRPr="007C3060" w:rsidRDefault="000A2A2B" w:rsidP="007C3060">
            <w:r w:rsidRPr="007C3060">
              <w:t xml:space="preserve">Private grunnskoler i utlandet,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2C91936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7D1740B" w14:textId="77777777" w:rsidR="000A2A2B" w:rsidRPr="007C3060" w:rsidRDefault="000A2A2B" w:rsidP="007C3060">
            <w:r w:rsidRPr="007C3060">
              <w:t>837 000</w:t>
            </w:r>
          </w:p>
        </w:tc>
      </w:tr>
      <w:tr w:rsidR="004B729E" w:rsidRPr="007C3060" w14:paraId="1E7308E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AC47EF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F48DEB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99509C4" w14:textId="77777777" w:rsidR="000A2A2B" w:rsidRPr="007C3060" w:rsidRDefault="000A2A2B" w:rsidP="007C3060">
            <w:r w:rsidRPr="007C3060">
              <w:t>fra kr 166 069 000 til kr 166 906 000</w:t>
            </w:r>
          </w:p>
        </w:tc>
        <w:tc>
          <w:tcPr>
            <w:tcW w:w="1717" w:type="dxa"/>
            <w:tcBorders>
              <w:top w:val="nil"/>
              <w:left w:val="nil"/>
              <w:bottom w:val="nil"/>
              <w:right w:val="nil"/>
            </w:tcBorders>
            <w:tcMar>
              <w:top w:w="128" w:type="dxa"/>
              <w:left w:w="43" w:type="dxa"/>
              <w:bottom w:w="43" w:type="dxa"/>
              <w:right w:w="43" w:type="dxa"/>
            </w:tcMar>
            <w:vAlign w:val="bottom"/>
          </w:tcPr>
          <w:p w14:paraId="45A484A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3813249" w14:textId="77777777" w:rsidR="000A2A2B" w:rsidRPr="007C3060" w:rsidRDefault="000A2A2B" w:rsidP="007C3060"/>
        </w:tc>
      </w:tr>
      <w:tr w:rsidR="004B729E" w:rsidRPr="007C3060" w14:paraId="0B9C2F6D"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E28DBA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07FAB26" w14:textId="77777777" w:rsidR="000A2A2B" w:rsidRPr="007C3060" w:rsidRDefault="000A2A2B" w:rsidP="007C3060">
            <w:r w:rsidRPr="007C3060">
              <w:t>77</w:t>
            </w:r>
          </w:p>
        </w:tc>
        <w:tc>
          <w:tcPr>
            <w:tcW w:w="4819" w:type="dxa"/>
            <w:tcBorders>
              <w:top w:val="nil"/>
              <w:left w:val="nil"/>
              <w:bottom w:val="nil"/>
              <w:right w:val="nil"/>
            </w:tcBorders>
            <w:tcMar>
              <w:top w:w="128" w:type="dxa"/>
              <w:left w:w="43" w:type="dxa"/>
              <w:bottom w:w="43" w:type="dxa"/>
              <w:right w:w="43" w:type="dxa"/>
            </w:tcMar>
            <w:vAlign w:val="bottom"/>
          </w:tcPr>
          <w:p w14:paraId="7CD5B8F4" w14:textId="63261CC1" w:rsidR="000A2A2B" w:rsidRPr="007C3060" w:rsidRDefault="000A2A2B" w:rsidP="007C3060">
            <w:r w:rsidRPr="007C3060">
              <w:t xml:space="preserve">Den tysk-norske skolen i Oslo,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2E2554E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9375A9D" w14:textId="77777777" w:rsidR="000A2A2B" w:rsidRPr="007C3060" w:rsidRDefault="000A2A2B" w:rsidP="007C3060">
            <w:r w:rsidRPr="007C3060">
              <w:t>8 000 000</w:t>
            </w:r>
          </w:p>
        </w:tc>
      </w:tr>
      <w:tr w:rsidR="004B729E" w:rsidRPr="007C3060" w14:paraId="581CB74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1D41BC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13A571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62BF73A" w14:textId="77777777" w:rsidR="000A2A2B" w:rsidRPr="007C3060" w:rsidRDefault="000A2A2B" w:rsidP="007C3060">
            <w:r w:rsidRPr="007C3060">
              <w:t>fra kr 36 193 000 til kr 44 193 000</w:t>
            </w:r>
          </w:p>
        </w:tc>
        <w:tc>
          <w:tcPr>
            <w:tcW w:w="1717" w:type="dxa"/>
            <w:tcBorders>
              <w:top w:val="nil"/>
              <w:left w:val="nil"/>
              <w:bottom w:val="nil"/>
              <w:right w:val="nil"/>
            </w:tcBorders>
            <w:tcMar>
              <w:top w:w="128" w:type="dxa"/>
              <w:left w:w="43" w:type="dxa"/>
              <w:bottom w:w="43" w:type="dxa"/>
              <w:right w:w="43" w:type="dxa"/>
            </w:tcMar>
            <w:vAlign w:val="bottom"/>
          </w:tcPr>
          <w:p w14:paraId="0FB8762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299FA1B" w14:textId="77777777" w:rsidR="000A2A2B" w:rsidRPr="007C3060" w:rsidRDefault="000A2A2B" w:rsidP="007C3060"/>
        </w:tc>
      </w:tr>
      <w:tr w:rsidR="004B729E" w:rsidRPr="007C3060" w14:paraId="65AE16A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0AFCD9F" w14:textId="77777777" w:rsidR="000A2A2B" w:rsidRPr="007C3060" w:rsidRDefault="000A2A2B" w:rsidP="007C3060">
            <w:r w:rsidRPr="007C3060">
              <w:t>230</w:t>
            </w:r>
          </w:p>
        </w:tc>
        <w:tc>
          <w:tcPr>
            <w:tcW w:w="992" w:type="dxa"/>
            <w:tcBorders>
              <w:top w:val="nil"/>
              <w:left w:val="nil"/>
              <w:bottom w:val="nil"/>
              <w:right w:val="nil"/>
            </w:tcBorders>
            <w:tcMar>
              <w:top w:w="128" w:type="dxa"/>
              <w:left w:w="43" w:type="dxa"/>
              <w:bottom w:w="43" w:type="dxa"/>
              <w:right w:w="123" w:type="dxa"/>
            </w:tcMar>
          </w:tcPr>
          <w:p w14:paraId="53703AC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38AF0D5" w14:textId="77777777" w:rsidR="000A2A2B" w:rsidRPr="007C3060" w:rsidRDefault="000A2A2B" w:rsidP="007C3060">
            <w:r w:rsidRPr="007C3060">
              <w:t>Statlig spesialpedagogisk tjeneste:</w:t>
            </w:r>
          </w:p>
        </w:tc>
        <w:tc>
          <w:tcPr>
            <w:tcW w:w="1717" w:type="dxa"/>
            <w:tcBorders>
              <w:top w:val="nil"/>
              <w:left w:val="nil"/>
              <w:bottom w:val="nil"/>
              <w:right w:val="nil"/>
            </w:tcBorders>
            <w:tcMar>
              <w:top w:w="128" w:type="dxa"/>
              <w:left w:w="43" w:type="dxa"/>
              <w:bottom w:w="43" w:type="dxa"/>
              <w:right w:w="43" w:type="dxa"/>
            </w:tcMar>
            <w:vAlign w:val="bottom"/>
          </w:tcPr>
          <w:p w14:paraId="5445D26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5A49328" w14:textId="77777777" w:rsidR="000A2A2B" w:rsidRPr="007C3060" w:rsidRDefault="000A2A2B" w:rsidP="007C3060"/>
        </w:tc>
      </w:tr>
      <w:tr w:rsidR="004B729E" w:rsidRPr="007C3060" w14:paraId="3CABD4A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2A9176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BF3D6D6"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2485925B"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334C72E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6E079C2" w14:textId="77777777" w:rsidR="000A2A2B" w:rsidRPr="007C3060" w:rsidRDefault="000A2A2B" w:rsidP="007C3060">
            <w:r w:rsidRPr="007C3060">
              <w:t>1 600 000</w:t>
            </w:r>
          </w:p>
        </w:tc>
      </w:tr>
      <w:tr w:rsidR="004B729E" w:rsidRPr="007C3060" w14:paraId="1A0FFF0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709E7F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2145AF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1F1F7EB" w14:textId="77777777" w:rsidR="000A2A2B" w:rsidRPr="007C3060" w:rsidRDefault="000A2A2B" w:rsidP="007C3060">
            <w:r w:rsidRPr="007C3060">
              <w:t>fra kr 606 613 000 til kr 608 213 000</w:t>
            </w:r>
          </w:p>
        </w:tc>
        <w:tc>
          <w:tcPr>
            <w:tcW w:w="1717" w:type="dxa"/>
            <w:tcBorders>
              <w:top w:val="nil"/>
              <w:left w:val="nil"/>
              <w:bottom w:val="nil"/>
              <w:right w:val="nil"/>
            </w:tcBorders>
            <w:tcMar>
              <w:top w:w="128" w:type="dxa"/>
              <w:left w:w="43" w:type="dxa"/>
              <w:bottom w:w="43" w:type="dxa"/>
              <w:right w:w="43" w:type="dxa"/>
            </w:tcMar>
            <w:vAlign w:val="bottom"/>
          </w:tcPr>
          <w:p w14:paraId="5AC0AB7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C7EDDCE" w14:textId="77777777" w:rsidR="000A2A2B" w:rsidRPr="007C3060" w:rsidRDefault="000A2A2B" w:rsidP="007C3060"/>
        </w:tc>
      </w:tr>
      <w:tr w:rsidR="004B729E" w:rsidRPr="007C3060" w14:paraId="26631D2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2B8800B" w14:textId="77777777" w:rsidR="000A2A2B" w:rsidRPr="007C3060" w:rsidRDefault="000A2A2B" w:rsidP="007C3060">
            <w:r w:rsidRPr="007C3060">
              <w:t>231</w:t>
            </w:r>
          </w:p>
        </w:tc>
        <w:tc>
          <w:tcPr>
            <w:tcW w:w="992" w:type="dxa"/>
            <w:tcBorders>
              <w:top w:val="nil"/>
              <w:left w:val="nil"/>
              <w:bottom w:val="nil"/>
              <w:right w:val="nil"/>
            </w:tcBorders>
            <w:tcMar>
              <w:top w:w="128" w:type="dxa"/>
              <w:left w:w="43" w:type="dxa"/>
              <w:bottom w:w="43" w:type="dxa"/>
              <w:right w:w="123" w:type="dxa"/>
            </w:tcMar>
          </w:tcPr>
          <w:p w14:paraId="2B151C8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3F47508" w14:textId="77777777" w:rsidR="000A2A2B" w:rsidRPr="007C3060" w:rsidRDefault="000A2A2B" w:rsidP="007C3060">
            <w:r w:rsidRPr="007C3060">
              <w:t>Barnehager:</w:t>
            </w:r>
          </w:p>
        </w:tc>
        <w:tc>
          <w:tcPr>
            <w:tcW w:w="1717" w:type="dxa"/>
            <w:tcBorders>
              <w:top w:val="nil"/>
              <w:left w:val="nil"/>
              <w:bottom w:val="nil"/>
              <w:right w:val="nil"/>
            </w:tcBorders>
            <w:tcMar>
              <w:top w:w="128" w:type="dxa"/>
              <w:left w:w="43" w:type="dxa"/>
              <w:bottom w:w="43" w:type="dxa"/>
              <w:right w:w="43" w:type="dxa"/>
            </w:tcMar>
            <w:vAlign w:val="bottom"/>
          </w:tcPr>
          <w:p w14:paraId="343A95C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6903C38" w14:textId="77777777" w:rsidR="000A2A2B" w:rsidRPr="007C3060" w:rsidRDefault="000A2A2B" w:rsidP="007C3060"/>
        </w:tc>
      </w:tr>
      <w:tr w:rsidR="004B729E" w:rsidRPr="007C3060" w14:paraId="45B21DE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361BE0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7C3E51E"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513969D1" w14:textId="77777777" w:rsidR="000A2A2B" w:rsidRPr="007C3060" w:rsidRDefault="000A2A2B" w:rsidP="007C3060">
            <w:r w:rsidRPr="007C3060">
              <w:t xml:space="preserve">Spesielle driftsutgifter,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229D606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A8905D9" w14:textId="77777777" w:rsidR="000A2A2B" w:rsidRPr="007C3060" w:rsidRDefault="000A2A2B" w:rsidP="007C3060">
            <w:r w:rsidRPr="007C3060">
              <w:t>5 000 000</w:t>
            </w:r>
          </w:p>
        </w:tc>
      </w:tr>
      <w:tr w:rsidR="004B729E" w:rsidRPr="007C3060" w14:paraId="1161F55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D3269C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211EED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50449E8" w14:textId="77777777" w:rsidR="000A2A2B" w:rsidRPr="007C3060" w:rsidRDefault="000A2A2B" w:rsidP="007C3060">
            <w:r w:rsidRPr="007C3060">
              <w:t>fra kr 761 967 000 til kr 756 967 000</w:t>
            </w:r>
          </w:p>
        </w:tc>
        <w:tc>
          <w:tcPr>
            <w:tcW w:w="1717" w:type="dxa"/>
            <w:tcBorders>
              <w:top w:val="nil"/>
              <w:left w:val="nil"/>
              <w:bottom w:val="nil"/>
              <w:right w:val="nil"/>
            </w:tcBorders>
            <w:tcMar>
              <w:top w:w="128" w:type="dxa"/>
              <w:left w:w="43" w:type="dxa"/>
              <w:bottom w:w="43" w:type="dxa"/>
              <w:right w:w="43" w:type="dxa"/>
            </w:tcMar>
            <w:vAlign w:val="bottom"/>
          </w:tcPr>
          <w:p w14:paraId="00940BB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A935648" w14:textId="77777777" w:rsidR="000A2A2B" w:rsidRPr="007C3060" w:rsidRDefault="000A2A2B" w:rsidP="007C3060"/>
        </w:tc>
      </w:tr>
      <w:tr w:rsidR="004B729E" w:rsidRPr="007C3060" w14:paraId="41CA589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60D6F67" w14:textId="77777777" w:rsidR="000A2A2B" w:rsidRPr="007C3060" w:rsidRDefault="000A2A2B" w:rsidP="007C3060">
            <w:r w:rsidRPr="007C3060">
              <w:t>253</w:t>
            </w:r>
          </w:p>
        </w:tc>
        <w:tc>
          <w:tcPr>
            <w:tcW w:w="992" w:type="dxa"/>
            <w:tcBorders>
              <w:top w:val="nil"/>
              <w:left w:val="nil"/>
              <w:bottom w:val="nil"/>
              <w:right w:val="nil"/>
            </w:tcBorders>
            <w:tcMar>
              <w:top w:w="128" w:type="dxa"/>
              <w:left w:w="43" w:type="dxa"/>
              <w:bottom w:w="43" w:type="dxa"/>
              <w:right w:w="123" w:type="dxa"/>
            </w:tcMar>
          </w:tcPr>
          <w:p w14:paraId="7C77C51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9D0FB2B" w14:textId="77777777" w:rsidR="000A2A2B" w:rsidRPr="007C3060" w:rsidRDefault="000A2A2B" w:rsidP="007C3060">
            <w:r w:rsidRPr="007C3060">
              <w:t>Folkehøyskoler:</w:t>
            </w:r>
          </w:p>
        </w:tc>
        <w:tc>
          <w:tcPr>
            <w:tcW w:w="1717" w:type="dxa"/>
            <w:tcBorders>
              <w:top w:val="nil"/>
              <w:left w:val="nil"/>
              <w:bottom w:val="nil"/>
              <w:right w:val="nil"/>
            </w:tcBorders>
            <w:tcMar>
              <w:top w:w="128" w:type="dxa"/>
              <w:left w:w="43" w:type="dxa"/>
              <w:bottom w:w="43" w:type="dxa"/>
              <w:right w:w="43" w:type="dxa"/>
            </w:tcMar>
            <w:vAlign w:val="bottom"/>
          </w:tcPr>
          <w:p w14:paraId="0140652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E767745" w14:textId="77777777" w:rsidR="000A2A2B" w:rsidRPr="007C3060" w:rsidRDefault="000A2A2B" w:rsidP="007C3060"/>
        </w:tc>
      </w:tr>
      <w:tr w:rsidR="004B729E" w:rsidRPr="007C3060" w14:paraId="5AE31C8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AB4E1D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8481259"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5FF4D119" w14:textId="77777777" w:rsidR="000A2A2B" w:rsidRPr="007C3060" w:rsidRDefault="000A2A2B" w:rsidP="007C3060">
            <w:r w:rsidRPr="007C3060">
              <w:t>Tilskudd til folkehøyskoler, forhøyes med</w:t>
            </w:r>
          </w:p>
        </w:tc>
        <w:tc>
          <w:tcPr>
            <w:tcW w:w="1717" w:type="dxa"/>
            <w:tcBorders>
              <w:top w:val="nil"/>
              <w:left w:val="nil"/>
              <w:bottom w:val="nil"/>
              <w:right w:val="nil"/>
            </w:tcBorders>
            <w:tcMar>
              <w:top w:w="128" w:type="dxa"/>
              <w:left w:w="43" w:type="dxa"/>
              <w:bottom w:w="43" w:type="dxa"/>
              <w:right w:w="43" w:type="dxa"/>
            </w:tcMar>
            <w:vAlign w:val="bottom"/>
          </w:tcPr>
          <w:p w14:paraId="4E06941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D6BC7F6" w14:textId="77777777" w:rsidR="000A2A2B" w:rsidRPr="007C3060" w:rsidRDefault="000A2A2B" w:rsidP="007C3060">
            <w:r w:rsidRPr="007C3060">
              <w:t>1 500 000</w:t>
            </w:r>
          </w:p>
        </w:tc>
      </w:tr>
      <w:tr w:rsidR="004B729E" w:rsidRPr="007C3060" w14:paraId="31924B7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5C96FA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BCE58D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6337997" w14:textId="77777777" w:rsidR="000A2A2B" w:rsidRPr="007C3060" w:rsidRDefault="000A2A2B" w:rsidP="007C3060">
            <w:r w:rsidRPr="007C3060">
              <w:t>fra kr 1 151 691 000 til kr 1 153 191 000</w:t>
            </w:r>
          </w:p>
        </w:tc>
        <w:tc>
          <w:tcPr>
            <w:tcW w:w="1717" w:type="dxa"/>
            <w:tcBorders>
              <w:top w:val="nil"/>
              <w:left w:val="nil"/>
              <w:bottom w:val="nil"/>
              <w:right w:val="nil"/>
            </w:tcBorders>
            <w:tcMar>
              <w:top w:w="128" w:type="dxa"/>
              <w:left w:w="43" w:type="dxa"/>
              <w:bottom w:w="43" w:type="dxa"/>
              <w:right w:w="43" w:type="dxa"/>
            </w:tcMar>
            <w:vAlign w:val="bottom"/>
          </w:tcPr>
          <w:p w14:paraId="1FCC59E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DA156F7" w14:textId="77777777" w:rsidR="000A2A2B" w:rsidRPr="007C3060" w:rsidRDefault="000A2A2B" w:rsidP="007C3060"/>
        </w:tc>
      </w:tr>
      <w:tr w:rsidR="004B729E" w:rsidRPr="007C3060" w14:paraId="2DF0820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4654F38" w14:textId="77777777" w:rsidR="000A2A2B" w:rsidRPr="007C3060" w:rsidRDefault="000A2A2B" w:rsidP="007C3060">
            <w:r w:rsidRPr="007C3060">
              <w:t>256</w:t>
            </w:r>
          </w:p>
        </w:tc>
        <w:tc>
          <w:tcPr>
            <w:tcW w:w="992" w:type="dxa"/>
            <w:tcBorders>
              <w:top w:val="nil"/>
              <w:left w:val="nil"/>
              <w:bottom w:val="nil"/>
              <w:right w:val="nil"/>
            </w:tcBorders>
            <w:tcMar>
              <w:top w:w="128" w:type="dxa"/>
              <w:left w:w="43" w:type="dxa"/>
              <w:bottom w:w="43" w:type="dxa"/>
              <w:right w:w="123" w:type="dxa"/>
            </w:tcMar>
          </w:tcPr>
          <w:p w14:paraId="4D9D0C6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CF0DACE" w14:textId="77777777" w:rsidR="000A2A2B" w:rsidRPr="007C3060" w:rsidRDefault="000A2A2B" w:rsidP="007C3060">
            <w:r w:rsidRPr="007C3060">
              <w:t>Direktoratet for høyere utdanning og kompetanse:</w:t>
            </w:r>
          </w:p>
        </w:tc>
        <w:tc>
          <w:tcPr>
            <w:tcW w:w="1717" w:type="dxa"/>
            <w:tcBorders>
              <w:top w:val="nil"/>
              <w:left w:val="nil"/>
              <w:bottom w:val="nil"/>
              <w:right w:val="nil"/>
            </w:tcBorders>
            <w:tcMar>
              <w:top w:w="128" w:type="dxa"/>
              <w:left w:w="43" w:type="dxa"/>
              <w:bottom w:w="43" w:type="dxa"/>
              <w:right w:w="43" w:type="dxa"/>
            </w:tcMar>
            <w:vAlign w:val="bottom"/>
          </w:tcPr>
          <w:p w14:paraId="5F06C41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19D6320" w14:textId="77777777" w:rsidR="000A2A2B" w:rsidRPr="007C3060" w:rsidRDefault="000A2A2B" w:rsidP="007C3060"/>
        </w:tc>
      </w:tr>
      <w:tr w:rsidR="004B729E" w:rsidRPr="007C3060" w14:paraId="0DA9095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EB8A08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BF43DE8"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33F7AA59"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3F4EF39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2E3F133" w14:textId="77777777" w:rsidR="000A2A2B" w:rsidRPr="007C3060" w:rsidRDefault="000A2A2B" w:rsidP="007C3060">
            <w:r w:rsidRPr="007C3060">
              <w:t>3 002 000</w:t>
            </w:r>
          </w:p>
        </w:tc>
      </w:tr>
      <w:tr w:rsidR="004B729E" w:rsidRPr="007C3060" w14:paraId="2F37404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8D84A5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CA7B4A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8C96EF7" w14:textId="77777777" w:rsidR="000A2A2B" w:rsidRPr="007C3060" w:rsidRDefault="000A2A2B" w:rsidP="007C3060">
            <w:r w:rsidRPr="007C3060">
              <w:t>fra kr 501 230 000 til kr 504 232 000</w:t>
            </w:r>
          </w:p>
        </w:tc>
        <w:tc>
          <w:tcPr>
            <w:tcW w:w="1717" w:type="dxa"/>
            <w:tcBorders>
              <w:top w:val="nil"/>
              <w:left w:val="nil"/>
              <w:bottom w:val="nil"/>
              <w:right w:val="nil"/>
            </w:tcBorders>
            <w:tcMar>
              <w:top w:w="128" w:type="dxa"/>
              <w:left w:w="43" w:type="dxa"/>
              <w:bottom w:w="43" w:type="dxa"/>
              <w:right w:w="43" w:type="dxa"/>
            </w:tcMar>
            <w:vAlign w:val="bottom"/>
          </w:tcPr>
          <w:p w14:paraId="02B2B17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C4F748F" w14:textId="77777777" w:rsidR="000A2A2B" w:rsidRPr="007C3060" w:rsidRDefault="000A2A2B" w:rsidP="007C3060"/>
        </w:tc>
      </w:tr>
      <w:tr w:rsidR="004B729E" w:rsidRPr="007C3060" w14:paraId="35DF8B9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5A8F831" w14:textId="77777777" w:rsidR="000A2A2B" w:rsidRPr="007C3060" w:rsidRDefault="000A2A2B" w:rsidP="007C3060">
            <w:r w:rsidRPr="007C3060">
              <w:t>257</w:t>
            </w:r>
          </w:p>
        </w:tc>
        <w:tc>
          <w:tcPr>
            <w:tcW w:w="992" w:type="dxa"/>
            <w:tcBorders>
              <w:top w:val="nil"/>
              <w:left w:val="nil"/>
              <w:bottom w:val="nil"/>
              <w:right w:val="nil"/>
            </w:tcBorders>
            <w:tcMar>
              <w:top w:w="128" w:type="dxa"/>
              <w:left w:w="43" w:type="dxa"/>
              <w:bottom w:w="43" w:type="dxa"/>
              <w:right w:w="123" w:type="dxa"/>
            </w:tcMar>
          </w:tcPr>
          <w:p w14:paraId="6E46764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0351D40" w14:textId="77777777" w:rsidR="000A2A2B" w:rsidRPr="007C3060" w:rsidRDefault="000A2A2B" w:rsidP="007C3060">
            <w:r w:rsidRPr="007C3060">
              <w:t>Kompetanseprogrammet:</w:t>
            </w:r>
          </w:p>
        </w:tc>
        <w:tc>
          <w:tcPr>
            <w:tcW w:w="1717" w:type="dxa"/>
            <w:tcBorders>
              <w:top w:val="nil"/>
              <w:left w:val="nil"/>
              <w:bottom w:val="nil"/>
              <w:right w:val="nil"/>
            </w:tcBorders>
            <w:tcMar>
              <w:top w:w="128" w:type="dxa"/>
              <w:left w:w="43" w:type="dxa"/>
              <w:bottom w:w="43" w:type="dxa"/>
              <w:right w:w="43" w:type="dxa"/>
            </w:tcMar>
            <w:vAlign w:val="bottom"/>
          </w:tcPr>
          <w:p w14:paraId="30AFD96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534CE69" w14:textId="77777777" w:rsidR="000A2A2B" w:rsidRPr="007C3060" w:rsidRDefault="000A2A2B" w:rsidP="007C3060"/>
        </w:tc>
      </w:tr>
      <w:tr w:rsidR="004B729E" w:rsidRPr="007C3060" w14:paraId="4482150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BFB7DA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A0FEF97"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30676D17" w14:textId="77777777" w:rsidR="000A2A2B" w:rsidRPr="007C3060" w:rsidRDefault="000A2A2B" w:rsidP="007C3060">
            <w:r w:rsidRPr="007C3060">
              <w:t xml:space="preserve">Tilskudd,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0AD0E12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A5A47D3" w14:textId="77777777" w:rsidR="000A2A2B" w:rsidRPr="007C3060" w:rsidRDefault="000A2A2B" w:rsidP="007C3060">
            <w:r w:rsidRPr="007C3060">
              <w:t>55 615 000</w:t>
            </w:r>
          </w:p>
        </w:tc>
      </w:tr>
      <w:tr w:rsidR="004B729E" w:rsidRPr="007C3060" w14:paraId="15997FA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D6DDAA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A691C9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D7ABF58" w14:textId="77777777" w:rsidR="000A2A2B" w:rsidRPr="007C3060" w:rsidRDefault="000A2A2B" w:rsidP="007C3060">
            <w:r w:rsidRPr="007C3060">
              <w:t>fra kr 217 910 000 til kr 162 295 000</w:t>
            </w:r>
          </w:p>
        </w:tc>
        <w:tc>
          <w:tcPr>
            <w:tcW w:w="1717" w:type="dxa"/>
            <w:tcBorders>
              <w:top w:val="nil"/>
              <w:left w:val="nil"/>
              <w:bottom w:val="nil"/>
              <w:right w:val="nil"/>
            </w:tcBorders>
            <w:tcMar>
              <w:top w:w="128" w:type="dxa"/>
              <w:left w:w="43" w:type="dxa"/>
              <w:bottom w:w="43" w:type="dxa"/>
              <w:right w:w="43" w:type="dxa"/>
            </w:tcMar>
            <w:vAlign w:val="bottom"/>
          </w:tcPr>
          <w:p w14:paraId="690B81C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97EEEBB" w14:textId="77777777" w:rsidR="000A2A2B" w:rsidRPr="007C3060" w:rsidRDefault="000A2A2B" w:rsidP="007C3060"/>
        </w:tc>
      </w:tr>
      <w:tr w:rsidR="004B729E" w:rsidRPr="007C3060" w14:paraId="087764B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CC33675" w14:textId="77777777" w:rsidR="000A2A2B" w:rsidRPr="007C3060" w:rsidRDefault="000A2A2B" w:rsidP="007C3060">
            <w:r w:rsidRPr="007C3060">
              <w:t>258</w:t>
            </w:r>
          </w:p>
        </w:tc>
        <w:tc>
          <w:tcPr>
            <w:tcW w:w="992" w:type="dxa"/>
            <w:tcBorders>
              <w:top w:val="nil"/>
              <w:left w:val="nil"/>
              <w:bottom w:val="nil"/>
              <w:right w:val="nil"/>
            </w:tcBorders>
            <w:tcMar>
              <w:top w:w="128" w:type="dxa"/>
              <w:left w:w="43" w:type="dxa"/>
              <w:bottom w:w="43" w:type="dxa"/>
              <w:right w:w="123" w:type="dxa"/>
            </w:tcMar>
          </w:tcPr>
          <w:p w14:paraId="280D0BF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7908D99" w14:textId="77777777" w:rsidR="000A2A2B" w:rsidRPr="007C3060" w:rsidRDefault="000A2A2B" w:rsidP="007C3060">
            <w:r w:rsidRPr="007C3060">
              <w:t>Tiltak for livslang læring:</w:t>
            </w:r>
          </w:p>
        </w:tc>
        <w:tc>
          <w:tcPr>
            <w:tcW w:w="1717" w:type="dxa"/>
            <w:tcBorders>
              <w:top w:val="nil"/>
              <w:left w:val="nil"/>
              <w:bottom w:val="nil"/>
              <w:right w:val="nil"/>
            </w:tcBorders>
            <w:tcMar>
              <w:top w:w="128" w:type="dxa"/>
              <w:left w:w="43" w:type="dxa"/>
              <w:bottom w:w="43" w:type="dxa"/>
              <w:right w:w="43" w:type="dxa"/>
            </w:tcMar>
            <w:vAlign w:val="bottom"/>
          </w:tcPr>
          <w:p w14:paraId="1F94E70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E6F8CC0" w14:textId="77777777" w:rsidR="000A2A2B" w:rsidRPr="007C3060" w:rsidRDefault="000A2A2B" w:rsidP="007C3060"/>
        </w:tc>
      </w:tr>
      <w:tr w:rsidR="004B729E" w:rsidRPr="007C3060" w14:paraId="67E944C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76068F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8A7E8C7"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5C9A0FB4" w14:textId="77777777" w:rsidR="000A2A2B" w:rsidRPr="007C3060" w:rsidRDefault="000A2A2B" w:rsidP="007C3060">
            <w:r w:rsidRPr="007C3060">
              <w:t xml:space="preserve">Spesielle driftsutgifter,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1D595E8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88B6D35" w14:textId="77777777" w:rsidR="000A2A2B" w:rsidRPr="007C3060" w:rsidRDefault="000A2A2B" w:rsidP="007C3060">
            <w:r w:rsidRPr="007C3060">
              <w:t>6 600 000</w:t>
            </w:r>
          </w:p>
        </w:tc>
      </w:tr>
      <w:tr w:rsidR="004B729E" w:rsidRPr="007C3060" w14:paraId="1ED99DF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B00347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1E8F56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11BFB63" w14:textId="77777777" w:rsidR="000A2A2B" w:rsidRPr="007C3060" w:rsidRDefault="000A2A2B" w:rsidP="007C3060">
            <w:r w:rsidRPr="007C3060">
              <w:t>fra kr 99 329 000 til kr 92 729 000</w:t>
            </w:r>
          </w:p>
        </w:tc>
        <w:tc>
          <w:tcPr>
            <w:tcW w:w="1717" w:type="dxa"/>
            <w:tcBorders>
              <w:top w:val="nil"/>
              <w:left w:val="nil"/>
              <w:bottom w:val="nil"/>
              <w:right w:val="nil"/>
            </w:tcBorders>
            <w:tcMar>
              <w:top w:w="128" w:type="dxa"/>
              <w:left w:w="43" w:type="dxa"/>
              <w:bottom w:w="43" w:type="dxa"/>
              <w:right w:w="43" w:type="dxa"/>
            </w:tcMar>
            <w:vAlign w:val="bottom"/>
          </w:tcPr>
          <w:p w14:paraId="5987E5E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D8C6A5F" w14:textId="77777777" w:rsidR="000A2A2B" w:rsidRPr="007C3060" w:rsidRDefault="000A2A2B" w:rsidP="007C3060"/>
        </w:tc>
      </w:tr>
      <w:tr w:rsidR="004B729E" w:rsidRPr="007C3060" w14:paraId="56F8BEA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D8E1CAC" w14:textId="77777777" w:rsidR="000A2A2B" w:rsidRPr="007C3060" w:rsidRDefault="000A2A2B" w:rsidP="007C3060">
            <w:r w:rsidRPr="007C3060">
              <w:t>260</w:t>
            </w:r>
          </w:p>
        </w:tc>
        <w:tc>
          <w:tcPr>
            <w:tcW w:w="992" w:type="dxa"/>
            <w:tcBorders>
              <w:top w:val="nil"/>
              <w:left w:val="nil"/>
              <w:bottom w:val="nil"/>
              <w:right w:val="nil"/>
            </w:tcBorders>
            <w:tcMar>
              <w:top w:w="128" w:type="dxa"/>
              <w:left w:w="43" w:type="dxa"/>
              <w:bottom w:w="43" w:type="dxa"/>
              <w:right w:w="123" w:type="dxa"/>
            </w:tcMar>
          </w:tcPr>
          <w:p w14:paraId="6FEEA35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0FD0491" w14:textId="77777777" w:rsidR="000A2A2B" w:rsidRPr="007C3060" w:rsidRDefault="000A2A2B" w:rsidP="007C3060">
            <w:r w:rsidRPr="007C3060">
              <w:t>Universiteter og høyskoler:</w:t>
            </w:r>
          </w:p>
        </w:tc>
        <w:tc>
          <w:tcPr>
            <w:tcW w:w="1717" w:type="dxa"/>
            <w:tcBorders>
              <w:top w:val="nil"/>
              <w:left w:val="nil"/>
              <w:bottom w:val="nil"/>
              <w:right w:val="nil"/>
            </w:tcBorders>
            <w:tcMar>
              <w:top w:w="128" w:type="dxa"/>
              <w:left w:w="43" w:type="dxa"/>
              <w:bottom w:w="43" w:type="dxa"/>
              <w:right w:w="43" w:type="dxa"/>
            </w:tcMar>
            <w:vAlign w:val="bottom"/>
          </w:tcPr>
          <w:p w14:paraId="75A4FEE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5D4922D" w14:textId="77777777" w:rsidR="000A2A2B" w:rsidRPr="007C3060" w:rsidRDefault="000A2A2B" w:rsidP="007C3060"/>
        </w:tc>
      </w:tr>
      <w:tr w:rsidR="004B729E" w:rsidRPr="007C3060" w14:paraId="639F19A0"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FB72BF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11E8303" w14:textId="77777777" w:rsidR="000A2A2B" w:rsidRPr="007C3060" w:rsidRDefault="000A2A2B" w:rsidP="007C3060">
            <w:r w:rsidRPr="007C3060">
              <w:t>50</w:t>
            </w:r>
          </w:p>
        </w:tc>
        <w:tc>
          <w:tcPr>
            <w:tcW w:w="4819" w:type="dxa"/>
            <w:tcBorders>
              <w:top w:val="nil"/>
              <w:left w:val="nil"/>
              <w:bottom w:val="nil"/>
              <w:right w:val="nil"/>
            </w:tcBorders>
            <w:tcMar>
              <w:top w:w="128" w:type="dxa"/>
              <w:left w:w="43" w:type="dxa"/>
              <w:bottom w:w="43" w:type="dxa"/>
              <w:right w:w="43" w:type="dxa"/>
            </w:tcMar>
            <w:vAlign w:val="bottom"/>
          </w:tcPr>
          <w:p w14:paraId="1A94F397" w14:textId="482A15C5" w:rsidR="000A2A2B" w:rsidRPr="007C3060" w:rsidRDefault="000A2A2B" w:rsidP="007C3060">
            <w:r w:rsidRPr="007C3060">
              <w:t xml:space="preserve">Statlige universiteter og høyskoler, </w:t>
            </w:r>
            <w:r w:rsidRPr="007C3060">
              <w:rPr>
                <w:rStyle w:val="kursiv"/>
              </w:rPr>
              <w:t>kan nyttes under post 70,</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5F51B81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D10ABE3" w14:textId="77777777" w:rsidR="000A2A2B" w:rsidRPr="007C3060" w:rsidRDefault="000A2A2B" w:rsidP="007C3060">
            <w:r w:rsidRPr="007C3060">
              <w:t>18 742 000</w:t>
            </w:r>
          </w:p>
        </w:tc>
      </w:tr>
      <w:tr w:rsidR="004B729E" w:rsidRPr="007C3060" w14:paraId="1252DF4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9A6FA1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5D65FC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C258AC5" w14:textId="77777777" w:rsidR="000A2A2B" w:rsidRPr="007C3060" w:rsidRDefault="000A2A2B" w:rsidP="007C3060">
            <w:r w:rsidRPr="007C3060">
              <w:t>fra kr 44 160 977 000 til kr 44 142 235 000</w:t>
            </w:r>
          </w:p>
        </w:tc>
        <w:tc>
          <w:tcPr>
            <w:tcW w:w="1717" w:type="dxa"/>
            <w:tcBorders>
              <w:top w:val="nil"/>
              <w:left w:val="nil"/>
              <w:bottom w:val="nil"/>
              <w:right w:val="nil"/>
            </w:tcBorders>
            <w:tcMar>
              <w:top w:w="128" w:type="dxa"/>
              <w:left w:w="43" w:type="dxa"/>
              <w:bottom w:w="43" w:type="dxa"/>
              <w:right w:w="43" w:type="dxa"/>
            </w:tcMar>
            <w:vAlign w:val="bottom"/>
          </w:tcPr>
          <w:p w14:paraId="57497ED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99488DA" w14:textId="77777777" w:rsidR="000A2A2B" w:rsidRPr="007C3060" w:rsidRDefault="000A2A2B" w:rsidP="007C3060"/>
        </w:tc>
      </w:tr>
      <w:tr w:rsidR="004B729E" w:rsidRPr="007C3060" w14:paraId="314661B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04B5BB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60B320F"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668C3F77" w14:textId="77777777" w:rsidR="000A2A2B" w:rsidRPr="007C3060" w:rsidRDefault="000A2A2B" w:rsidP="007C3060">
            <w:r w:rsidRPr="007C3060">
              <w:t xml:space="preserve">Private høyskoler, </w:t>
            </w:r>
            <w:r w:rsidRPr="007C3060">
              <w:rPr>
                <w:rStyle w:val="kursiv"/>
              </w:rPr>
              <w:t>kan nyttes under post 50,</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2D6BA62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5D1EB8E" w14:textId="77777777" w:rsidR="000A2A2B" w:rsidRPr="007C3060" w:rsidRDefault="000A2A2B" w:rsidP="007C3060">
            <w:r w:rsidRPr="007C3060">
              <w:t>2 742 000</w:t>
            </w:r>
          </w:p>
        </w:tc>
      </w:tr>
      <w:tr w:rsidR="004B729E" w:rsidRPr="007C3060" w14:paraId="3CBFB3C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41F1C4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88D444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E8172AC" w14:textId="77777777" w:rsidR="000A2A2B" w:rsidRPr="007C3060" w:rsidRDefault="000A2A2B" w:rsidP="007C3060">
            <w:r w:rsidRPr="007C3060">
              <w:t>fra kr 2 310 741 000 til kr 2 313 483 000</w:t>
            </w:r>
          </w:p>
        </w:tc>
        <w:tc>
          <w:tcPr>
            <w:tcW w:w="1717" w:type="dxa"/>
            <w:tcBorders>
              <w:top w:val="nil"/>
              <w:left w:val="nil"/>
              <w:bottom w:val="nil"/>
              <w:right w:val="nil"/>
            </w:tcBorders>
            <w:tcMar>
              <w:top w:w="128" w:type="dxa"/>
              <w:left w:w="43" w:type="dxa"/>
              <w:bottom w:w="43" w:type="dxa"/>
              <w:right w:w="43" w:type="dxa"/>
            </w:tcMar>
            <w:vAlign w:val="bottom"/>
          </w:tcPr>
          <w:p w14:paraId="1718F54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386282A" w14:textId="77777777" w:rsidR="000A2A2B" w:rsidRPr="007C3060" w:rsidRDefault="000A2A2B" w:rsidP="007C3060"/>
        </w:tc>
      </w:tr>
      <w:tr w:rsidR="004B729E" w:rsidRPr="007C3060" w14:paraId="7B630D6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1603E3F" w14:textId="77777777" w:rsidR="000A2A2B" w:rsidRPr="007C3060" w:rsidRDefault="000A2A2B" w:rsidP="007C3060">
            <w:r w:rsidRPr="007C3060">
              <w:t>270</w:t>
            </w:r>
          </w:p>
        </w:tc>
        <w:tc>
          <w:tcPr>
            <w:tcW w:w="992" w:type="dxa"/>
            <w:tcBorders>
              <w:top w:val="nil"/>
              <w:left w:val="nil"/>
              <w:bottom w:val="nil"/>
              <w:right w:val="nil"/>
            </w:tcBorders>
            <w:tcMar>
              <w:top w:w="128" w:type="dxa"/>
              <w:left w:w="43" w:type="dxa"/>
              <w:bottom w:w="43" w:type="dxa"/>
              <w:right w:w="123" w:type="dxa"/>
            </w:tcMar>
          </w:tcPr>
          <w:p w14:paraId="0440BAC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24A0723" w14:textId="77777777" w:rsidR="000A2A2B" w:rsidRPr="007C3060" w:rsidRDefault="000A2A2B" w:rsidP="007C3060">
            <w:r w:rsidRPr="007C3060">
              <w:t>Studentvelferd:</w:t>
            </w:r>
          </w:p>
        </w:tc>
        <w:tc>
          <w:tcPr>
            <w:tcW w:w="1717" w:type="dxa"/>
            <w:tcBorders>
              <w:top w:val="nil"/>
              <w:left w:val="nil"/>
              <w:bottom w:val="nil"/>
              <w:right w:val="nil"/>
            </w:tcBorders>
            <w:tcMar>
              <w:top w:w="128" w:type="dxa"/>
              <w:left w:w="43" w:type="dxa"/>
              <w:bottom w:w="43" w:type="dxa"/>
              <w:right w:w="43" w:type="dxa"/>
            </w:tcMar>
            <w:vAlign w:val="bottom"/>
          </w:tcPr>
          <w:p w14:paraId="2D008EF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978D3D3" w14:textId="77777777" w:rsidR="000A2A2B" w:rsidRPr="007C3060" w:rsidRDefault="000A2A2B" w:rsidP="007C3060"/>
        </w:tc>
      </w:tr>
      <w:tr w:rsidR="004B729E" w:rsidRPr="007C3060" w14:paraId="2EA84DA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207359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9A09D3B"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71BCA810" w14:textId="77777777" w:rsidR="000A2A2B" w:rsidRPr="007C3060" w:rsidRDefault="000A2A2B" w:rsidP="007C3060">
            <w:r w:rsidRPr="007C3060">
              <w:t>Tilskudd til bygging av studentboliger, forhøyes med</w:t>
            </w:r>
          </w:p>
        </w:tc>
        <w:tc>
          <w:tcPr>
            <w:tcW w:w="1717" w:type="dxa"/>
            <w:tcBorders>
              <w:top w:val="nil"/>
              <w:left w:val="nil"/>
              <w:bottom w:val="nil"/>
              <w:right w:val="nil"/>
            </w:tcBorders>
            <w:tcMar>
              <w:top w:w="128" w:type="dxa"/>
              <w:left w:w="43" w:type="dxa"/>
              <w:bottom w:w="43" w:type="dxa"/>
              <w:right w:w="43" w:type="dxa"/>
            </w:tcMar>
            <w:vAlign w:val="bottom"/>
          </w:tcPr>
          <w:p w14:paraId="6D88608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3EBF87B" w14:textId="77777777" w:rsidR="000A2A2B" w:rsidRPr="007C3060" w:rsidRDefault="000A2A2B" w:rsidP="007C3060">
            <w:r w:rsidRPr="007C3060">
              <w:t>303 605 000</w:t>
            </w:r>
          </w:p>
        </w:tc>
      </w:tr>
      <w:tr w:rsidR="004B729E" w:rsidRPr="007C3060" w14:paraId="4DE22E6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9B766F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BF507A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232DB1E" w14:textId="77777777" w:rsidR="000A2A2B" w:rsidRPr="007C3060" w:rsidRDefault="000A2A2B" w:rsidP="007C3060">
            <w:r w:rsidRPr="007C3060">
              <w:t>fra kr 806 570 000 til kr 1 110 175 000</w:t>
            </w:r>
          </w:p>
        </w:tc>
        <w:tc>
          <w:tcPr>
            <w:tcW w:w="1717" w:type="dxa"/>
            <w:tcBorders>
              <w:top w:val="nil"/>
              <w:left w:val="nil"/>
              <w:bottom w:val="nil"/>
              <w:right w:val="nil"/>
            </w:tcBorders>
            <w:tcMar>
              <w:top w:w="128" w:type="dxa"/>
              <w:left w:w="43" w:type="dxa"/>
              <w:bottom w:w="43" w:type="dxa"/>
              <w:right w:w="43" w:type="dxa"/>
            </w:tcMar>
            <w:vAlign w:val="bottom"/>
          </w:tcPr>
          <w:p w14:paraId="540D051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289DCA4" w14:textId="77777777" w:rsidR="000A2A2B" w:rsidRPr="007C3060" w:rsidRDefault="000A2A2B" w:rsidP="007C3060"/>
        </w:tc>
      </w:tr>
      <w:tr w:rsidR="004B729E" w:rsidRPr="007C3060" w14:paraId="72F12B3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91B39C6" w14:textId="77777777" w:rsidR="000A2A2B" w:rsidRPr="007C3060" w:rsidRDefault="000A2A2B" w:rsidP="007C3060">
            <w:r w:rsidRPr="007C3060">
              <w:t>271</w:t>
            </w:r>
          </w:p>
        </w:tc>
        <w:tc>
          <w:tcPr>
            <w:tcW w:w="992" w:type="dxa"/>
            <w:tcBorders>
              <w:top w:val="nil"/>
              <w:left w:val="nil"/>
              <w:bottom w:val="nil"/>
              <w:right w:val="nil"/>
            </w:tcBorders>
            <w:tcMar>
              <w:top w:w="128" w:type="dxa"/>
              <w:left w:w="43" w:type="dxa"/>
              <w:bottom w:w="43" w:type="dxa"/>
              <w:right w:w="123" w:type="dxa"/>
            </w:tcMar>
          </w:tcPr>
          <w:p w14:paraId="248453A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389BE62" w14:textId="77777777" w:rsidR="000A2A2B" w:rsidRPr="007C3060" w:rsidRDefault="000A2A2B" w:rsidP="007C3060">
            <w:r w:rsidRPr="007C3060">
              <w:t>Nasjonalt organ for kvalitet i utdanningen:</w:t>
            </w:r>
          </w:p>
        </w:tc>
        <w:tc>
          <w:tcPr>
            <w:tcW w:w="1717" w:type="dxa"/>
            <w:tcBorders>
              <w:top w:val="nil"/>
              <w:left w:val="nil"/>
              <w:bottom w:val="nil"/>
              <w:right w:val="nil"/>
            </w:tcBorders>
            <w:tcMar>
              <w:top w:w="128" w:type="dxa"/>
              <w:left w:w="43" w:type="dxa"/>
              <w:bottom w:w="43" w:type="dxa"/>
              <w:right w:w="43" w:type="dxa"/>
            </w:tcMar>
            <w:vAlign w:val="bottom"/>
          </w:tcPr>
          <w:p w14:paraId="5659561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C49B6A8" w14:textId="77777777" w:rsidR="000A2A2B" w:rsidRPr="007C3060" w:rsidRDefault="000A2A2B" w:rsidP="007C3060"/>
        </w:tc>
      </w:tr>
      <w:tr w:rsidR="004B729E" w:rsidRPr="007C3060" w14:paraId="13B4768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914A5B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8254BBF"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69D7AD0F"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12170E0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98162B5" w14:textId="77777777" w:rsidR="000A2A2B" w:rsidRPr="007C3060" w:rsidRDefault="000A2A2B" w:rsidP="007C3060">
            <w:r w:rsidRPr="007C3060">
              <w:t>8 518 000</w:t>
            </w:r>
          </w:p>
        </w:tc>
      </w:tr>
      <w:tr w:rsidR="004B729E" w:rsidRPr="007C3060" w14:paraId="12E5B62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D33B21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34329A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2A14EE6" w14:textId="77777777" w:rsidR="000A2A2B" w:rsidRPr="007C3060" w:rsidRDefault="000A2A2B" w:rsidP="007C3060">
            <w:r w:rsidRPr="007C3060">
              <w:t>fra kr 135 052 000 til kr 143 570 000</w:t>
            </w:r>
          </w:p>
        </w:tc>
        <w:tc>
          <w:tcPr>
            <w:tcW w:w="1717" w:type="dxa"/>
            <w:tcBorders>
              <w:top w:val="nil"/>
              <w:left w:val="nil"/>
              <w:bottom w:val="nil"/>
              <w:right w:val="nil"/>
            </w:tcBorders>
            <w:tcMar>
              <w:top w:w="128" w:type="dxa"/>
              <w:left w:w="43" w:type="dxa"/>
              <w:bottom w:w="43" w:type="dxa"/>
              <w:right w:w="43" w:type="dxa"/>
            </w:tcMar>
            <w:vAlign w:val="bottom"/>
          </w:tcPr>
          <w:p w14:paraId="515C8A9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63ED106" w14:textId="77777777" w:rsidR="000A2A2B" w:rsidRPr="007C3060" w:rsidRDefault="000A2A2B" w:rsidP="007C3060"/>
        </w:tc>
      </w:tr>
      <w:tr w:rsidR="004B729E" w:rsidRPr="007C3060" w14:paraId="04DE645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18A1AB7" w14:textId="77777777" w:rsidR="000A2A2B" w:rsidRPr="007C3060" w:rsidRDefault="000A2A2B" w:rsidP="007C3060">
            <w:r w:rsidRPr="007C3060">
              <w:t>272</w:t>
            </w:r>
          </w:p>
        </w:tc>
        <w:tc>
          <w:tcPr>
            <w:tcW w:w="992" w:type="dxa"/>
            <w:tcBorders>
              <w:top w:val="nil"/>
              <w:left w:val="nil"/>
              <w:bottom w:val="nil"/>
              <w:right w:val="nil"/>
            </w:tcBorders>
            <w:tcMar>
              <w:top w:w="128" w:type="dxa"/>
              <w:left w:w="43" w:type="dxa"/>
              <w:bottom w:w="43" w:type="dxa"/>
              <w:right w:w="123" w:type="dxa"/>
            </w:tcMar>
          </w:tcPr>
          <w:p w14:paraId="7A2F8D7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D52BD70" w14:textId="77777777" w:rsidR="000A2A2B" w:rsidRPr="007C3060" w:rsidRDefault="000A2A2B" w:rsidP="007C3060">
            <w:r w:rsidRPr="007C3060">
              <w:t>Tiltak for internasjonalisering og høyere utdanning:</w:t>
            </w:r>
          </w:p>
        </w:tc>
        <w:tc>
          <w:tcPr>
            <w:tcW w:w="1717" w:type="dxa"/>
            <w:tcBorders>
              <w:top w:val="nil"/>
              <w:left w:val="nil"/>
              <w:bottom w:val="nil"/>
              <w:right w:val="nil"/>
            </w:tcBorders>
            <w:tcMar>
              <w:top w:w="128" w:type="dxa"/>
              <w:left w:w="43" w:type="dxa"/>
              <w:bottom w:w="43" w:type="dxa"/>
              <w:right w:w="43" w:type="dxa"/>
            </w:tcMar>
            <w:vAlign w:val="bottom"/>
          </w:tcPr>
          <w:p w14:paraId="3A3A35F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63470F5" w14:textId="77777777" w:rsidR="000A2A2B" w:rsidRPr="007C3060" w:rsidRDefault="000A2A2B" w:rsidP="007C3060"/>
        </w:tc>
      </w:tr>
      <w:tr w:rsidR="004B729E" w:rsidRPr="007C3060" w14:paraId="6EDAA68D"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2BCF2D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5BCFEA5"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3E81BFEE" w14:textId="77777777" w:rsidR="000A2A2B" w:rsidRPr="007C3060" w:rsidRDefault="000A2A2B" w:rsidP="007C3060">
            <w:r w:rsidRPr="007C3060">
              <w:t xml:space="preserve">Tilskudd til tiltak for internasjonalisering,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12ACEBF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EE47EA1" w14:textId="77777777" w:rsidR="000A2A2B" w:rsidRPr="007C3060" w:rsidRDefault="000A2A2B" w:rsidP="007C3060">
            <w:r w:rsidRPr="007C3060">
              <w:t>16 205 000</w:t>
            </w:r>
          </w:p>
        </w:tc>
      </w:tr>
      <w:tr w:rsidR="004B729E" w:rsidRPr="007C3060" w14:paraId="407A69E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53454A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3A1489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D6A973A" w14:textId="77777777" w:rsidR="000A2A2B" w:rsidRPr="007C3060" w:rsidRDefault="000A2A2B" w:rsidP="007C3060">
            <w:r w:rsidRPr="007C3060">
              <w:t>fra kr 172 829 000 til kr 156 624 000</w:t>
            </w:r>
          </w:p>
        </w:tc>
        <w:tc>
          <w:tcPr>
            <w:tcW w:w="1717" w:type="dxa"/>
            <w:tcBorders>
              <w:top w:val="nil"/>
              <w:left w:val="nil"/>
              <w:bottom w:val="nil"/>
              <w:right w:val="nil"/>
            </w:tcBorders>
            <w:tcMar>
              <w:top w:w="128" w:type="dxa"/>
              <w:left w:w="43" w:type="dxa"/>
              <w:bottom w:w="43" w:type="dxa"/>
              <w:right w:w="43" w:type="dxa"/>
            </w:tcMar>
            <w:vAlign w:val="bottom"/>
          </w:tcPr>
          <w:p w14:paraId="2D388C2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D646B6F" w14:textId="77777777" w:rsidR="000A2A2B" w:rsidRPr="007C3060" w:rsidRDefault="000A2A2B" w:rsidP="007C3060"/>
        </w:tc>
      </w:tr>
      <w:tr w:rsidR="004B729E" w:rsidRPr="007C3060" w14:paraId="5BE857A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33E727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DB99F4F"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55218B5D" w14:textId="1191F17F" w:rsidR="000A2A2B" w:rsidRPr="007C3060" w:rsidRDefault="000A2A2B" w:rsidP="007C3060">
            <w:r w:rsidRPr="007C3060">
              <w:t xml:space="preserve">Tilskudd til tiltak for høyere utdanning,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02EC5DC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0D58F54" w14:textId="77777777" w:rsidR="000A2A2B" w:rsidRPr="007C3060" w:rsidRDefault="000A2A2B" w:rsidP="007C3060">
            <w:r w:rsidRPr="007C3060">
              <w:t>40 148 000</w:t>
            </w:r>
          </w:p>
        </w:tc>
      </w:tr>
      <w:tr w:rsidR="004B729E" w:rsidRPr="007C3060" w14:paraId="6A82D05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B7816E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913AFA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347612F" w14:textId="77777777" w:rsidR="000A2A2B" w:rsidRPr="007C3060" w:rsidRDefault="000A2A2B" w:rsidP="007C3060">
            <w:r w:rsidRPr="007C3060">
              <w:t>fra kr 156 808 000 til kr 116 660 000</w:t>
            </w:r>
          </w:p>
        </w:tc>
        <w:tc>
          <w:tcPr>
            <w:tcW w:w="1717" w:type="dxa"/>
            <w:tcBorders>
              <w:top w:val="nil"/>
              <w:left w:val="nil"/>
              <w:bottom w:val="nil"/>
              <w:right w:val="nil"/>
            </w:tcBorders>
            <w:tcMar>
              <w:top w:w="128" w:type="dxa"/>
              <w:left w:w="43" w:type="dxa"/>
              <w:bottom w:w="43" w:type="dxa"/>
              <w:right w:w="43" w:type="dxa"/>
            </w:tcMar>
            <w:vAlign w:val="bottom"/>
          </w:tcPr>
          <w:p w14:paraId="3467F9A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3E24521" w14:textId="77777777" w:rsidR="000A2A2B" w:rsidRPr="007C3060" w:rsidRDefault="000A2A2B" w:rsidP="007C3060"/>
        </w:tc>
      </w:tr>
      <w:tr w:rsidR="004B729E" w:rsidRPr="007C3060" w14:paraId="45A17F2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77E7849" w14:textId="77777777" w:rsidR="000A2A2B" w:rsidRPr="007C3060" w:rsidRDefault="000A2A2B" w:rsidP="007C3060">
            <w:r w:rsidRPr="007C3060">
              <w:t>273</w:t>
            </w:r>
          </w:p>
        </w:tc>
        <w:tc>
          <w:tcPr>
            <w:tcW w:w="992" w:type="dxa"/>
            <w:tcBorders>
              <w:top w:val="nil"/>
              <w:left w:val="nil"/>
              <w:bottom w:val="nil"/>
              <w:right w:val="nil"/>
            </w:tcBorders>
            <w:tcMar>
              <w:top w:w="128" w:type="dxa"/>
              <w:left w:w="43" w:type="dxa"/>
              <w:bottom w:w="43" w:type="dxa"/>
              <w:right w:w="123" w:type="dxa"/>
            </w:tcMar>
          </w:tcPr>
          <w:p w14:paraId="09D95F9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334D9E0" w14:textId="77777777" w:rsidR="000A2A2B" w:rsidRPr="007C3060" w:rsidRDefault="000A2A2B" w:rsidP="007C3060">
            <w:r w:rsidRPr="007C3060">
              <w:t>Kunnskapssektorens tjenesteleverandør – Sikt:</w:t>
            </w:r>
          </w:p>
        </w:tc>
        <w:tc>
          <w:tcPr>
            <w:tcW w:w="1717" w:type="dxa"/>
            <w:tcBorders>
              <w:top w:val="nil"/>
              <w:left w:val="nil"/>
              <w:bottom w:val="nil"/>
              <w:right w:val="nil"/>
            </w:tcBorders>
            <w:tcMar>
              <w:top w:w="128" w:type="dxa"/>
              <w:left w:w="43" w:type="dxa"/>
              <w:bottom w:w="43" w:type="dxa"/>
              <w:right w:w="43" w:type="dxa"/>
            </w:tcMar>
            <w:vAlign w:val="bottom"/>
          </w:tcPr>
          <w:p w14:paraId="4D97652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4106FE5" w14:textId="77777777" w:rsidR="000A2A2B" w:rsidRPr="007C3060" w:rsidRDefault="000A2A2B" w:rsidP="007C3060"/>
        </w:tc>
      </w:tr>
      <w:tr w:rsidR="004B729E" w:rsidRPr="007C3060" w14:paraId="3F5E195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F97E8A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1C49D83" w14:textId="77777777" w:rsidR="000A2A2B" w:rsidRPr="007C3060" w:rsidRDefault="000A2A2B" w:rsidP="007C3060">
            <w:r w:rsidRPr="007C3060">
              <w:t>50</w:t>
            </w:r>
          </w:p>
        </w:tc>
        <w:tc>
          <w:tcPr>
            <w:tcW w:w="4819" w:type="dxa"/>
            <w:tcBorders>
              <w:top w:val="nil"/>
              <w:left w:val="nil"/>
              <w:bottom w:val="nil"/>
              <w:right w:val="nil"/>
            </w:tcBorders>
            <w:tcMar>
              <w:top w:w="128" w:type="dxa"/>
              <w:left w:w="43" w:type="dxa"/>
              <w:bottom w:w="43" w:type="dxa"/>
              <w:right w:w="43" w:type="dxa"/>
            </w:tcMar>
            <w:vAlign w:val="bottom"/>
          </w:tcPr>
          <w:p w14:paraId="4EDBA4CC" w14:textId="77777777" w:rsidR="000A2A2B" w:rsidRPr="007C3060" w:rsidRDefault="000A2A2B" w:rsidP="007C3060">
            <w:r w:rsidRPr="007C3060">
              <w:t>Virksomhetskostnader, forhøyes med</w:t>
            </w:r>
          </w:p>
        </w:tc>
        <w:tc>
          <w:tcPr>
            <w:tcW w:w="1717" w:type="dxa"/>
            <w:tcBorders>
              <w:top w:val="nil"/>
              <w:left w:val="nil"/>
              <w:bottom w:val="nil"/>
              <w:right w:val="nil"/>
            </w:tcBorders>
            <w:tcMar>
              <w:top w:w="128" w:type="dxa"/>
              <w:left w:w="43" w:type="dxa"/>
              <w:bottom w:w="43" w:type="dxa"/>
              <w:right w:w="43" w:type="dxa"/>
            </w:tcMar>
            <w:vAlign w:val="bottom"/>
          </w:tcPr>
          <w:p w14:paraId="5B4E09C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BD96E02" w14:textId="77777777" w:rsidR="000A2A2B" w:rsidRPr="007C3060" w:rsidRDefault="000A2A2B" w:rsidP="007C3060">
            <w:r w:rsidRPr="007C3060">
              <w:t>20 238 000</w:t>
            </w:r>
          </w:p>
        </w:tc>
      </w:tr>
      <w:tr w:rsidR="004B729E" w:rsidRPr="007C3060" w14:paraId="0A125BC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7FF1DE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12B3E6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30699B6" w14:textId="77777777" w:rsidR="000A2A2B" w:rsidRPr="007C3060" w:rsidRDefault="000A2A2B" w:rsidP="007C3060">
            <w:r w:rsidRPr="007C3060">
              <w:t>fra kr 442 769 000 til kr 463 007 000</w:t>
            </w:r>
          </w:p>
        </w:tc>
        <w:tc>
          <w:tcPr>
            <w:tcW w:w="1717" w:type="dxa"/>
            <w:tcBorders>
              <w:top w:val="nil"/>
              <w:left w:val="nil"/>
              <w:bottom w:val="nil"/>
              <w:right w:val="nil"/>
            </w:tcBorders>
            <w:tcMar>
              <w:top w:w="128" w:type="dxa"/>
              <w:left w:w="43" w:type="dxa"/>
              <w:bottom w:w="43" w:type="dxa"/>
              <w:right w:w="43" w:type="dxa"/>
            </w:tcMar>
            <w:vAlign w:val="bottom"/>
          </w:tcPr>
          <w:p w14:paraId="0F43CB3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6D7A644" w14:textId="77777777" w:rsidR="000A2A2B" w:rsidRPr="007C3060" w:rsidRDefault="000A2A2B" w:rsidP="007C3060"/>
        </w:tc>
      </w:tr>
      <w:tr w:rsidR="004B729E" w:rsidRPr="007C3060" w14:paraId="0041E47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D57389A" w14:textId="77777777" w:rsidR="000A2A2B" w:rsidRPr="007C3060" w:rsidRDefault="000A2A2B" w:rsidP="007C3060">
            <w:r w:rsidRPr="007C3060">
              <w:t>275</w:t>
            </w:r>
          </w:p>
        </w:tc>
        <w:tc>
          <w:tcPr>
            <w:tcW w:w="992" w:type="dxa"/>
            <w:tcBorders>
              <w:top w:val="nil"/>
              <w:left w:val="nil"/>
              <w:bottom w:val="nil"/>
              <w:right w:val="nil"/>
            </w:tcBorders>
            <w:tcMar>
              <w:top w:w="128" w:type="dxa"/>
              <w:left w:w="43" w:type="dxa"/>
              <w:bottom w:w="43" w:type="dxa"/>
              <w:right w:w="123" w:type="dxa"/>
            </w:tcMar>
          </w:tcPr>
          <w:p w14:paraId="16237A5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A180708" w14:textId="77777777" w:rsidR="000A2A2B" w:rsidRPr="007C3060" w:rsidRDefault="000A2A2B" w:rsidP="007C3060">
            <w:r w:rsidRPr="007C3060">
              <w:t>Tiltak for høyere utdanning og forskning:</w:t>
            </w:r>
          </w:p>
        </w:tc>
        <w:tc>
          <w:tcPr>
            <w:tcW w:w="1717" w:type="dxa"/>
            <w:tcBorders>
              <w:top w:val="nil"/>
              <w:left w:val="nil"/>
              <w:bottom w:val="nil"/>
              <w:right w:val="nil"/>
            </w:tcBorders>
            <w:tcMar>
              <w:top w:w="128" w:type="dxa"/>
              <w:left w:w="43" w:type="dxa"/>
              <w:bottom w:w="43" w:type="dxa"/>
              <w:right w:w="43" w:type="dxa"/>
            </w:tcMar>
            <w:vAlign w:val="bottom"/>
          </w:tcPr>
          <w:p w14:paraId="36D2B20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C053EAA" w14:textId="77777777" w:rsidR="000A2A2B" w:rsidRPr="007C3060" w:rsidRDefault="000A2A2B" w:rsidP="007C3060"/>
        </w:tc>
      </w:tr>
      <w:tr w:rsidR="004B729E" w:rsidRPr="007C3060" w14:paraId="49CDFF68"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7AE6618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3375526"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2CCA7F61" w14:textId="26EA6131" w:rsidR="000A2A2B" w:rsidRPr="007C3060" w:rsidRDefault="000A2A2B" w:rsidP="007C3060">
            <w:r w:rsidRPr="007C3060">
              <w:t xml:space="preserve">Spesielle driftsutgifter, </w:t>
            </w:r>
            <w:r w:rsidRPr="007C3060">
              <w:rPr>
                <w:rStyle w:val="kursiv"/>
              </w:rPr>
              <w:t xml:space="preserve">kan overføres, kan nyttes under post 70, </w:t>
            </w:r>
            <w:r w:rsidRPr="007C3060">
              <w:t>forhøyes med</w:t>
            </w:r>
          </w:p>
        </w:tc>
        <w:tc>
          <w:tcPr>
            <w:tcW w:w="1717" w:type="dxa"/>
            <w:tcBorders>
              <w:top w:val="nil"/>
              <w:left w:val="nil"/>
              <w:bottom w:val="nil"/>
              <w:right w:val="nil"/>
            </w:tcBorders>
            <w:tcMar>
              <w:top w:w="128" w:type="dxa"/>
              <w:left w:w="43" w:type="dxa"/>
              <w:bottom w:w="43" w:type="dxa"/>
              <w:right w:w="43" w:type="dxa"/>
            </w:tcMar>
            <w:vAlign w:val="bottom"/>
          </w:tcPr>
          <w:p w14:paraId="6F85675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BDAF3F5" w14:textId="77777777" w:rsidR="000A2A2B" w:rsidRPr="007C3060" w:rsidRDefault="000A2A2B" w:rsidP="007C3060">
            <w:r w:rsidRPr="007C3060">
              <w:t>993 000</w:t>
            </w:r>
          </w:p>
        </w:tc>
      </w:tr>
      <w:tr w:rsidR="004B729E" w:rsidRPr="007C3060" w14:paraId="7B963B1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ECC06E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432C39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A8707EB" w14:textId="77777777" w:rsidR="000A2A2B" w:rsidRPr="007C3060" w:rsidRDefault="000A2A2B" w:rsidP="007C3060">
            <w:r w:rsidRPr="007C3060">
              <w:t>fra kr 49 565 000 til kr 50 558 000</w:t>
            </w:r>
          </w:p>
        </w:tc>
        <w:tc>
          <w:tcPr>
            <w:tcW w:w="1717" w:type="dxa"/>
            <w:tcBorders>
              <w:top w:val="nil"/>
              <w:left w:val="nil"/>
              <w:bottom w:val="nil"/>
              <w:right w:val="nil"/>
            </w:tcBorders>
            <w:tcMar>
              <w:top w:w="128" w:type="dxa"/>
              <w:left w:w="43" w:type="dxa"/>
              <w:bottom w:w="43" w:type="dxa"/>
              <w:right w:w="43" w:type="dxa"/>
            </w:tcMar>
            <w:vAlign w:val="bottom"/>
          </w:tcPr>
          <w:p w14:paraId="0947B0E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E59F199" w14:textId="77777777" w:rsidR="000A2A2B" w:rsidRPr="007C3060" w:rsidRDefault="000A2A2B" w:rsidP="007C3060"/>
        </w:tc>
      </w:tr>
      <w:tr w:rsidR="004B729E" w:rsidRPr="007C3060" w14:paraId="4CD2327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D65F09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ACCC2A0"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7C535D2C" w14:textId="77777777" w:rsidR="000A2A2B" w:rsidRPr="007C3060" w:rsidRDefault="000A2A2B" w:rsidP="007C3060">
            <w:r w:rsidRPr="007C3060">
              <w:t xml:space="preserve">Tilskudd, </w:t>
            </w:r>
            <w:r w:rsidRPr="007C3060">
              <w:rPr>
                <w:rStyle w:val="kursiv"/>
              </w:rPr>
              <w:t>kan nyttes under post 21,</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252A542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3EB16AF" w14:textId="77777777" w:rsidR="000A2A2B" w:rsidRPr="007C3060" w:rsidRDefault="000A2A2B" w:rsidP="007C3060">
            <w:r w:rsidRPr="007C3060">
              <w:t>2 722 000</w:t>
            </w:r>
          </w:p>
        </w:tc>
      </w:tr>
      <w:tr w:rsidR="004B729E" w:rsidRPr="007C3060" w14:paraId="654DDFB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6E6882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501E4E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4B68C16" w14:textId="77777777" w:rsidR="000A2A2B" w:rsidRPr="007C3060" w:rsidRDefault="000A2A2B" w:rsidP="007C3060">
            <w:r w:rsidRPr="007C3060">
              <w:t>fra kr 79 493 000 til kr 76 771 000</w:t>
            </w:r>
          </w:p>
        </w:tc>
        <w:tc>
          <w:tcPr>
            <w:tcW w:w="1717" w:type="dxa"/>
            <w:tcBorders>
              <w:top w:val="nil"/>
              <w:left w:val="nil"/>
              <w:bottom w:val="nil"/>
              <w:right w:val="nil"/>
            </w:tcBorders>
            <w:tcMar>
              <w:top w:w="128" w:type="dxa"/>
              <w:left w:w="43" w:type="dxa"/>
              <w:bottom w:w="43" w:type="dxa"/>
              <w:right w:w="43" w:type="dxa"/>
            </w:tcMar>
            <w:vAlign w:val="bottom"/>
          </w:tcPr>
          <w:p w14:paraId="1A292DF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8D52DE1" w14:textId="77777777" w:rsidR="000A2A2B" w:rsidRPr="007C3060" w:rsidRDefault="000A2A2B" w:rsidP="007C3060"/>
        </w:tc>
      </w:tr>
      <w:tr w:rsidR="004B729E" w:rsidRPr="007C3060" w14:paraId="772A5A4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78C3430" w14:textId="77777777" w:rsidR="000A2A2B" w:rsidRPr="007C3060" w:rsidRDefault="000A2A2B" w:rsidP="007C3060">
            <w:r w:rsidRPr="007C3060">
              <w:t>285</w:t>
            </w:r>
          </w:p>
        </w:tc>
        <w:tc>
          <w:tcPr>
            <w:tcW w:w="992" w:type="dxa"/>
            <w:tcBorders>
              <w:top w:val="nil"/>
              <w:left w:val="nil"/>
              <w:bottom w:val="nil"/>
              <w:right w:val="nil"/>
            </w:tcBorders>
            <w:tcMar>
              <w:top w:w="128" w:type="dxa"/>
              <w:left w:w="43" w:type="dxa"/>
              <w:bottom w:w="43" w:type="dxa"/>
              <w:right w:w="123" w:type="dxa"/>
            </w:tcMar>
          </w:tcPr>
          <w:p w14:paraId="58BB04E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9B90318" w14:textId="77777777" w:rsidR="000A2A2B" w:rsidRPr="007C3060" w:rsidRDefault="000A2A2B" w:rsidP="007C3060">
            <w:r w:rsidRPr="007C3060">
              <w:t>Norges forskningsråd:</w:t>
            </w:r>
          </w:p>
        </w:tc>
        <w:tc>
          <w:tcPr>
            <w:tcW w:w="1717" w:type="dxa"/>
            <w:tcBorders>
              <w:top w:val="nil"/>
              <w:left w:val="nil"/>
              <w:bottom w:val="nil"/>
              <w:right w:val="nil"/>
            </w:tcBorders>
            <w:tcMar>
              <w:top w:w="128" w:type="dxa"/>
              <w:left w:w="43" w:type="dxa"/>
              <w:bottom w:w="43" w:type="dxa"/>
              <w:right w:w="43" w:type="dxa"/>
            </w:tcMar>
            <w:vAlign w:val="bottom"/>
          </w:tcPr>
          <w:p w14:paraId="69B8610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16EEA96" w14:textId="77777777" w:rsidR="000A2A2B" w:rsidRPr="007C3060" w:rsidRDefault="000A2A2B" w:rsidP="007C3060"/>
        </w:tc>
      </w:tr>
      <w:tr w:rsidR="004B729E" w:rsidRPr="007C3060" w14:paraId="4D30261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ED725B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ECE02E5"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1051CDE1" w14:textId="77777777" w:rsidR="000A2A2B" w:rsidRPr="007C3060" w:rsidRDefault="000A2A2B" w:rsidP="007C3060">
            <w:r w:rsidRPr="007C3060">
              <w:t>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2D53FD8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A3277F2" w14:textId="77777777" w:rsidR="000A2A2B" w:rsidRPr="007C3060" w:rsidRDefault="000A2A2B" w:rsidP="007C3060">
            <w:r w:rsidRPr="007C3060">
              <w:t>58 580 000</w:t>
            </w:r>
          </w:p>
        </w:tc>
      </w:tr>
      <w:tr w:rsidR="004B729E" w:rsidRPr="007C3060" w14:paraId="63221AA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B328D3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D601B5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B04F64D" w14:textId="77777777" w:rsidR="000A2A2B" w:rsidRPr="007C3060" w:rsidRDefault="000A2A2B" w:rsidP="007C3060">
            <w:r w:rsidRPr="007C3060">
              <w:t>fra kr 804 120 000 til kr 745 540 000</w:t>
            </w:r>
          </w:p>
        </w:tc>
        <w:tc>
          <w:tcPr>
            <w:tcW w:w="1717" w:type="dxa"/>
            <w:tcBorders>
              <w:top w:val="nil"/>
              <w:left w:val="nil"/>
              <w:bottom w:val="nil"/>
              <w:right w:val="nil"/>
            </w:tcBorders>
            <w:tcMar>
              <w:top w:w="128" w:type="dxa"/>
              <w:left w:w="43" w:type="dxa"/>
              <w:bottom w:w="43" w:type="dxa"/>
              <w:right w:w="43" w:type="dxa"/>
            </w:tcMar>
            <w:vAlign w:val="bottom"/>
          </w:tcPr>
          <w:p w14:paraId="2869B5D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A712EEC" w14:textId="77777777" w:rsidR="000A2A2B" w:rsidRPr="007C3060" w:rsidRDefault="000A2A2B" w:rsidP="007C3060"/>
        </w:tc>
      </w:tr>
      <w:tr w:rsidR="004B729E" w:rsidRPr="007C3060" w14:paraId="33BBCB7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E66644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9227E58"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2B55BB6E" w14:textId="77777777" w:rsidR="000A2A2B" w:rsidRPr="007C3060" w:rsidRDefault="000A2A2B" w:rsidP="007C3060">
            <w:r w:rsidRPr="007C3060">
              <w:t>Spesielle 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13042D0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2410725" w14:textId="77777777" w:rsidR="000A2A2B" w:rsidRPr="007C3060" w:rsidRDefault="000A2A2B" w:rsidP="007C3060">
            <w:r w:rsidRPr="007C3060">
              <w:t>38 925 000</w:t>
            </w:r>
          </w:p>
        </w:tc>
      </w:tr>
      <w:tr w:rsidR="004B729E" w:rsidRPr="007C3060" w14:paraId="1103737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67A6B5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174451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48B5973" w14:textId="77777777" w:rsidR="000A2A2B" w:rsidRPr="007C3060" w:rsidRDefault="000A2A2B" w:rsidP="007C3060">
            <w:r w:rsidRPr="007C3060">
              <w:t>fra kr 47 214 000 til kr 86 139 000</w:t>
            </w:r>
          </w:p>
        </w:tc>
        <w:tc>
          <w:tcPr>
            <w:tcW w:w="1717" w:type="dxa"/>
            <w:tcBorders>
              <w:top w:val="nil"/>
              <w:left w:val="nil"/>
              <w:bottom w:val="nil"/>
              <w:right w:val="nil"/>
            </w:tcBorders>
            <w:tcMar>
              <w:top w:w="128" w:type="dxa"/>
              <w:left w:w="43" w:type="dxa"/>
              <w:bottom w:w="43" w:type="dxa"/>
              <w:right w:w="43" w:type="dxa"/>
            </w:tcMar>
            <w:vAlign w:val="bottom"/>
          </w:tcPr>
          <w:p w14:paraId="30F35F4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39BF49A" w14:textId="77777777" w:rsidR="000A2A2B" w:rsidRPr="007C3060" w:rsidRDefault="000A2A2B" w:rsidP="007C3060"/>
        </w:tc>
      </w:tr>
      <w:tr w:rsidR="004B729E" w:rsidRPr="007C3060" w14:paraId="6D389664"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C70721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0D4E2FA"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52143A68" w14:textId="77777777" w:rsidR="000A2A2B" w:rsidRPr="007C3060" w:rsidRDefault="000A2A2B" w:rsidP="007C3060">
            <w:r w:rsidRPr="007C3060">
              <w:t xml:space="preserve">Strategiske forskningsprioriteringer,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6D117A5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28FAEFA" w14:textId="77777777" w:rsidR="000A2A2B" w:rsidRPr="007C3060" w:rsidRDefault="000A2A2B" w:rsidP="007C3060">
            <w:r w:rsidRPr="007C3060">
              <w:t>10 000 000</w:t>
            </w:r>
          </w:p>
        </w:tc>
      </w:tr>
      <w:tr w:rsidR="004B729E" w:rsidRPr="007C3060" w14:paraId="5C941F2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EEE77E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D7AE99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F60AF7B" w14:textId="77777777" w:rsidR="000A2A2B" w:rsidRPr="007C3060" w:rsidRDefault="000A2A2B" w:rsidP="007C3060">
            <w:r w:rsidRPr="007C3060">
              <w:t>fra kr 2 950 898 000 til kr 2 960 898 000</w:t>
            </w:r>
          </w:p>
        </w:tc>
        <w:tc>
          <w:tcPr>
            <w:tcW w:w="1717" w:type="dxa"/>
            <w:tcBorders>
              <w:top w:val="nil"/>
              <w:left w:val="nil"/>
              <w:bottom w:val="nil"/>
              <w:right w:val="nil"/>
            </w:tcBorders>
            <w:tcMar>
              <w:top w:w="128" w:type="dxa"/>
              <w:left w:w="43" w:type="dxa"/>
              <w:bottom w:w="43" w:type="dxa"/>
              <w:right w:w="43" w:type="dxa"/>
            </w:tcMar>
            <w:vAlign w:val="bottom"/>
          </w:tcPr>
          <w:p w14:paraId="7B38E92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1559DD0" w14:textId="77777777" w:rsidR="000A2A2B" w:rsidRPr="007C3060" w:rsidRDefault="000A2A2B" w:rsidP="007C3060"/>
        </w:tc>
      </w:tr>
      <w:tr w:rsidR="004B729E" w:rsidRPr="007C3060" w14:paraId="43A742E7"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97D3A1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42B8E42"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65FD2908" w14:textId="77777777" w:rsidR="000A2A2B" w:rsidRPr="007C3060" w:rsidRDefault="000A2A2B" w:rsidP="007C3060">
            <w:r w:rsidRPr="007C3060">
              <w:t xml:space="preserve">Langsiktig, grunnleggende forskning,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3C1BF47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77D7968" w14:textId="77777777" w:rsidR="000A2A2B" w:rsidRPr="007C3060" w:rsidRDefault="000A2A2B" w:rsidP="007C3060">
            <w:r w:rsidRPr="007C3060">
              <w:t>22 200 000</w:t>
            </w:r>
          </w:p>
        </w:tc>
      </w:tr>
      <w:tr w:rsidR="004B729E" w:rsidRPr="007C3060" w14:paraId="277F42B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2BE73A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F66CDE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5F66F78" w14:textId="77777777" w:rsidR="000A2A2B" w:rsidRPr="007C3060" w:rsidRDefault="000A2A2B" w:rsidP="007C3060">
            <w:r w:rsidRPr="007C3060">
              <w:t>fra kr 1 663 129 000 til kr 1 640 929 000</w:t>
            </w:r>
          </w:p>
        </w:tc>
        <w:tc>
          <w:tcPr>
            <w:tcW w:w="1717" w:type="dxa"/>
            <w:tcBorders>
              <w:top w:val="nil"/>
              <w:left w:val="nil"/>
              <w:bottom w:val="nil"/>
              <w:right w:val="nil"/>
            </w:tcBorders>
            <w:tcMar>
              <w:top w:w="128" w:type="dxa"/>
              <w:left w:w="43" w:type="dxa"/>
              <w:bottom w:w="43" w:type="dxa"/>
              <w:right w:w="43" w:type="dxa"/>
            </w:tcMar>
            <w:vAlign w:val="bottom"/>
          </w:tcPr>
          <w:p w14:paraId="5A1EF07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FFBBC9A" w14:textId="77777777" w:rsidR="000A2A2B" w:rsidRPr="007C3060" w:rsidRDefault="000A2A2B" w:rsidP="007C3060"/>
        </w:tc>
      </w:tr>
      <w:tr w:rsidR="004B729E" w:rsidRPr="007C3060" w14:paraId="5F11D51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82EB673" w14:textId="77777777" w:rsidR="000A2A2B" w:rsidRPr="007C3060" w:rsidRDefault="000A2A2B" w:rsidP="007C3060">
            <w:r w:rsidRPr="007C3060">
              <w:t>288</w:t>
            </w:r>
          </w:p>
        </w:tc>
        <w:tc>
          <w:tcPr>
            <w:tcW w:w="992" w:type="dxa"/>
            <w:tcBorders>
              <w:top w:val="nil"/>
              <w:left w:val="nil"/>
              <w:bottom w:val="nil"/>
              <w:right w:val="nil"/>
            </w:tcBorders>
            <w:tcMar>
              <w:top w:w="128" w:type="dxa"/>
              <w:left w:w="43" w:type="dxa"/>
              <w:bottom w:w="43" w:type="dxa"/>
              <w:right w:w="123" w:type="dxa"/>
            </w:tcMar>
          </w:tcPr>
          <w:p w14:paraId="131A496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27F806F" w14:textId="77777777" w:rsidR="000A2A2B" w:rsidRPr="007C3060" w:rsidRDefault="000A2A2B" w:rsidP="007C3060">
            <w:r w:rsidRPr="007C3060">
              <w:t>Internasjonale samarbeidstiltak:</w:t>
            </w:r>
          </w:p>
        </w:tc>
        <w:tc>
          <w:tcPr>
            <w:tcW w:w="1717" w:type="dxa"/>
            <w:tcBorders>
              <w:top w:val="nil"/>
              <w:left w:val="nil"/>
              <w:bottom w:val="nil"/>
              <w:right w:val="nil"/>
            </w:tcBorders>
            <w:tcMar>
              <w:top w:w="128" w:type="dxa"/>
              <w:left w:w="43" w:type="dxa"/>
              <w:bottom w:w="43" w:type="dxa"/>
              <w:right w:w="43" w:type="dxa"/>
            </w:tcMar>
            <w:vAlign w:val="bottom"/>
          </w:tcPr>
          <w:p w14:paraId="206F181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FCD8B0" w14:textId="77777777" w:rsidR="000A2A2B" w:rsidRPr="007C3060" w:rsidRDefault="000A2A2B" w:rsidP="007C3060"/>
        </w:tc>
      </w:tr>
      <w:tr w:rsidR="004B729E" w:rsidRPr="007C3060" w14:paraId="26D8E73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A27D40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4FEDF9F"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70D5BBFD" w14:textId="77777777" w:rsidR="000A2A2B" w:rsidRPr="007C3060" w:rsidRDefault="000A2A2B" w:rsidP="007C3060">
            <w:r w:rsidRPr="007C3060">
              <w:t>Spesielle 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5299C20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FB5A71D" w14:textId="77777777" w:rsidR="000A2A2B" w:rsidRPr="007C3060" w:rsidRDefault="000A2A2B" w:rsidP="007C3060">
            <w:r w:rsidRPr="007C3060">
              <w:t>3 500 000</w:t>
            </w:r>
          </w:p>
        </w:tc>
      </w:tr>
      <w:tr w:rsidR="004B729E" w:rsidRPr="007C3060" w14:paraId="3A2980A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A2A0CC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A382CA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8166CD3" w14:textId="77777777" w:rsidR="000A2A2B" w:rsidRPr="007C3060" w:rsidRDefault="000A2A2B" w:rsidP="007C3060">
            <w:r w:rsidRPr="007C3060">
              <w:t>fra kr 14 121 000 til kr 17 621 000</w:t>
            </w:r>
          </w:p>
        </w:tc>
        <w:tc>
          <w:tcPr>
            <w:tcW w:w="1717" w:type="dxa"/>
            <w:tcBorders>
              <w:top w:val="nil"/>
              <w:left w:val="nil"/>
              <w:bottom w:val="nil"/>
              <w:right w:val="nil"/>
            </w:tcBorders>
            <w:tcMar>
              <w:top w:w="128" w:type="dxa"/>
              <w:left w:w="43" w:type="dxa"/>
              <w:bottom w:w="43" w:type="dxa"/>
              <w:right w:w="43" w:type="dxa"/>
            </w:tcMar>
            <w:vAlign w:val="bottom"/>
          </w:tcPr>
          <w:p w14:paraId="5F597FD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789525D" w14:textId="77777777" w:rsidR="000A2A2B" w:rsidRPr="007C3060" w:rsidRDefault="000A2A2B" w:rsidP="007C3060"/>
        </w:tc>
      </w:tr>
      <w:tr w:rsidR="004B729E" w:rsidRPr="007C3060" w14:paraId="1EB8F5B0"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539F38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B3FEF28"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5EC6DA6C" w14:textId="77777777" w:rsidR="000A2A2B" w:rsidRPr="007C3060" w:rsidRDefault="000A2A2B" w:rsidP="007C3060">
            <w:r w:rsidRPr="007C3060">
              <w:t xml:space="preserve">Internasjonale grunnforskningsorganisasjoner, </w:t>
            </w:r>
            <w:r w:rsidRPr="007C3060">
              <w:br/>
              <w:t>forhøyes med</w:t>
            </w:r>
          </w:p>
        </w:tc>
        <w:tc>
          <w:tcPr>
            <w:tcW w:w="1717" w:type="dxa"/>
            <w:tcBorders>
              <w:top w:val="nil"/>
              <w:left w:val="nil"/>
              <w:bottom w:val="nil"/>
              <w:right w:val="nil"/>
            </w:tcBorders>
            <w:tcMar>
              <w:top w:w="128" w:type="dxa"/>
              <w:left w:w="43" w:type="dxa"/>
              <w:bottom w:w="43" w:type="dxa"/>
              <w:right w:w="43" w:type="dxa"/>
            </w:tcMar>
            <w:vAlign w:val="bottom"/>
          </w:tcPr>
          <w:p w14:paraId="0DB65C0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7F5E0AC" w14:textId="77777777" w:rsidR="000A2A2B" w:rsidRPr="007C3060" w:rsidRDefault="000A2A2B" w:rsidP="007C3060">
            <w:r w:rsidRPr="007C3060">
              <w:t>23 257 000</w:t>
            </w:r>
          </w:p>
        </w:tc>
      </w:tr>
      <w:tr w:rsidR="004B729E" w:rsidRPr="007C3060" w14:paraId="05C3EA6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8B6143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C31589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C1F986E" w14:textId="77777777" w:rsidR="000A2A2B" w:rsidRPr="007C3060" w:rsidRDefault="000A2A2B" w:rsidP="007C3060">
            <w:r w:rsidRPr="007C3060">
              <w:t>fra kr 426 307 000 til kr 449 564 000</w:t>
            </w:r>
          </w:p>
        </w:tc>
        <w:tc>
          <w:tcPr>
            <w:tcW w:w="1717" w:type="dxa"/>
            <w:tcBorders>
              <w:top w:val="nil"/>
              <w:left w:val="nil"/>
              <w:bottom w:val="nil"/>
              <w:right w:val="nil"/>
            </w:tcBorders>
            <w:tcMar>
              <w:top w:w="128" w:type="dxa"/>
              <w:left w:w="43" w:type="dxa"/>
              <w:bottom w:w="43" w:type="dxa"/>
              <w:right w:w="43" w:type="dxa"/>
            </w:tcMar>
            <w:vAlign w:val="bottom"/>
          </w:tcPr>
          <w:p w14:paraId="7327810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D8F1921" w14:textId="77777777" w:rsidR="000A2A2B" w:rsidRPr="007C3060" w:rsidRDefault="000A2A2B" w:rsidP="007C3060"/>
        </w:tc>
      </w:tr>
      <w:tr w:rsidR="004B729E" w:rsidRPr="007C3060" w14:paraId="2B2450B9"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804E62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EFD8954"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5F8A59B1" w14:textId="089F564B" w:rsidR="000A2A2B" w:rsidRPr="007C3060" w:rsidRDefault="000A2A2B" w:rsidP="007C3060">
            <w:r w:rsidRPr="007C3060">
              <w:t>EUs rammeprogram for forskning og innovasjon, forhøyes med</w:t>
            </w:r>
          </w:p>
        </w:tc>
        <w:tc>
          <w:tcPr>
            <w:tcW w:w="1717" w:type="dxa"/>
            <w:tcBorders>
              <w:top w:val="nil"/>
              <w:left w:val="nil"/>
              <w:bottom w:val="nil"/>
              <w:right w:val="nil"/>
            </w:tcBorders>
            <w:tcMar>
              <w:top w:w="128" w:type="dxa"/>
              <w:left w:w="43" w:type="dxa"/>
              <w:bottom w:w="43" w:type="dxa"/>
              <w:right w:w="43" w:type="dxa"/>
            </w:tcMar>
            <w:vAlign w:val="bottom"/>
          </w:tcPr>
          <w:p w14:paraId="599FD70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4083D4B" w14:textId="77777777" w:rsidR="000A2A2B" w:rsidRPr="007C3060" w:rsidRDefault="000A2A2B" w:rsidP="007C3060">
            <w:r w:rsidRPr="007C3060">
              <w:t>22 705 000</w:t>
            </w:r>
          </w:p>
        </w:tc>
      </w:tr>
      <w:tr w:rsidR="004B729E" w:rsidRPr="007C3060" w14:paraId="65DBCCA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B3980F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814EFE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643390B" w14:textId="77777777" w:rsidR="000A2A2B" w:rsidRPr="007C3060" w:rsidRDefault="000A2A2B" w:rsidP="007C3060">
            <w:r w:rsidRPr="007C3060">
              <w:t>fra kr 3 450 703 000 til kr 3 473 408 000</w:t>
            </w:r>
          </w:p>
        </w:tc>
        <w:tc>
          <w:tcPr>
            <w:tcW w:w="1717" w:type="dxa"/>
            <w:tcBorders>
              <w:top w:val="nil"/>
              <w:left w:val="nil"/>
              <w:bottom w:val="nil"/>
              <w:right w:val="nil"/>
            </w:tcBorders>
            <w:tcMar>
              <w:top w:w="128" w:type="dxa"/>
              <w:left w:w="43" w:type="dxa"/>
              <w:bottom w:w="43" w:type="dxa"/>
              <w:right w:w="43" w:type="dxa"/>
            </w:tcMar>
            <w:vAlign w:val="bottom"/>
          </w:tcPr>
          <w:p w14:paraId="4BF03E9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A9D769A" w14:textId="77777777" w:rsidR="000A2A2B" w:rsidRPr="007C3060" w:rsidRDefault="000A2A2B" w:rsidP="007C3060"/>
        </w:tc>
      </w:tr>
      <w:tr w:rsidR="004B729E" w:rsidRPr="007C3060" w14:paraId="044340B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C482E2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81EE961" w14:textId="77777777" w:rsidR="000A2A2B" w:rsidRPr="007C3060" w:rsidRDefault="000A2A2B" w:rsidP="007C3060">
            <w:r w:rsidRPr="007C3060">
              <w:t>74</w:t>
            </w:r>
          </w:p>
        </w:tc>
        <w:tc>
          <w:tcPr>
            <w:tcW w:w="4819" w:type="dxa"/>
            <w:tcBorders>
              <w:top w:val="nil"/>
              <w:left w:val="nil"/>
              <w:bottom w:val="nil"/>
              <w:right w:val="nil"/>
            </w:tcBorders>
            <w:tcMar>
              <w:top w:w="128" w:type="dxa"/>
              <w:left w:w="43" w:type="dxa"/>
              <w:bottom w:w="43" w:type="dxa"/>
              <w:right w:w="43" w:type="dxa"/>
            </w:tcMar>
            <w:vAlign w:val="bottom"/>
          </w:tcPr>
          <w:p w14:paraId="14EC00F6" w14:textId="63BE2547" w:rsidR="000A2A2B" w:rsidRPr="007C3060" w:rsidRDefault="000A2A2B" w:rsidP="007C3060">
            <w:r w:rsidRPr="007C3060">
              <w:t>EUs program for utdanning, opplæring, ungdom og idrett, forhøyes med</w:t>
            </w:r>
          </w:p>
        </w:tc>
        <w:tc>
          <w:tcPr>
            <w:tcW w:w="1717" w:type="dxa"/>
            <w:tcBorders>
              <w:top w:val="nil"/>
              <w:left w:val="nil"/>
              <w:bottom w:val="nil"/>
              <w:right w:val="nil"/>
            </w:tcBorders>
            <w:tcMar>
              <w:top w:w="128" w:type="dxa"/>
              <w:left w:w="43" w:type="dxa"/>
              <w:bottom w:w="43" w:type="dxa"/>
              <w:right w:w="43" w:type="dxa"/>
            </w:tcMar>
            <w:vAlign w:val="bottom"/>
          </w:tcPr>
          <w:p w14:paraId="3CEDA53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3E85CF8" w14:textId="77777777" w:rsidR="000A2A2B" w:rsidRPr="007C3060" w:rsidRDefault="000A2A2B" w:rsidP="007C3060">
            <w:r w:rsidRPr="007C3060">
              <w:t>70 144 000</w:t>
            </w:r>
          </w:p>
        </w:tc>
      </w:tr>
      <w:tr w:rsidR="004B729E" w:rsidRPr="007C3060" w14:paraId="1778252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31706F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5734B6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320C386" w14:textId="77777777" w:rsidR="000A2A2B" w:rsidRPr="007C3060" w:rsidRDefault="000A2A2B" w:rsidP="007C3060">
            <w:r w:rsidRPr="007C3060">
              <w:t>fra kr 1 211 287 000 til kr 1 281 431 000</w:t>
            </w:r>
          </w:p>
        </w:tc>
        <w:tc>
          <w:tcPr>
            <w:tcW w:w="1717" w:type="dxa"/>
            <w:tcBorders>
              <w:top w:val="nil"/>
              <w:left w:val="nil"/>
              <w:bottom w:val="nil"/>
              <w:right w:val="nil"/>
            </w:tcBorders>
            <w:tcMar>
              <w:top w:w="128" w:type="dxa"/>
              <w:left w:w="43" w:type="dxa"/>
              <w:bottom w:w="43" w:type="dxa"/>
              <w:right w:w="43" w:type="dxa"/>
            </w:tcMar>
            <w:vAlign w:val="bottom"/>
          </w:tcPr>
          <w:p w14:paraId="4AF9D75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DC77248" w14:textId="77777777" w:rsidR="000A2A2B" w:rsidRPr="007C3060" w:rsidRDefault="000A2A2B" w:rsidP="007C3060"/>
        </w:tc>
      </w:tr>
      <w:tr w:rsidR="004B729E" w:rsidRPr="007C3060" w14:paraId="0051902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735F95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CAB9D4D"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0EBE8863" w14:textId="77777777" w:rsidR="000A2A2B" w:rsidRPr="007C3060" w:rsidRDefault="000A2A2B" w:rsidP="007C3060">
            <w:r w:rsidRPr="007C3060">
              <w:t>UNESCO-kontingent, forhøyes med</w:t>
            </w:r>
          </w:p>
        </w:tc>
        <w:tc>
          <w:tcPr>
            <w:tcW w:w="1717" w:type="dxa"/>
            <w:tcBorders>
              <w:top w:val="nil"/>
              <w:left w:val="nil"/>
              <w:bottom w:val="nil"/>
              <w:right w:val="nil"/>
            </w:tcBorders>
            <w:tcMar>
              <w:top w:w="128" w:type="dxa"/>
              <w:left w:w="43" w:type="dxa"/>
              <w:bottom w:w="43" w:type="dxa"/>
              <w:right w:w="43" w:type="dxa"/>
            </w:tcMar>
            <w:vAlign w:val="bottom"/>
          </w:tcPr>
          <w:p w14:paraId="3E8309B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418A3D2" w14:textId="77777777" w:rsidR="000A2A2B" w:rsidRPr="007C3060" w:rsidRDefault="000A2A2B" w:rsidP="007C3060">
            <w:r w:rsidRPr="007C3060">
              <w:t>399 000</w:t>
            </w:r>
          </w:p>
        </w:tc>
      </w:tr>
      <w:tr w:rsidR="004B729E" w:rsidRPr="007C3060" w14:paraId="2833F1E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414BC8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A90768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31F32B1" w14:textId="77777777" w:rsidR="000A2A2B" w:rsidRPr="007C3060" w:rsidRDefault="000A2A2B" w:rsidP="007C3060">
            <w:r w:rsidRPr="007C3060">
              <w:t>fra kr 24 365 000 til kr 24 764 000</w:t>
            </w:r>
          </w:p>
        </w:tc>
        <w:tc>
          <w:tcPr>
            <w:tcW w:w="1717" w:type="dxa"/>
            <w:tcBorders>
              <w:top w:val="nil"/>
              <w:left w:val="nil"/>
              <w:bottom w:val="nil"/>
              <w:right w:val="nil"/>
            </w:tcBorders>
            <w:tcMar>
              <w:top w:w="128" w:type="dxa"/>
              <w:left w:w="43" w:type="dxa"/>
              <w:bottom w:w="43" w:type="dxa"/>
              <w:right w:w="43" w:type="dxa"/>
            </w:tcMar>
            <w:vAlign w:val="bottom"/>
          </w:tcPr>
          <w:p w14:paraId="6EE8857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95620C4" w14:textId="77777777" w:rsidR="000A2A2B" w:rsidRPr="007C3060" w:rsidRDefault="000A2A2B" w:rsidP="007C3060"/>
        </w:tc>
      </w:tr>
      <w:tr w:rsidR="004B729E" w:rsidRPr="007C3060" w14:paraId="6228ADC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BD4A1BB" w14:textId="77777777" w:rsidR="000A2A2B" w:rsidRPr="007C3060" w:rsidRDefault="000A2A2B" w:rsidP="007C3060">
            <w:r w:rsidRPr="007C3060">
              <w:t>315</w:t>
            </w:r>
          </w:p>
        </w:tc>
        <w:tc>
          <w:tcPr>
            <w:tcW w:w="992" w:type="dxa"/>
            <w:tcBorders>
              <w:top w:val="nil"/>
              <w:left w:val="nil"/>
              <w:bottom w:val="nil"/>
              <w:right w:val="nil"/>
            </w:tcBorders>
            <w:tcMar>
              <w:top w:w="128" w:type="dxa"/>
              <w:left w:w="43" w:type="dxa"/>
              <w:bottom w:w="43" w:type="dxa"/>
              <w:right w:w="123" w:type="dxa"/>
            </w:tcMar>
          </w:tcPr>
          <w:p w14:paraId="574D693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FCA1435" w14:textId="77777777" w:rsidR="000A2A2B" w:rsidRPr="007C3060" w:rsidRDefault="000A2A2B" w:rsidP="007C3060">
            <w:r w:rsidRPr="007C3060">
              <w:t>Frivillighetsformål:</w:t>
            </w:r>
          </w:p>
        </w:tc>
        <w:tc>
          <w:tcPr>
            <w:tcW w:w="1717" w:type="dxa"/>
            <w:tcBorders>
              <w:top w:val="nil"/>
              <w:left w:val="nil"/>
              <w:bottom w:val="nil"/>
              <w:right w:val="nil"/>
            </w:tcBorders>
            <w:tcMar>
              <w:top w:w="128" w:type="dxa"/>
              <w:left w:w="43" w:type="dxa"/>
              <w:bottom w:w="43" w:type="dxa"/>
              <w:right w:w="43" w:type="dxa"/>
            </w:tcMar>
            <w:vAlign w:val="bottom"/>
          </w:tcPr>
          <w:p w14:paraId="16761C0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C1F2704" w14:textId="77777777" w:rsidR="000A2A2B" w:rsidRPr="007C3060" w:rsidRDefault="000A2A2B" w:rsidP="007C3060"/>
        </w:tc>
      </w:tr>
      <w:tr w:rsidR="004B729E" w:rsidRPr="007C3060" w14:paraId="4925CD9E"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DA07A2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07AD421"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2328C50A" w14:textId="10A9112D" w:rsidR="000A2A2B" w:rsidRPr="007C3060" w:rsidRDefault="000A2A2B" w:rsidP="007C3060">
            <w:r w:rsidRPr="007C3060">
              <w:t>Strømstøtteordning for frivillige organisasjoner, nedsettes med</w:t>
            </w:r>
          </w:p>
        </w:tc>
        <w:tc>
          <w:tcPr>
            <w:tcW w:w="1717" w:type="dxa"/>
            <w:tcBorders>
              <w:top w:val="nil"/>
              <w:left w:val="nil"/>
              <w:bottom w:val="nil"/>
              <w:right w:val="nil"/>
            </w:tcBorders>
            <w:tcMar>
              <w:top w:w="128" w:type="dxa"/>
              <w:left w:w="43" w:type="dxa"/>
              <w:bottom w:w="43" w:type="dxa"/>
              <w:right w:w="43" w:type="dxa"/>
            </w:tcMar>
            <w:vAlign w:val="bottom"/>
          </w:tcPr>
          <w:p w14:paraId="6E1BDC4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DDFAE12" w14:textId="77777777" w:rsidR="000A2A2B" w:rsidRPr="007C3060" w:rsidRDefault="000A2A2B" w:rsidP="007C3060">
            <w:r w:rsidRPr="007C3060">
              <w:t>40 200 000</w:t>
            </w:r>
          </w:p>
        </w:tc>
      </w:tr>
      <w:tr w:rsidR="004B729E" w:rsidRPr="007C3060" w14:paraId="65024AC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A4E018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D9CD3A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46FCDE8" w14:textId="77777777" w:rsidR="000A2A2B" w:rsidRPr="007C3060" w:rsidRDefault="000A2A2B" w:rsidP="007C3060">
            <w:r w:rsidRPr="007C3060">
              <w:t>fra kr 58 226 000 til kr 18 026 000</w:t>
            </w:r>
          </w:p>
        </w:tc>
        <w:tc>
          <w:tcPr>
            <w:tcW w:w="1717" w:type="dxa"/>
            <w:tcBorders>
              <w:top w:val="nil"/>
              <w:left w:val="nil"/>
              <w:bottom w:val="nil"/>
              <w:right w:val="nil"/>
            </w:tcBorders>
            <w:tcMar>
              <w:top w:w="128" w:type="dxa"/>
              <w:left w:w="43" w:type="dxa"/>
              <w:bottom w:w="43" w:type="dxa"/>
              <w:right w:w="43" w:type="dxa"/>
            </w:tcMar>
            <w:vAlign w:val="bottom"/>
          </w:tcPr>
          <w:p w14:paraId="003B383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AE958D8" w14:textId="77777777" w:rsidR="000A2A2B" w:rsidRPr="007C3060" w:rsidRDefault="000A2A2B" w:rsidP="007C3060"/>
        </w:tc>
      </w:tr>
      <w:tr w:rsidR="004B729E" w:rsidRPr="007C3060" w14:paraId="61A4148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3FAD91B" w14:textId="77777777" w:rsidR="000A2A2B" w:rsidRPr="007C3060" w:rsidRDefault="000A2A2B" w:rsidP="007C3060">
            <w:r w:rsidRPr="007C3060">
              <w:t>320</w:t>
            </w:r>
          </w:p>
        </w:tc>
        <w:tc>
          <w:tcPr>
            <w:tcW w:w="992" w:type="dxa"/>
            <w:tcBorders>
              <w:top w:val="nil"/>
              <w:left w:val="nil"/>
              <w:bottom w:val="nil"/>
              <w:right w:val="nil"/>
            </w:tcBorders>
            <w:tcMar>
              <w:top w:w="128" w:type="dxa"/>
              <w:left w:w="43" w:type="dxa"/>
              <w:bottom w:w="43" w:type="dxa"/>
              <w:right w:w="123" w:type="dxa"/>
            </w:tcMar>
          </w:tcPr>
          <w:p w14:paraId="6967B87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B1CE7BA" w14:textId="77777777" w:rsidR="000A2A2B" w:rsidRPr="007C3060" w:rsidRDefault="000A2A2B" w:rsidP="007C3060">
            <w:r w:rsidRPr="007C3060">
              <w:t>Kulturdirektoratet og Kulturrådet m.m.:</w:t>
            </w:r>
          </w:p>
        </w:tc>
        <w:tc>
          <w:tcPr>
            <w:tcW w:w="1717" w:type="dxa"/>
            <w:tcBorders>
              <w:top w:val="nil"/>
              <w:left w:val="nil"/>
              <w:bottom w:val="nil"/>
              <w:right w:val="nil"/>
            </w:tcBorders>
            <w:tcMar>
              <w:top w:w="128" w:type="dxa"/>
              <w:left w:w="43" w:type="dxa"/>
              <w:bottom w:w="43" w:type="dxa"/>
              <w:right w:w="43" w:type="dxa"/>
            </w:tcMar>
            <w:vAlign w:val="bottom"/>
          </w:tcPr>
          <w:p w14:paraId="2EF2A86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E327AF7" w14:textId="77777777" w:rsidR="000A2A2B" w:rsidRPr="007C3060" w:rsidRDefault="000A2A2B" w:rsidP="007C3060"/>
        </w:tc>
      </w:tr>
      <w:tr w:rsidR="004B729E" w:rsidRPr="007C3060" w14:paraId="1A1955D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EB4146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D7F5DFB"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6A452040" w14:textId="77777777" w:rsidR="000A2A2B" w:rsidRPr="007C3060" w:rsidRDefault="000A2A2B" w:rsidP="007C3060">
            <w:r w:rsidRPr="007C3060">
              <w:t>Statsstipend, nedsettes med</w:t>
            </w:r>
          </w:p>
        </w:tc>
        <w:tc>
          <w:tcPr>
            <w:tcW w:w="1717" w:type="dxa"/>
            <w:tcBorders>
              <w:top w:val="nil"/>
              <w:left w:val="nil"/>
              <w:bottom w:val="nil"/>
              <w:right w:val="nil"/>
            </w:tcBorders>
            <w:tcMar>
              <w:top w:w="128" w:type="dxa"/>
              <w:left w:w="43" w:type="dxa"/>
              <w:bottom w:w="43" w:type="dxa"/>
              <w:right w:w="43" w:type="dxa"/>
            </w:tcMar>
            <w:vAlign w:val="bottom"/>
          </w:tcPr>
          <w:p w14:paraId="78F32EA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452DDF2" w14:textId="77777777" w:rsidR="000A2A2B" w:rsidRPr="007C3060" w:rsidRDefault="000A2A2B" w:rsidP="007C3060">
            <w:r w:rsidRPr="007C3060">
              <w:t>1 750 000</w:t>
            </w:r>
          </w:p>
        </w:tc>
      </w:tr>
      <w:tr w:rsidR="004B729E" w:rsidRPr="007C3060" w14:paraId="61BE3E2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8FE290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9783C1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4A7378C" w14:textId="77777777" w:rsidR="000A2A2B" w:rsidRPr="007C3060" w:rsidRDefault="000A2A2B" w:rsidP="007C3060">
            <w:r w:rsidRPr="007C3060">
              <w:t>fra kr 7 250 000 til kr 5 500 000</w:t>
            </w:r>
          </w:p>
        </w:tc>
        <w:tc>
          <w:tcPr>
            <w:tcW w:w="1717" w:type="dxa"/>
            <w:tcBorders>
              <w:top w:val="nil"/>
              <w:left w:val="nil"/>
              <w:bottom w:val="nil"/>
              <w:right w:val="nil"/>
            </w:tcBorders>
            <w:tcMar>
              <w:top w:w="128" w:type="dxa"/>
              <w:left w:w="43" w:type="dxa"/>
              <w:bottom w:w="43" w:type="dxa"/>
              <w:right w:w="43" w:type="dxa"/>
            </w:tcMar>
            <w:vAlign w:val="bottom"/>
          </w:tcPr>
          <w:p w14:paraId="1E0AB7E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C3CC0D4" w14:textId="77777777" w:rsidR="000A2A2B" w:rsidRPr="007C3060" w:rsidRDefault="000A2A2B" w:rsidP="007C3060"/>
        </w:tc>
      </w:tr>
      <w:tr w:rsidR="004B729E" w:rsidRPr="007C3060" w14:paraId="10EBF84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A64819D" w14:textId="77777777" w:rsidR="000A2A2B" w:rsidRPr="007C3060" w:rsidRDefault="000A2A2B" w:rsidP="007C3060">
            <w:r w:rsidRPr="007C3060">
              <w:t>323</w:t>
            </w:r>
          </w:p>
        </w:tc>
        <w:tc>
          <w:tcPr>
            <w:tcW w:w="992" w:type="dxa"/>
            <w:tcBorders>
              <w:top w:val="nil"/>
              <w:left w:val="nil"/>
              <w:bottom w:val="nil"/>
              <w:right w:val="nil"/>
            </w:tcBorders>
            <w:tcMar>
              <w:top w:w="128" w:type="dxa"/>
              <w:left w:w="43" w:type="dxa"/>
              <w:bottom w:w="43" w:type="dxa"/>
              <w:right w:w="123" w:type="dxa"/>
            </w:tcMar>
          </w:tcPr>
          <w:p w14:paraId="5CCD5D7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D889579" w14:textId="77777777" w:rsidR="000A2A2B" w:rsidRPr="007C3060" w:rsidRDefault="000A2A2B" w:rsidP="007C3060">
            <w:r w:rsidRPr="007C3060">
              <w:t>Musikk og scenekunst:</w:t>
            </w:r>
          </w:p>
        </w:tc>
        <w:tc>
          <w:tcPr>
            <w:tcW w:w="1717" w:type="dxa"/>
            <w:tcBorders>
              <w:top w:val="nil"/>
              <w:left w:val="nil"/>
              <w:bottom w:val="nil"/>
              <w:right w:val="nil"/>
            </w:tcBorders>
            <w:tcMar>
              <w:top w:w="128" w:type="dxa"/>
              <w:left w:w="43" w:type="dxa"/>
              <w:bottom w:w="43" w:type="dxa"/>
              <w:right w:w="43" w:type="dxa"/>
            </w:tcMar>
            <w:vAlign w:val="bottom"/>
          </w:tcPr>
          <w:p w14:paraId="0BDB0F9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DF2A68A" w14:textId="77777777" w:rsidR="000A2A2B" w:rsidRPr="007C3060" w:rsidRDefault="000A2A2B" w:rsidP="007C3060"/>
        </w:tc>
      </w:tr>
      <w:tr w:rsidR="004B729E" w:rsidRPr="007C3060" w14:paraId="0298473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7A107F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7BBB42D"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46FBD839" w14:textId="77777777" w:rsidR="000A2A2B" w:rsidRPr="007C3060" w:rsidRDefault="000A2A2B" w:rsidP="007C3060">
            <w:r w:rsidRPr="007C3060">
              <w:t>Musikk- og scenekunstinstitusjoner, forhøyes med</w:t>
            </w:r>
          </w:p>
        </w:tc>
        <w:tc>
          <w:tcPr>
            <w:tcW w:w="1717" w:type="dxa"/>
            <w:tcBorders>
              <w:top w:val="nil"/>
              <w:left w:val="nil"/>
              <w:bottom w:val="nil"/>
              <w:right w:val="nil"/>
            </w:tcBorders>
            <w:tcMar>
              <w:top w:w="128" w:type="dxa"/>
              <w:left w:w="43" w:type="dxa"/>
              <w:bottom w:w="43" w:type="dxa"/>
              <w:right w:w="43" w:type="dxa"/>
            </w:tcMar>
            <w:vAlign w:val="bottom"/>
          </w:tcPr>
          <w:p w14:paraId="46A2CD3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EA6730A" w14:textId="77777777" w:rsidR="000A2A2B" w:rsidRPr="007C3060" w:rsidRDefault="000A2A2B" w:rsidP="007C3060">
            <w:r w:rsidRPr="007C3060">
              <w:t>1 000 000</w:t>
            </w:r>
          </w:p>
        </w:tc>
      </w:tr>
      <w:tr w:rsidR="004B729E" w:rsidRPr="007C3060" w14:paraId="5759C25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6F0B0C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ABA3A5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55D75CC" w14:textId="77777777" w:rsidR="000A2A2B" w:rsidRPr="007C3060" w:rsidRDefault="000A2A2B" w:rsidP="007C3060">
            <w:r w:rsidRPr="007C3060">
              <w:t>fra kr 3 045 020 000 til kr 3 046 020 000</w:t>
            </w:r>
          </w:p>
        </w:tc>
        <w:tc>
          <w:tcPr>
            <w:tcW w:w="1717" w:type="dxa"/>
            <w:tcBorders>
              <w:top w:val="nil"/>
              <w:left w:val="nil"/>
              <w:bottom w:val="nil"/>
              <w:right w:val="nil"/>
            </w:tcBorders>
            <w:tcMar>
              <w:top w:w="128" w:type="dxa"/>
              <w:left w:w="43" w:type="dxa"/>
              <w:bottom w:w="43" w:type="dxa"/>
              <w:right w:w="43" w:type="dxa"/>
            </w:tcMar>
            <w:vAlign w:val="bottom"/>
          </w:tcPr>
          <w:p w14:paraId="7D7CEA8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C3EFC17" w14:textId="77777777" w:rsidR="000A2A2B" w:rsidRPr="007C3060" w:rsidRDefault="000A2A2B" w:rsidP="007C3060"/>
        </w:tc>
      </w:tr>
      <w:tr w:rsidR="004B729E" w:rsidRPr="007C3060" w14:paraId="7990AF0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9806D9A" w14:textId="77777777" w:rsidR="000A2A2B" w:rsidRPr="007C3060" w:rsidRDefault="000A2A2B" w:rsidP="007C3060">
            <w:r w:rsidRPr="007C3060">
              <w:t>326</w:t>
            </w:r>
          </w:p>
        </w:tc>
        <w:tc>
          <w:tcPr>
            <w:tcW w:w="992" w:type="dxa"/>
            <w:tcBorders>
              <w:top w:val="nil"/>
              <w:left w:val="nil"/>
              <w:bottom w:val="nil"/>
              <w:right w:val="nil"/>
            </w:tcBorders>
            <w:tcMar>
              <w:top w:w="128" w:type="dxa"/>
              <w:left w:w="43" w:type="dxa"/>
              <w:bottom w:w="43" w:type="dxa"/>
              <w:right w:w="123" w:type="dxa"/>
            </w:tcMar>
          </w:tcPr>
          <w:p w14:paraId="3EF96E0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200095F" w14:textId="77777777" w:rsidR="000A2A2B" w:rsidRPr="007C3060" w:rsidRDefault="000A2A2B" w:rsidP="007C3060">
            <w:r w:rsidRPr="007C3060">
              <w:t>Språk- og bibliotekformål:</w:t>
            </w:r>
          </w:p>
        </w:tc>
        <w:tc>
          <w:tcPr>
            <w:tcW w:w="1717" w:type="dxa"/>
            <w:tcBorders>
              <w:top w:val="nil"/>
              <w:left w:val="nil"/>
              <w:bottom w:val="nil"/>
              <w:right w:val="nil"/>
            </w:tcBorders>
            <w:tcMar>
              <w:top w:w="128" w:type="dxa"/>
              <w:left w:w="43" w:type="dxa"/>
              <w:bottom w:w="43" w:type="dxa"/>
              <w:right w:w="43" w:type="dxa"/>
            </w:tcMar>
            <w:vAlign w:val="bottom"/>
          </w:tcPr>
          <w:p w14:paraId="567445C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5A5829E" w14:textId="77777777" w:rsidR="000A2A2B" w:rsidRPr="007C3060" w:rsidRDefault="000A2A2B" w:rsidP="007C3060"/>
        </w:tc>
      </w:tr>
      <w:tr w:rsidR="004B729E" w:rsidRPr="007C3060" w14:paraId="5A96E90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E97924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7D2CB69" w14:textId="77777777" w:rsidR="000A2A2B" w:rsidRPr="007C3060" w:rsidRDefault="000A2A2B" w:rsidP="007C3060">
            <w:r w:rsidRPr="007C3060">
              <w:t>80</w:t>
            </w:r>
          </w:p>
        </w:tc>
        <w:tc>
          <w:tcPr>
            <w:tcW w:w="4819" w:type="dxa"/>
            <w:tcBorders>
              <w:top w:val="nil"/>
              <w:left w:val="nil"/>
              <w:bottom w:val="nil"/>
              <w:right w:val="nil"/>
            </w:tcBorders>
            <w:tcMar>
              <w:top w:w="128" w:type="dxa"/>
              <w:left w:w="43" w:type="dxa"/>
              <w:bottom w:w="43" w:type="dxa"/>
              <w:right w:w="43" w:type="dxa"/>
            </w:tcMar>
            <w:vAlign w:val="bottom"/>
          </w:tcPr>
          <w:p w14:paraId="4CD26864" w14:textId="77777777" w:rsidR="000A2A2B" w:rsidRPr="007C3060" w:rsidRDefault="000A2A2B" w:rsidP="007C3060">
            <w:r w:rsidRPr="007C3060">
              <w:t>Bibliotek- og litteraturtiltak, forhøyes med</w:t>
            </w:r>
          </w:p>
        </w:tc>
        <w:tc>
          <w:tcPr>
            <w:tcW w:w="1717" w:type="dxa"/>
            <w:tcBorders>
              <w:top w:val="nil"/>
              <w:left w:val="nil"/>
              <w:bottom w:val="nil"/>
              <w:right w:val="nil"/>
            </w:tcBorders>
            <w:tcMar>
              <w:top w:w="128" w:type="dxa"/>
              <w:left w:w="43" w:type="dxa"/>
              <w:bottom w:w="43" w:type="dxa"/>
              <w:right w:w="43" w:type="dxa"/>
            </w:tcMar>
            <w:vAlign w:val="bottom"/>
          </w:tcPr>
          <w:p w14:paraId="3EFB97B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4F8746A" w14:textId="77777777" w:rsidR="000A2A2B" w:rsidRPr="007C3060" w:rsidRDefault="000A2A2B" w:rsidP="007C3060">
            <w:r w:rsidRPr="007C3060">
              <w:t>100 000</w:t>
            </w:r>
          </w:p>
        </w:tc>
      </w:tr>
      <w:tr w:rsidR="004B729E" w:rsidRPr="007C3060" w14:paraId="5A7B52D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A76F90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13B631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E547CDD" w14:textId="77777777" w:rsidR="000A2A2B" w:rsidRPr="007C3060" w:rsidRDefault="000A2A2B" w:rsidP="007C3060">
            <w:r w:rsidRPr="007C3060">
              <w:t>fra kr 110 165 000 til kr 110 265 000</w:t>
            </w:r>
          </w:p>
        </w:tc>
        <w:tc>
          <w:tcPr>
            <w:tcW w:w="1717" w:type="dxa"/>
            <w:tcBorders>
              <w:top w:val="nil"/>
              <w:left w:val="nil"/>
              <w:bottom w:val="nil"/>
              <w:right w:val="nil"/>
            </w:tcBorders>
            <w:tcMar>
              <w:top w:w="128" w:type="dxa"/>
              <w:left w:w="43" w:type="dxa"/>
              <w:bottom w:w="43" w:type="dxa"/>
              <w:right w:w="43" w:type="dxa"/>
            </w:tcMar>
            <w:vAlign w:val="bottom"/>
          </w:tcPr>
          <w:p w14:paraId="5A46DD2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B9F548B" w14:textId="77777777" w:rsidR="000A2A2B" w:rsidRPr="007C3060" w:rsidRDefault="000A2A2B" w:rsidP="007C3060"/>
        </w:tc>
      </w:tr>
      <w:tr w:rsidR="004B729E" w:rsidRPr="007C3060" w14:paraId="3B02D89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82666DD" w14:textId="77777777" w:rsidR="000A2A2B" w:rsidRPr="007C3060" w:rsidRDefault="000A2A2B" w:rsidP="007C3060">
            <w:r w:rsidRPr="007C3060">
              <w:t>334</w:t>
            </w:r>
          </w:p>
        </w:tc>
        <w:tc>
          <w:tcPr>
            <w:tcW w:w="992" w:type="dxa"/>
            <w:tcBorders>
              <w:top w:val="nil"/>
              <w:left w:val="nil"/>
              <w:bottom w:val="nil"/>
              <w:right w:val="nil"/>
            </w:tcBorders>
            <w:tcMar>
              <w:top w:w="128" w:type="dxa"/>
              <w:left w:w="43" w:type="dxa"/>
              <w:bottom w:w="43" w:type="dxa"/>
              <w:right w:w="123" w:type="dxa"/>
            </w:tcMar>
          </w:tcPr>
          <w:p w14:paraId="0444F4D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470C92B" w14:textId="77777777" w:rsidR="000A2A2B" w:rsidRPr="007C3060" w:rsidRDefault="000A2A2B" w:rsidP="007C3060">
            <w:r w:rsidRPr="007C3060">
              <w:t>Film- og dataspillformål:</w:t>
            </w:r>
          </w:p>
        </w:tc>
        <w:tc>
          <w:tcPr>
            <w:tcW w:w="1717" w:type="dxa"/>
            <w:tcBorders>
              <w:top w:val="nil"/>
              <w:left w:val="nil"/>
              <w:bottom w:val="nil"/>
              <w:right w:val="nil"/>
            </w:tcBorders>
            <w:tcMar>
              <w:top w:w="128" w:type="dxa"/>
              <w:left w:w="43" w:type="dxa"/>
              <w:bottom w:w="43" w:type="dxa"/>
              <w:right w:w="43" w:type="dxa"/>
            </w:tcMar>
            <w:vAlign w:val="bottom"/>
          </w:tcPr>
          <w:p w14:paraId="55E26F4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AD2FB62" w14:textId="77777777" w:rsidR="000A2A2B" w:rsidRPr="007C3060" w:rsidRDefault="000A2A2B" w:rsidP="007C3060"/>
        </w:tc>
      </w:tr>
      <w:tr w:rsidR="004B729E" w:rsidRPr="007C3060" w14:paraId="4C0C3DB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73BC13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A713DB1"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755884F1"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5FF102F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C0CA46A" w14:textId="77777777" w:rsidR="000A2A2B" w:rsidRPr="007C3060" w:rsidRDefault="000A2A2B" w:rsidP="007C3060">
            <w:r w:rsidRPr="007C3060">
              <w:t>1 000 000</w:t>
            </w:r>
          </w:p>
        </w:tc>
      </w:tr>
      <w:tr w:rsidR="004B729E" w:rsidRPr="007C3060" w14:paraId="0D5D4A7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CA7783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FBB58F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15152DA" w14:textId="77777777" w:rsidR="000A2A2B" w:rsidRPr="007C3060" w:rsidRDefault="000A2A2B" w:rsidP="007C3060">
            <w:r w:rsidRPr="007C3060">
              <w:t>fra kr 139 717 000 til kr 140 717 000</w:t>
            </w:r>
          </w:p>
        </w:tc>
        <w:tc>
          <w:tcPr>
            <w:tcW w:w="1717" w:type="dxa"/>
            <w:tcBorders>
              <w:top w:val="nil"/>
              <w:left w:val="nil"/>
              <w:bottom w:val="nil"/>
              <w:right w:val="nil"/>
            </w:tcBorders>
            <w:tcMar>
              <w:top w:w="128" w:type="dxa"/>
              <w:left w:w="43" w:type="dxa"/>
              <w:bottom w:w="43" w:type="dxa"/>
              <w:right w:w="43" w:type="dxa"/>
            </w:tcMar>
            <w:vAlign w:val="bottom"/>
          </w:tcPr>
          <w:p w14:paraId="47E43B7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9CA9FB3" w14:textId="77777777" w:rsidR="000A2A2B" w:rsidRPr="007C3060" w:rsidRDefault="000A2A2B" w:rsidP="007C3060"/>
        </w:tc>
      </w:tr>
      <w:tr w:rsidR="004B729E" w:rsidRPr="007C3060" w14:paraId="01BAC7E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EFF09D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929E0BD" w14:textId="77777777" w:rsidR="000A2A2B" w:rsidRPr="007C3060" w:rsidRDefault="000A2A2B" w:rsidP="007C3060">
            <w:r w:rsidRPr="007C3060">
              <w:t>50</w:t>
            </w:r>
          </w:p>
        </w:tc>
        <w:tc>
          <w:tcPr>
            <w:tcW w:w="4819" w:type="dxa"/>
            <w:tcBorders>
              <w:top w:val="nil"/>
              <w:left w:val="nil"/>
              <w:bottom w:val="nil"/>
              <w:right w:val="nil"/>
            </w:tcBorders>
            <w:tcMar>
              <w:top w:w="128" w:type="dxa"/>
              <w:left w:w="43" w:type="dxa"/>
              <w:bottom w:w="43" w:type="dxa"/>
              <w:right w:w="43" w:type="dxa"/>
            </w:tcMar>
            <w:vAlign w:val="bottom"/>
          </w:tcPr>
          <w:p w14:paraId="469F85C1" w14:textId="77777777" w:rsidR="000A2A2B" w:rsidRPr="007C3060" w:rsidRDefault="000A2A2B" w:rsidP="007C3060">
            <w:r w:rsidRPr="007C3060">
              <w:t>Filmfondet, nedsettes med</w:t>
            </w:r>
          </w:p>
        </w:tc>
        <w:tc>
          <w:tcPr>
            <w:tcW w:w="1717" w:type="dxa"/>
            <w:tcBorders>
              <w:top w:val="nil"/>
              <w:left w:val="nil"/>
              <w:bottom w:val="nil"/>
              <w:right w:val="nil"/>
            </w:tcBorders>
            <w:tcMar>
              <w:top w:w="128" w:type="dxa"/>
              <w:left w:w="43" w:type="dxa"/>
              <w:bottom w:w="43" w:type="dxa"/>
              <w:right w:w="43" w:type="dxa"/>
            </w:tcMar>
            <w:vAlign w:val="bottom"/>
          </w:tcPr>
          <w:p w14:paraId="70DB27C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2932337" w14:textId="77777777" w:rsidR="000A2A2B" w:rsidRPr="007C3060" w:rsidRDefault="000A2A2B" w:rsidP="007C3060">
            <w:r w:rsidRPr="007C3060">
              <w:t>1 000 000</w:t>
            </w:r>
          </w:p>
        </w:tc>
      </w:tr>
      <w:tr w:rsidR="004B729E" w:rsidRPr="007C3060" w14:paraId="234ABA8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594ABD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391EBD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0109A0C" w14:textId="77777777" w:rsidR="000A2A2B" w:rsidRPr="007C3060" w:rsidRDefault="000A2A2B" w:rsidP="007C3060">
            <w:r w:rsidRPr="007C3060">
              <w:t>fra kr 682 000 000 til kr 681 000 000</w:t>
            </w:r>
          </w:p>
        </w:tc>
        <w:tc>
          <w:tcPr>
            <w:tcW w:w="1717" w:type="dxa"/>
            <w:tcBorders>
              <w:top w:val="nil"/>
              <w:left w:val="nil"/>
              <w:bottom w:val="nil"/>
              <w:right w:val="nil"/>
            </w:tcBorders>
            <w:tcMar>
              <w:top w:w="128" w:type="dxa"/>
              <w:left w:w="43" w:type="dxa"/>
              <w:bottom w:w="43" w:type="dxa"/>
              <w:right w:w="43" w:type="dxa"/>
            </w:tcMar>
            <w:vAlign w:val="bottom"/>
          </w:tcPr>
          <w:p w14:paraId="47F2B87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59C969C" w14:textId="77777777" w:rsidR="000A2A2B" w:rsidRPr="007C3060" w:rsidRDefault="000A2A2B" w:rsidP="007C3060"/>
        </w:tc>
      </w:tr>
      <w:tr w:rsidR="004B729E" w:rsidRPr="007C3060" w14:paraId="0F4E80F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4E2E7C6" w14:textId="77777777" w:rsidR="000A2A2B" w:rsidRPr="007C3060" w:rsidRDefault="000A2A2B" w:rsidP="007C3060">
            <w:r w:rsidRPr="007C3060">
              <w:t>350</w:t>
            </w:r>
          </w:p>
        </w:tc>
        <w:tc>
          <w:tcPr>
            <w:tcW w:w="992" w:type="dxa"/>
            <w:tcBorders>
              <w:top w:val="nil"/>
              <w:left w:val="nil"/>
              <w:bottom w:val="nil"/>
              <w:right w:val="nil"/>
            </w:tcBorders>
            <w:tcMar>
              <w:top w:w="128" w:type="dxa"/>
              <w:left w:w="43" w:type="dxa"/>
              <w:bottom w:w="43" w:type="dxa"/>
              <w:right w:w="123" w:type="dxa"/>
            </w:tcMar>
          </w:tcPr>
          <w:p w14:paraId="0FE24DC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7CEA3A1" w14:textId="77777777" w:rsidR="000A2A2B" w:rsidRPr="007C3060" w:rsidRDefault="000A2A2B" w:rsidP="007C3060">
            <w:r w:rsidRPr="007C3060">
              <w:t>Sekretariatet for Diskrimineringsnemnda:</w:t>
            </w:r>
          </w:p>
        </w:tc>
        <w:tc>
          <w:tcPr>
            <w:tcW w:w="1717" w:type="dxa"/>
            <w:tcBorders>
              <w:top w:val="nil"/>
              <w:left w:val="nil"/>
              <w:bottom w:val="nil"/>
              <w:right w:val="nil"/>
            </w:tcBorders>
            <w:tcMar>
              <w:top w:w="128" w:type="dxa"/>
              <w:left w:w="43" w:type="dxa"/>
              <w:bottom w:w="43" w:type="dxa"/>
              <w:right w:w="43" w:type="dxa"/>
            </w:tcMar>
            <w:vAlign w:val="bottom"/>
          </w:tcPr>
          <w:p w14:paraId="4D685D9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7DC08E8" w14:textId="77777777" w:rsidR="000A2A2B" w:rsidRPr="007C3060" w:rsidRDefault="000A2A2B" w:rsidP="007C3060"/>
        </w:tc>
      </w:tr>
      <w:tr w:rsidR="004B729E" w:rsidRPr="007C3060" w14:paraId="2CFA869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1B5CDD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6A733C2"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17797438"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296C3A8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80EDB29" w14:textId="77777777" w:rsidR="000A2A2B" w:rsidRPr="007C3060" w:rsidRDefault="000A2A2B" w:rsidP="007C3060">
            <w:r w:rsidRPr="007C3060">
              <w:t>3 500 000</w:t>
            </w:r>
          </w:p>
        </w:tc>
      </w:tr>
      <w:tr w:rsidR="004B729E" w:rsidRPr="007C3060" w14:paraId="696C50E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20B234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05455D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E6F1D02" w14:textId="77777777" w:rsidR="000A2A2B" w:rsidRPr="007C3060" w:rsidRDefault="000A2A2B" w:rsidP="007C3060">
            <w:r w:rsidRPr="007C3060">
              <w:t>fra kr 32 287 000 til kr 35 787 000</w:t>
            </w:r>
          </w:p>
        </w:tc>
        <w:tc>
          <w:tcPr>
            <w:tcW w:w="1717" w:type="dxa"/>
            <w:tcBorders>
              <w:top w:val="nil"/>
              <w:left w:val="nil"/>
              <w:bottom w:val="nil"/>
              <w:right w:val="nil"/>
            </w:tcBorders>
            <w:tcMar>
              <w:top w:w="128" w:type="dxa"/>
              <w:left w:w="43" w:type="dxa"/>
              <w:bottom w:w="43" w:type="dxa"/>
              <w:right w:w="43" w:type="dxa"/>
            </w:tcMar>
            <w:vAlign w:val="bottom"/>
          </w:tcPr>
          <w:p w14:paraId="67B8BD2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53C67F1" w14:textId="77777777" w:rsidR="000A2A2B" w:rsidRPr="007C3060" w:rsidRDefault="000A2A2B" w:rsidP="007C3060"/>
        </w:tc>
      </w:tr>
      <w:tr w:rsidR="004B729E" w:rsidRPr="007C3060" w14:paraId="4F6B000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B69A621" w14:textId="77777777" w:rsidR="000A2A2B" w:rsidRPr="007C3060" w:rsidRDefault="000A2A2B" w:rsidP="007C3060">
            <w:r w:rsidRPr="007C3060">
              <w:t>351</w:t>
            </w:r>
          </w:p>
        </w:tc>
        <w:tc>
          <w:tcPr>
            <w:tcW w:w="992" w:type="dxa"/>
            <w:tcBorders>
              <w:top w:val="nil"/>
              <w:left w:val="nil"/>
              <w:bottom w:val="nil"/>
              <w:right w:val="nil"/>
            </w:tcBorders>
            <w:tcMar>
              <w:top w:w="128" w:type="dxa"/>
              <w:left w:w="43" w:type="dxa"/>
              <w:bottom w:w="43" w:type="dxa"/>
              <w:right w:w="123" w:type="dxa"/>
            </w:tcMar>
          </w:tcPr>
          <w:p w14:paraId="1F1740D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A20484F" w14:textId="77777777" w:rsidR="000A2A2B" w:rsidRPr="007C3060" w:rsidRDefault="000A2A2B" w:rsidP="007C3060">
            <w:r w:rsidRPr="007C3060">
              <w:t>Likestilling:</w:t>
            </w:r>
          </w:p>
        </w:tc>
        <w:tc>
          <w:tcPr>
            <w:tcW w:w="1717" w:type="dxa"/>
            <w:tcBorders>
              <w:top w:val="nil"/>
              <w:left w:val="nil"/>
              <w:bottom w:val="nil"/>
              <w:right w:val="nil"/>
            </w:tcBorders>
            <w:tcMar>
              <w:top w:w="128" w:type="dxa"/>
              <w:left w:w="43" w:type="dxa"/>
              <w:bottom w:w="43" w:type="dxa"/>
              <w:right w:w="43" w:type="dxa"/>
            </w:tcMar>
            <w:vAlign w:val="bottom"/>
          </w:tcPr>
          <w:p w14:paraId="2382D95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DD99661" w14:textId="77777777" w:rsidR="000A2A2B" w:rsidRPr="007C3060" w:rsidRDefault="000A2A2B" w:rsidP="007C3060"/>
        </w:tc>
      </w:tr>
      <w:tr w:rsidR="004B729E" w:rsidRPr="007C3060" w14:paraId="340142FE"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6ECB88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26FDE6C"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28B4A4BC" w14:textId="4104B2E8" w:rsidR="000A2A2B" w:rsidRPr="007C3060" w:rsidRDefault="000A2A2B" w:rsidP="007C3060">
            <w:r w:rsidRPr="007C3060">
              <w:t>Forskning, utredning og spesielle driftsutgifter, kan overføres,</w:t>
            </w:r>
            <w:r w:rsidRPr="007C3060">
              <w:rPr>
                <w:rStyle w:val="kursiv"/>
              </w:rPr>
              <w:t xml:space="preserve"> kan nyttes under post 70</w:t>
            </w:r>
            <w:r w:rsidRPr="007C3060">
              <w:t>, nedsettes med</w:t>
            </w:r>
          </w:p>
        </w:tc>
        <w:tc>
          <w:tcPr>
            <w:tcW w:w="1717" w:type="dxa"/>
            <w:tcBorders>
              <w:top w:val="nil"/>
              <w:left w:val="nil"/>
              <w:bottom w:val="nil"/>
              <w:right w:val="nil"/>
            </w:tcBorders>
            <w:tcMar>
              <w:top w:w="128" w:type="dxa"/>
              <w:left w:w="43" w:type="dxa"/>
              <w:bottom w:w="43" w:type="dxa"/>
              <w:right w:w="43" w:type="dxa"/>
            </w:tcMar>
            <w:vAlign w:val="bottom"/>
          </w:tcPr>
          <w:p w14:paraId="35208F6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D2AF4E1" w14:textId="77777777" w:rsidR="000A2A2B" w:rsidRPr="007C3060" w:rsidRDefault="000A2A2B" w:rsidP="007C3060">
            <w:r w:rsidRPr="007C3060">
              <w:t>3 820 000</w:t>
            </w:r>
          </w:p>
        </w:tc>
      </w:tr>
      <w:tr w:rsidR="004B729E" w:rsidRPr="007C3060" w14:paraId="10DFDF5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F73C94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7FDEC8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366FBC9" w14:textId="77777777" w:rsidR="000A2A2B" w:rsidRPr="007C3060" w:rsidRDefault="000A2A2B" w:rsidP="007C3060">
            <w:r w:rsidRPr="007C3060">
              <w:t>fra kr 44 790 000 til kr 40 970 000</w:t>
            </w:r>
          </w:p>
        </w:tc>
        <w:tc>
          <w:tcPr>
            <w:tcW w:w="1717" w:type="dxa"/>
            <w:tcBorders>
              <w:top w:val="nil"/>
              <w:left w:val="nil"/>
              <w:bottom w:val="nil"/>
              <w:right w:val="nil"/>
            </w:tcBorders>
            <w:tcMar>
              <w:top w:w="128" w:type="dxa"/>
              <w:left w:w="43" w:type="dxa"/>
              <w:bottom w:w="43" w:type="dxa"/>
              <w:right w:w="43" w:type="dxa"/>
            </w:tcMar>
            <w:vAlign w:val="bottom"/>
          </w:tcPr>
          <w:p w14:paraId="10D62F9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3EC0747" w14:textId="77777777" w:rsidR="000A2A2B" w:rsidRPr="007C3060" w:rsidRDefault="000A2A2B" w:rsidP="007C3060"/>
        </w:tc>
      </w:tr>
      <w:tr w:rsidR="004B729E" w:rsidRPr="007C3060" w14:paraId="09D08B5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78827C7" w14:textId="77777777" w:rsidR="000A2A2B" w:rsidRPr="007C3060" w:rsidRDefault="000A2A2B" w:rsidP="007C3060">
            <w:r w:rsidRPr="007C3060">
              <w:t>352</w:t>
            </w:r>
          </w:p>
        </w:tc>
        <w:tc>
          <w:tcPr>
            <w:tcW w:w="992" w:type="dxa"/>
            <w:tcBorders>
              <w:top w:val="nil"/>
              <w:left w:val="nil"/>
              <w:bottom w:val="nil"/>
              <w:right w:val="nil"/>
            </w:tcBorders>
            <w:tcMar>
              <w:top w:w="128" w:type="dxa"/>
              <w:left w:w="43" w:type="dxa"/>
              <w:bottom w:w="43" w:type="dxa"/>
              <w:right w:w="123" w:type="dxa"/>
            </w:tcMar>
          </w:tcPr>
          <w:p w14:paraId="3D6B045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D915730" w14:textId="77777777" w:rsidR="000A2A2B" w:rsidRPr="007C3060" w:rsidRDefault="000A2A2B" w:rsidP="007C3060">
            <w:r w:rsidRPr="007C3060">
              <w:t>Nedsatt funksjonsevne:</w:t>
            </w:r>
          </w:p>
        </w:tc>
        <w:tc>
          <w:tcPr>
            <w:tcW w:w="1717" w:type="dxa"/>
            <w:tcBorders>
              <w:top w:val="nil"/>
              <w:left w:val="nil"/>
              <w:bottom w:val="nil"/>
              <w:right w:val="nil"/>
            </w:tcBorders>
            <w:tcMar>
              <w:top w:w="128" w:type="dxa"/>
              <w:left w:w="43" w:type="dxa"/>
              <w:bottom w:w="43" w:type="dxa"/>
              <w:right w:w="43" w:type="dxa"/>
            </w:tcMar>
            <w:vAlign w:val="bottom"/>
          </w:tcPr>
          <w:p w14:paraId="5BCABC6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BA9BD51" w14:textId="77777777" w:rsidR="000A2A2B" w:rsidRPr="007C3060" w:rsidRDefault="000A2A2B" w:rsidP="007C3060"/>
        </w:tc>
      </w:tr>
      <w:tr w:rsidR="004B729E" w:rsidRPr="007C3060" w14:paraId="1F850D70"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07F5EC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164CD84"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232D2223" w14:textId="6C5033AA" w:rsidR="000A2A2B" w:rsidRPr="007C3060" w:rsidRDefault="000A2A2B" w:rsidP="007C3060">
            <w:r w:rsidRPr="007C3060">
              <w:t xml:space="preserve">Forskning, utredning og spesielle driftsutgifter, </w:t>
            </w:r>
            <w:r w:rsidRPr="007C3060">
              <w:rPr>
                <w:rStyle w:val="kursiv"/>
              </w:rPr>
              <w:t>kan overføres, kan nyttes under post 71</w:t>
            </w:r>
            <w:r w:rsidRPr="007C3060">
              <w:t>, nedsettes med</w:t>
            </w:r>
          </w:p>
        </w:tc>
        <w:tc>
          <w:tcPr>
            <w:tcW w:w="1717" w:type="dxa"/>
            <w:tcBorders>
              <w:top w:val="nil"/>
              <w:left w:val="nil"/>
              <w:bottom w:val="nil"/>
              <w:right w:val="nil"/>
            </w:tcBorders>
            <w:tcMar>
              <w:top w:w="128" w:type="dxa"/>
              <w:left w:w="43" w:type="dxa"/>
              <w:bottom w:w="43" w:type="dxa"/>
              <w:right w:w="43" w:type="dxa"/>
            </w:tcMar>
            <w:vAlign w:val="bottom"/>
          </w:tcPr>
          <w:p w14:paraId="158362B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C6FFE8B" w14:textId="77777777" w:rsidR="000A2A2B" w:rsidRPr="007C3060" w:rsidRDefault="000A2A2B" w:rsidP="007C3060">
            <w:r w:rsidRPr="007C3060">
              <w:t>2 000 000</w:t>
            </w:r>
          </w:p>
        </w:tc>
      </w:tr>
      <w:tr w:rsidR="004B729E" w:rsidRPr="007C3060" w14:paraId="5FF6BE3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E614DB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5F0338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AF4F8FC" w14:textId="77777777" w:rsidR="000A2A2B" w:rsidRPr="007C3060" w:rsidRDefault="000A2A2B" w:rsidP="007C3060">
            <w:r w:rsidRPr="007C3060">
              <w:t>fra kr 26 000 000 til kr 24 000 000</w:t>
            </w:r>
          </w:p>
        </w:tc>
        <w:tc>
          <w:tcPr>
            <w:tcW w:w="1717" w:type="dxa"/>
            <w:tcBorders>
              <w:top w:val="nil"/>
              <w:left w:val="nil"/>
              <w:bottom w:val="nil"/>
              <w:right w:val="nil"/>
            </w:tcBorders>
            <w:tcMar>
              <w:top w:w="128" w:type="dxa"/>
              <w:left w:w="43" w:type="dxa"/>
              <w:bottom w:w="43" w:type="dxa"/>
              <w:right w:w="43" w:type="dxa"/>
            </w:tcMar>
            <w:vAlign w:val="bottom"/>
          </w:tcPr>
          <w:p w14:paraId="5300D7E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2688D04" w14:textId="77777777" w:rsidR="000A2A2B" w:rsidRPr="007C3060" w:rsidRDefault="000A2A2B" w:rsidP="007C3060"/>
        </w:tc>
      </w:tr>
      <w:tr w:rsidR="004B729E" w:rsidRPr="007C3060" w14:paraId="263D307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7EB8C03" w14:textId="77777777" w:rsidR="000A2A2B" w:rsidRPr="007C3060" w:rsidRDefault="000A2A2B" w:rsidP="007C3060">
            <w:r w:rsidRPr="007C3060">
              <w:t>353</w:t>
            </w:r>
          </w:p>
        </w:tc>
        <w:tc>
          <w:tcPr>
            <w:tcW w:w="992" w:type="dxa"/>
            <w:tcBorders>
              <w:top w:val="nil"/>
              <w:left w:val="nil"/>
              <w:bottom w:val="nil"/>
              <w:right w:val="nil"/>
            </w:tcBorders>
            <w:tcMar>
              <w:top w:w="128" w:type="dxa"/>
              <w:left w:w="43" w:type="dxa"/>
              <w:bottom w:w="43" w:type="dxa"/>
              <w:right w:w="123" w:type="dxa"/>
            </w:tcMar>
          </w:tcPr>
          <w:p w14:paraId="42670EA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6A91188" w14:textId="77777777" w:rsidR="000A2A2B" w:rsidRPr="007C3060" w:rsidRDefault="000A2A2B" w:rsidP="007C3060">
            <w:r w:rsidRPr="007C3060">
              <w:t>Likestillings- og diskrimineringsombudet:</w:t>
            </w:r>
          </w:p>
        </w:tc>
        <w:tc>
          <w:tcPr>
            <w:tcW w:w="1717" w:type="dxa"/>
            <w:tcBorders>
              <w:top w:val="nil"/>
              <w:left w:val="nil"/>
              <w:bottom w:val="nil"/>
              <w:right w:val="nil"/>
            </w:tcBorders>
            <w:tcMar>
              <w:top w:w="128" w:type="dxa"/>
              <w:left w:w="43" w:type="dxa"/>
              <w:bottom w:w="43" w:type="dxa"/>
              <w:right w:w="43" w:type="dxa"/>
            </w:tcMar>
            <w:vAlign w:val="bottom"/>
          </w:tcPr>
          <w:p w14:paraId="1F12361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8B30115" w14:textId="77777777" w:rsidR="000A2A2B" w:rsidRPr="007C3060" w:rsidRDefault="000A2A2B" w:rsidP="007C3060"/>
        </w:tc>
      </w:tr>
      <w:tr w:rsidR="004B729E" w:rsidRPr="007C3060" w14:paraId="34B5F54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479E52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359F146" w14:textId="77777777" w:rsidR="000A2A2B" w:rsidRPr="007C3060" w:rsidRDefault="000A2A2B" w:rsidP="007C3060">
            <w:r w:rsidRPr="007C3060">
              <w:t>50</w:t>
            </w:r>
          </w:p>
        </w:tc>
        <w:tc>
          <w:tcPr>
            <w:tcW w:w="4819" w:type="dxa"/>
            <w:tcBorders>
              <w:top w:val="nil"/>
              <w:left w:val="nil"/>
              <w:bottom w:val="nil"/>
              <w:right w:val="nil"/>
            </w:tcBorders>
            <w:tcMar>
              <w:top w:w="128" w:type="dxa"/>
              <w:left w:w="43" w:type="dxa"/>
              <w:bottom w:w="43" w:type="dxa"/>
              <w:right w:w="43" w:type="dxa"/>
            </w:tcMar>
            <w:vAlign w:val="bottom"/>
          </w:tcPr>
          <w:p w14:paraId="4C89E2EB" w14:textId="77777777" w:rsidR="000A2A2B" w:rsidRPr="007C3060" w:rsidRDefault="000A2A2B" w:rsidP="007C3060">
            <w:r w:rsidRPr="007C3060">
              <w:t>Basisbevilgning, forhøyes med</w:t>
            </w:r>
          </w:p>
        </w:tc>
        <w:tc>
          <w:tcPr>
            <w:tcW w:w="1717" w:type="dxa"/>
            <w:tcBorders>
              <w:top w:val="nil"/>
              <w:left w:val="nil"/>
              <w:bottom w:val="nil"/>
              <w:right w:val="nil"/>
            </w:tcBorders>
            <w:tcMar>
              <w:top w:w="128" w:type="dxa"/>
              <w:left w:w="43" w:type="dxa"/>
              <w:bottom w:w="43" w:type="dxa"/>
              <w:right w:w="43" w:type="dxa"/>
            </w:tcMar>
            <w:vAlign w:val="bottom"/>
          </w:tcPr>
          <w:p w14:paraId="60D33F1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3274605" w14:textId="77777777" w:rsidR="000A2A2B" w:rsidRPr="007C3060" w:rsidRDefault="000A2A2B" w:rsidP="007C3060">
            <w:r w:rsidRPr="007C3060">
              <w:t>1 200 000</w:t>
            </w:r>
          </w:p>
        </w:tc>
      </w:tr>
      <w:tr w:rsidR="004B729E" w:rsidRPr="007C3060" w14:paraId="473E61C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390496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15C409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B25E035" w14:textId="77777777" w:rsidR="000A2A2B" w:rsidRPr="007C3060" w:rsidRDefault="000A2A2B" w:rsidP="007C3060">
            <w:r w:rsidRPr="007C3060">
              <w:t>fra kr 55 400 000 til kr 56 600 000</w:t>
            </w:r>
          </w:p>
        </w:tc>
        <w:tc>
          <w:tcPr>
            <w:tcW w:w="1717" w:type="dxa"/>
            <w:tcBorders>
              <w:top w:val="nil"/>
              <w:left w:val="nil"/>
              <w:bottom w:val="nil"/>
              <w:right w:val="nil"/>
            </w:tcBorders>
            <w:tcMar>
              <w:top w:w="128" w:type="dxa"/>
              <w:left w:w="43" w:type="dxa"/>
              <w:bottom w:w="43" w:type="dxa"/>
              <w:right w:w="43" w:type="dxa"/>
            </w:tcMar>
            <w:vAlign w:val="bottom"/>
          </w:tcPr>
          <w:p w14:paraId="1717097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9D26375" w14:textId="77777777" w:rsidR="000A2A2B" w:rsidRPr="007C3060" w:rsidRDefault="000A2A2B" w:rsidP="007C3060"/>
        </w:tc>
      </w:tr>
      <w:tr w:rsidR="004B729E" w:rsidRPr="007C3060" w14:paraId="2862134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F3B2807" w14:textId="77777777" w:rsidR="000A2A2B" w:rsidRPr="007C3060" w:rsidRDefault="000A2A2B" w:rsidP="007C3060">
            <w:r w:rsidRPr="007C3060">
              <w:lastRenderedPageBreak/>
              <w:t>400</w:t>
            </w:r>
          </w:p>
        </w:tc>
        <w:tc>
          <w:tcPr>
            <w:tcW w:w="992" w:type="dxa"/>
            <w:tcBorders>
              <w:top w:val="nil"/>
              <w:left w:val="nil"/>
              <w:bottom w:val="nil"/>
              <w:right w:val="nil"/>
            </w:tcBorders>
            <w:tcMar>
              <w:top w:w="128" w:type="dxa"/>
              <w:left w:w="43" w:type="dxa"/>
              <w:bottom w:w="43" w:type="dxa"/>
              <w:right w:w="123" w:type="dxa"/>
            </w:tcMar>
          </w:tcPr>
          <w:p w14:paraId="5B7B689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869213C" w14:textId="77777777" w:rsidR="000A2A2B" w:rsidRPr="007C3060" w:rsidRDefault="000A2A2B" w:rsidP="007C3060">
            <w:r w:rsidRPr="007C3060">
              <w:t>Justis- og beredskapsdepartementet:</w:t>
            </w:r>
          </w:p>
        </w:tc>
        <w:tc>
          <w:tcPr>
            <w:tcW w:w="1717" w:type="dxa"/>
            <w:tcBorders>
              <w:top w:val="nil"/>
              <w:left w:val="nil"/>
              <w:bottom w:val="nil"/>
              <w:right w:val="nil"/>
            </w:tcBorders>
            <w:tcMar>
              <w:top w:w="128" w:type="dxa"/>
              <w:left w:w="43" w:type="dxa"/>
              <w:bottom w:w="43" w:type="dxa"/>
              <w:right w:w="43" w:type="dxa"/>
            </w:tcMar>
            <w:vAlign w:val="bottom"/>
          </w:tcPr>
          <w:p w14:paraId="642CB83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2A4D3E7" w14:textId="77777777" w:rsidR="000A2A2B" w:rsidRPr="007C3060" w:rsidRDefault="000A2A2B" w:rsidP="007C3060"/>
        </w:tc>
      </w:tr>
      <w:tr w:rsidR="004B729E" w:rsidRPr="007C3060" w14:paraId="59C8D18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58AFDE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03CA3EC"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4169765E"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05EEC1A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386E9EC" w14:textId="77777777" w:rsidR="000A2A2B" w:rsidRPr="007C3060" w:rsidRDefault="000A2A2B" w:rsidP="007C3060">
            <w:r w:rsidRPr="007C3060">
              <w:t>6 418 000</w:t>
            </w:r>
          </w:p>
        </w:tc>
      </w:tr>
      <w:tr w:rsidR="004B729E" w:rsidRPr="007C3060" w14:paraId="331CABE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81C381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DA0755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FC354AA" w14:textId="77777777" w:rsidR="000A2A2B" w:rsidRPr="007C3060" w:rsidRDefault="000A2A2B" w:rsidP="007C3060">
            <w:r w:rsidRPr="007C3060">
              <w:t>fra kr 472 783 000 til kr 479 201 000</w:t>
            </w:r>
          </w:p>
        </w:tc>
        <w:tc>
          <w:tcPr>
            <w:tcW w:w="1717" w:type="dxa"/>
            <w:tcBorders>
              <w:top w:val="nil"/>
              <w:left w:val="nil"/>
              <w:bottom w:val="nil"/>
              <w:right w:val="nil"/>
            </w:tcBorders>
            <w:tcMar>
              <w:top w:w="128" w:type="dxa"/>
              <w:left w:w="43" w:type="dxa"/>
              <w:bottom w:w="43" w:type="dxa"/>
              <w:right w:w="43" w:type="dxa"/>
            </w:tcMar>
            <w:vAlign w:val="bottom"/>
          </w:tcPr>
          <w:p w14:paraId="1393DC7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A7DB1D9" w14:textId="77777777" w:rsidR="000A2A2B" w:rsidRPr="007C3060" w:rsidRDefault="000A2A2B" w:rsidP="007C3060"/>
        </w:tc>
      </w:tr>
      <w:tr w:rsidR="004B729E" w:rsidRPr="007C3060" w14:paraId="26B5CC82"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DFB56C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E3C9097" w14:textId="77777777" w:rsidR="000A2A2B" w:rsidRPr="007C3060" w:rsidRDefault="000A2A2B" w:rsidP="007C3060">
            <w:r w:rsidRPr="007C3060">
              <w:t>23</w:t>
            </w:r>
          </w:p>
        </w:tc>
        <w:tc>
          <w:tcPr>
            <w:tcW w:w="4819" w:type="dxa"/>
            <w:tcBorders>
              <w:top w:val="nil"/>
              <w:left w:val="nil"/>
              <w:bottom w:val="nil"/>
              <w:right w:val="nil"/>
            </w:tcBorders>
            <w:tcMar>
              <w:top w:w="128" w:type="dxa"/>
              <w:left w:w="43" w:type="dxa"/>
              <w:bottom w:w="43" w:type="dxa"/>
              <w:right w:w="43" w:type="dxa"/>
            </w:tcMar>
            <w:vAlign w:val="bottom"/>
          </w:tcPr>
          <w:p w14:paraId="5483E691" w14:textId="5BDAE23D" w:rsidR="000A2A2B" w:rsidRPr="007C3060" w:rsidRDefault="000A2A2B" w:rsidP="007C3060">
            <w:r w:rsidRPr="007C3060">
              <w:t xml:space="preserve">Spesielle driftsutgifter, forskning, evaluering og kunnskaps-innhenting,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6331303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113FBF5" w14:textId="77777777" w:rsidR="000A2A2B" w:rsidRPr="007C3060" w:rsidRDefault="000A2A2B" w:rsidP="007C3060">
            <w:r w:rsidRPr="007C3060">
              <w:t>10 000 000</w:t>
            </w:r>
          </w:p>
        </w:tc>
      </w:tr>
      <w:tr w:rsidR="004B729E" w:rsidRPr="007C3060" w14:paraId="2B5D357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7735D4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FCE8CF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203AD17" w14:textId="77777777" w:rsidR="000A2A2B" w:rsidRPr="007C3060" w:rsidRDefault="000A2A2B" w:rsidP="007C3060">
            <w:r w:rsidRPr="007C3060">
              <w:t>fra kr 22 999 000 til kr 32 999 000</w:t>
            </w:r>
          </w:p>
        </w:tc>
        <w:tc>
          <w:tcPr>
            <w:tcW w:w="1717" w:type="dxa"/>
            <w:tcBorders>
              <w:top w:val="nil"/>
              <w:left w:val="nil"/>
              <w:bottom w:val="nil"/>
              <w:right w:val="nil"/>
            </w:tcBorders>
            <w:tcMar>
              <w:top w:w="128" w:type="dxa"/>
              <w:left w:w="43" w:type="dxa"/>
              <w:bottom w:w="43" w:type="dxa"/>
              <w:right w:w="43" w:type="dxa"/>
            </w:tcMar>
            <w:vAlign w:val="bottom"/>
          </w:tcPr>
          <w:p w14:paraId="6214036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4D35B2A" w14:textId="77777777" w:rsidR="000A2A2B" w:rsidRPr="007C3060" w:rsidRDefault="000A2A2B" w:rsidP="007C3060"/>
        </w:tc>
      </w:tr>
      <w:tr w:rsidR="004B729E" w:rsidRPr="007C3060" w14:paraId="46B3F17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1D8326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E135B89"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57AB6BBD" w14:textId="77777777" w:rsidR="000A2A2B" w:rsidRPr="007C3060" w:rsidRDefault="000A2A2B" w:rsidP="007C3060">
            <w:r w:rsidRPr="007C3060">
              <w:t>Tilskudd til internasjonale organisasjoner, forhøyes med</w:t>
            </w:r>
          </w:p>
        </w:tc>
        <w:tc>
          <w:tcPr>
            <w:tcW w:w="1717" w:type="dxa"/>
            <w:tcBorders>
              <w:top w:val="nil"/>
              <w:left w:val="nil"/>
              <w:bottom w:val="nil"/>
              <w:right w:val="nil"/>
            </w:tcBorders>
            <w:tcMar>
              <w:top w:w="128" w:type="dxa"/>
              <w:left w:w="43" w:type="dxa"/>
              <w:bottom w:w="43" w:type="dxa"/>
              <w:right w:w="43" w:type="dxa"/>
            </w:tcMar>
            <w:vAlign w:val="bottom"/>
          </w:tcPr>
          <w:p w14:paraId="66510AB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E164077" w14:textId="77777777" w:rsidR="000A2A2B" w:rsidRPr="007C3060" w:rsidRDefault="000A2A2B" w:rsidP="007C3060">
            <w:r w:rsidRPr="007C3060">
              <w:t>750 000</w:t>
            </w:r>
          </w:p>
        </w:tc>
      </w:tr>
      <w:tr w:rsidR="004B729E" w:rsidRPr="007C3060" w14:paraId="696570F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043531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1D6C88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7D6FD72" w14:textId="77777777" w:rsidR="000A2A2B" w:rsidRPr="007C3060" w:rsidRDefault="000A2A2B" w:rsidP="007C3060">
            <w:r w:rsidRPr="007C3060">
              <w:t>fra kr 22 508 000 til kr 23 258 000</w:t>
            </w:r>
          </w:p>
        </w:tc>
        <w:tc>
          <w:tcPr>
            <w:tcW w:w="1717" w:type="dxa"/>
            <w:tcBorders>
              <w:top w:val="nil"/>
              <w:left w:val="nil"/>
              <w:bottom w:val="nil"/>
              <w:right w:val="nil"/>
            </w:tcBorders>
            <w:tcMar>
              <w:top w:w="128" w:type="dxa"/>
              <w:left w:w="43" w:type="dxa"/>
              <w:bottom w:w="43" w:type="dxa"/>
              <w:right w:w="43" w:type="dxa"/>
            </w:tcMar>
            <w:vAlign w:val="bottom"/>
          </w:tcPr>
          <w:p w14:paraId="2DC5B49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4ADC4D9" w14:textId="77777777" w:rsidR="000A2A2B" w:rsidRPr="007C3060" w:rsidRDefault="000A2A2B" w:rsidP="007C3060"/>
        </w:tc>
      </w:tr>
      <w:tr w:rsidR="004B729E" w:rsidRPr="007C3060" w14:paraId="6A18A5BD"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73AB1C5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66B8F20"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675E7DCA" w14:textId="77262422" w:rsidR="000A2A2B" w:rsidRPr="007C3060" w:rsidRDefault="000A2A2B" w:rsidP="007C3060">
            <w:r w:rsidRPr="007C3060">
              <w:t xml:space="preserve">Tilskudd til Norges forskningsråd,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2F0C8CF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F87DC3C" w14:textId="77777777" w:rsidR="000A2A2B" w:rsidRPr="007C3060" w:rsidRDefault="000A2A2B" w:rsidP="007C3060">
            <w:r w:rsidRPr="007C3060">
              <w:t>10 000 000</w:t>
            </w:r>
          </w:p>
        </w:tc>
      </w:tr>
      <w:tr w:rsidR="004B729E" w:rsidRPr="007C3060" w14:paraId="598A212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E9B297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193747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0E864E2" w14:textId="77777777" w:rsidR="000A2A2B" w:rsidRPr="007C3060" w:rsidRDefault="000A2A2B" w:rsidP="007C3060">
            <w:r w:rsidRPr="007C3060">
              <w:t>fra kr 81 717 000 til kr 71 717 000</w:t>
            </w:r>
          </w:p>
        </w:tc>
        <w:tc>
          <w:tcPr>
            <w:tcW w:w="1717" w:type="dxa"/>
            <w:tcBorders>
              <w:top w:val="nil"/>
              <w:left w:val="nil"/>
              <w:bottom w:val="nil"/>
              <w:right w:val="nil"/>
            </w:tcBorders>
            <w:tcMar>
              <w:top w:w="128" w:type="dxa"/>
              <w:left w:w="43" w:type="dxa"/>
              <w:bottom w:w="43" w:type="dxa"/>
              <w:right w:w="43" w:type="dxa"/>
            </w:tcMar>
            <w:vAlign w:val="bottom"/>
          </w:tcPr>
          <w:p w14:paraId="6E72EF8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A5C7F3D" w14:textId="77777777" w:rsidR="000A2A2B" w:rsidRPr="007C3060" w:rsidRDefault="000A2A2B" w:rsidP="007C3060"/>
        </w:tc>
      </w:tr>
      <w:tr w:rsidR="004B729E" w:rsidRPr="007C3060" w14:paraId="4049C18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3268E6A" w14:textId="77777777" w:rsidR="000A2A2B" w:rsidRPr="007C3060" w:rsidRDefault="000A2A2B" w:rsidP="007C3060">
            <w:r w:rsidRPr="007C3060">
              <w:t>410</w:t>
            </w:r>
          </w:p>
        </w:tc>
        <w:tc>
          <w:tcPr>
            <w:tcW w:w="992" w:type="dxa"/>
            <w:tcBorders>
              <w:top w:val="nil"/>
              <w:left w:val="nil"/>
              <w:bottom w:val="nil"/>
              <w:right w:val="nil"/>
            </w:tcBorders>
            <w:tcMar>
              <w:top w:w="128" w:type="dxa"/>
              <w:left w:w="43" w:type="dxa"/>
              <w:bottom w:w="43" w:type="dxa"/>
              <w:right w:w="123" w:type="dxa"/>
            </w:tcMar>
          </w:tcPr>
          <w:p w14:paraId="193249A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9408102" w14:textId="77777777" w:rsidR="000A2A2B" w:rsidRPr="007C3060" w:rsidRDefault="000A2A2B" w:rsidP="007C3060">
            <w:r w:rsidRPr="007C3060">
              <w:t>Domstolene:</w:t>
            </w:r>
          </w:p>
        </w:tc>
        <w:tc>
          <w:tcPr>
            <w:tcW w:w="1717" w:type="dxa"/>
            <w:tcBorders>
              <w:top w:val="nil"/>
              <w:left w:val="nil"/>
              <w:bottom w:val="nil"/>
              <w:right w:val="nil"/>
            </w:tcBorders>
            <w:tcMar>
              <w:top w:w="128" w:type="dxa"/>
              <w:left w:w="43" w:type="dxa"/>
              <w:bottom w:w="43" w:type="dxa"/>
              <w:right w:w="43" w:type="dxa"/>
            </w:tcMar>
            <w:vAlign w:val="bottom"/>
          </w:tcPr>
          <w:p w14:paraId="7AA1EE6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14507D2" w14:textId="77777777" w:rsidR="000A2A2B" w:rsidRPr="007C3060" w:rsidRDefault="000A2A2B" w:rsidP="007C3060"/>
        </w:tc>
      </w:tr>
      <w:tr w:rsidR="004B729E" w:rsidRPr="007C3060" w14:paraId="370537A1"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8933C4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37B5104"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5CE00AA0" w14:textId="77777777" w:rsidR="000A2A2B" w:rsidRPr="007C3060" w:rsidRDefault="000A2A2B" w:rsidP="007C3060">
            <w:r w:rsidRPr="007C3060">
              <w:t xml:space="preserve">Driftsutgifter, </w:t>
            </w:r>
            <w:r w:rsidRPr="007C3060">
              <w:rPr>
                <w:rStyle w:val="kursiv"/>
              </w:rPr>
              <w:t>kan nyttes under kap. 61, post 1 og kap. 411, post 1,</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1A0485D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A8FBAFC" w14:textId="77777777" w:rsidR="000A2A2B" w:rsidRPr="007C3060" w:rsidRDefault="000A2A2B" w:rsidP="007C3060">
            <w:r w:rsidRPr="007C3060">
              <w:t>73 925 000</w:t>
            </w:r>
          </w:p>
        </w:tc>
      </w:tr>
      <w:tr w:rsidR="004B729E" w:rsidRPr="007C3060" w14:paraId="272EA9E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E33EC6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901589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3AFF6D7" w14:textId="77777777" w:rsidR="000A2A2B" w:rsidRPr="007C3060" w:rsidRDefault="000A2A2B" w:rsidP="007C3060">
            <w:r w:rsidRPr="007C3060">
              <w:t>fra kr 3 325 986 000 til kr 3 399 911 000</w:t>
            </w:r>
          </w:p>
        </w:tc>
        <w:tc>
          <w:tcPr>
            <w:tcW w:w="1717" w:type="dxa"/>
            <w:tcBorders>
              <w:top w:val="nil"/>
              <w:left w:val="nil"/>
              <w:bottom w:val="nil"/>
              <w:right w:val="nil"/>
            </w:tcBorders>
            <w:tcMar>
              <w:top w:w="128" w:type="dxa"/>
              <w:left w:w="43" w:type="dxa"/>
              <w:bottom w:w="43" w:type="dxa"/>
              <w:right w:w="43" w:type="dxa"/>
            </w:tcMar>
            <w:vAlign w:val="bottom"/>
          </w:tcPr>
          <w:p w14:paraId="609D5E1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030475E" w14:textId="77777777" w:rsidR="000A2A2B" w:rsidRPr="007C3060" w:rsidRDefault="000A2A2B" w:rsidP="007C3060"/>
        </w:tc>
      </w:tr>
      <w:tr w:rsidR="004B729E" w:rsidRPr="007C3060" w14:paraId="1A46B7B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438EB12" w14:textId="77777777" w:rsidR="000A2A2B" w:rsidRPr="007C3060" w:rsidRDefault="000A2A2B" w:rsidP="007C3060">
            <w:r w:rsidRPr="007C3060">
              <w:t>430</w:t>
            </w:r>
          </w:p>
        </w:tc>
        <w:tc>
          <w:tcPr>
            <w:tcW w:w="992" w:type="dxa"/>
            <w:tcBorders>
              <w:top w:val="nil"/>
              <w:left w:val="nil"/>
              <w:bottom w:val="nil"/>
              <w:right w:val="nil"/>
            </w:tcBorders>
            <w:tcMar>
              <w:top w:w="128" w:type="dxa"/>
              <w:left w:w="43" w:type="dxa"/>
              <w:bottom w:w="43" w:type="dxa"/>
              <w:right w:w="123" w:type="dxa"/>
            </w:tcMar>
          </w:tcPr>
          <w:p w14:paraId="569ED77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6BC1C50" w14:textId="77777777" w:rsidR="000A2A2B" w:rsidRPr="007C3060" w:rsidRDefault="000A2A2B" w:rsidP="007C3060">
            <w:r w:rsidRPr="007C3060">
              <w:t>Kriminalomsorgen:</w:t>
            </w:r>
          </w:p>
        </w:tc>
        <w:tc>
          <w:tcPr>
            <w:tcW w:w="1717" w:type="dxa"/>
            <w:tcBorders>
              <w:top w:val="nil"/>
              <w:left w:val="nil"/>
              <w:bottom w:val="nil"/>
              <w:right w:val="nil"/>
            </w:tcBorders>
            <w:tcMar>
              <w:top w:w="128" w:type="dxa"/>
              <w:left w:w="43" w:type="dxa"/>
              <w:bottom w:w="43" w:type="dxa"/>
              <w:right w:w="43" w:type="dxa"/>
            </w:tcMar>
            <w:vAlign w:val="bottom"/>
          </w:tcPr>
          <w:p w14:paraId="1996F21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ED3468F" w14:textId="77777777" w:rsidR="000A2A2B" w:rsidRPr="007C3060" w:rsidRDefault="000A2A2B" w:rsidP="007C3060"/>
        </w:tc>
      </w:tr>
      <w:tr w:rsidR="004B729E" w:rsidRPr="007C3060" w14:paraId="770940C4"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60394B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26C2BA1"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3AD2BDD1" w14:textId="0D4534B9" w:rsidR="000A2A2B" w:rsidRPr="007C3060" w:rsidRDefault="000A2A2B" w:rsidP="007C3060">
            <w:r w:rsidRPr="007C3060">
              <w:t xml:space="preserve">Driftsutgifter, </w:t>
            </w:r>
            <w:r w:rsidRPr="007C3060">
              <w:rPr>
                <w:rStyle w:val="kursiv"/>
              </w:rPr>
              <w:t>kan nyttes under kap. 431, post 1,</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41C8DE5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2072452" w14:textId="77777777" w:rsidR="000A2A2B" w:rsidRPr="007C3060" w:rsidRDefault="000A2A2B" w:rsidP="007C3060">
            <w:r w:rsidRPr="007C3060">
              <w:t>10 000 000</w:t>
            </w:r>
          </w:p>
        </w:tc>
      </w:tr>
      <w:tr w:rsidR="004B729E" w:rsidRPr="007C3060" w14:paraId="2374D9D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9069D6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DD08DF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4E2527B" w14:textId="77777777" w:rsidR="000A2A2B" w:rsidRPr="007C3060" w:rsidRDefault="000A2A2B" w:rsidP="007C3060">
            <w:r w:rsidRPr="007C3060">
              <w:t>fra kr 5 966 864 000 til kr 5 976 864 000</w:t>
            </w:r>
          </w:p>
        </w:tc>
        <w:tc>
          <w:tcPr>
            <w:tcW w:w="1717" w:type="dxa"/>
            <w:tcBorders>
              <w:top w:val="nil"/>
              <w:left w:val="nil"/>
              <w:bottom w:val="nil"/>
              <w:right w:val="nil"/>
            </w:tcBorders>
            <w:tcMar>
              <w:top w:w="128" w:type="dxa"/>
              <w:left w:w="43" w:type="dxa"/>
              <w:bottom w:w="43" w:type="dxa"/>
              <w:right w:w="43" w:type="dxa"/>
            </w:tcMar>
            <w:vAlign w:val="bottom"/>
          </w:tcPr>
          <w:p w14:paraId="0983232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6E893A5" w14:textId="77777777" w:rsidR="000A2A2B" w:rsidRPr="007C3060" w:rsidRDefault="000A2A2B" w:rsidP="007C3060"/>
        </w:tc>
      </w:tr>
      <w:tr w:rsidR="004B729E" w:rsidRPr="007C3060" w14:paraId="4C3FC1D1"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4D4D53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4051C04" w14:textId="77777777" w:rsidR="000A2A2B" w:rsidRPr="007C3060" w:rsidRDefault="000A2A2B" w:rsidP="007C3060">
            <w:r w:rsidRPr="007C3060">
              <w:t>45</w:t>
            </w:r>
          </w:p>
        </w:tc>
        <w:tc>
          <w:tcPr>
            <w:tcW w:w="4819" w:type="dxa"/>
            <w:tcBorders>
              <w:top w:val="nil"/>
              <w:left w:val="nil"/>
              <w:bottom w:val="nil"/>
              <w:right w:val="nil"/>
            </w:tcBorders>
            <w:tcMar>
              <w:top w:w="128" w:type="dxa"/>
              <w:left w:w="43" w:type="dxa"/>
              <w:bottom w:w="43" w:type="dxa"/>
              <w:right w:w="43" w:type="dxa"/>
            </w:tcMar>
            <w:vAlign w:val="bottom"/>
          </w:tcPr>
          <w:p w14:paraId="5310884A" w14:textId="77777777" w:rsidR="000A2A2B" w:rsidRPr="007C3060" w:rsidRDefault="000A2A2B" w:rsidP="007C3060">
            <w:r w:rsidRPr="007C3060">
              <w:t xml:space="preserve">Større utstyrsanskaffelser og vedlikehold,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3C49599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5000153" w14:textId="77777777" w:rsidR="000A2A2B" w:rsidRPr="007C3060" w:rsidRDefault="000A2A2B" w:rsidP="007C3060">
            <w:r w:rsidRPr="007C3060">
              <w:t>7 931 000</w:t>
            </w:r>
          </w:p>
        </w:tc>
      </w:tr>
      <w:tr w:rsidR="004B729E" w:rsidRPr="007C3060" w14:paraId="7B40424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4FB41A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612452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5F41727" w14:textId="77777777" w:rsidR="000A2A2B" w:rsidRPr="007C3060" w:rsidRDefault="000A2A2B" w:rsidP="007C3060">
            <w:r w:rsidRPr="007C3060">
              <w:t>fra kr 111 952 000 til kr 119 883 000</w:t>
            </w:r>
          </w:p>
        </w:tc>
        <w:tc>
          <w:tcPr>
            <w:tcW w:w="1717" w:type="dxa"/>
            <w:tcBorders>
              <w:top w:val="nil"/>
              <w:left w:val="nil"/>
              <w:bottom w:val="nil"/>
              <w:right w:val="nil"/>
            </w:tcBorders>
            <w:tcMar>
              <w:top w:w="128" w:type="dxa"/>
              <w:left w:w="43" w:type="dxa"/>
              <w:bottom w:w="43" w:type="dxa"/>
              <w:right w:w="43" w:type="dxa"/>
            </w:tcMar>
            <w:vAlign w:val="bottom"/>
          </w:tcPr>
          <w:p w14:paraId="7029045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0976666" w14:textId="77777777" w:rsidR="000A2A2B" w:rsidRPr="007C3060" w:rsidRDefault="000A2A2B" w:rsidP="007C3060"/>
        </w:tc>
      </w:tr>
      <w:tr w:rsidR="004B729E" w:rsidRPr="007C3060" w14:paraId="1CEC6CE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B3B74EF" w14:textId="77777777" w:rsidR="000A2A2B" w:rsidRPr="007C3060" w:rsidRDefault="000A2A2B" w:rsidP="007C3060">
            <w:r w:rsidRPr="007C3060">
              <w:t>432</w:t>
            </w:r>
          </w:p>
        </w:tc>
        <w:tc>
          <w:tcPr>
            <w:tcW w:w="992" w:type="dxa"/>
            <w:tcBorders>
              <w:top w:val="nil"/>
              <w:left w:val="nil"/>
              <w:bottom w:val="nil"/>
              <w:right w:val="nil"/>
            </w:tcBorders>
            <w:tcMar>
              <w:top w:w="128" w:type="dxa"/>
              <w:left w:w="43" w:type="dxa"/>
              <w:bottom w:w="43" w:type="dxa"/>
              <w:right w:w="123" w:type="dxa"/>
            </w:tcMar>
          </w:tcPr>
          <w:p w14:paraId="6301D84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8D210F3" w14:textId="77777777" w:rsidR="000A2A2B" w:rsidRPr="007C3060" w:rsidRDefault="000A2A2B" w:rsidP="007C3060">
            <w:r w:rsidRPr="007C3060">
              <w:t>Kriminalomsorgens høgskole og utdanningssenter:</w:t>
            </w:r>
          </w:p>
        </w:tc>
        <w:tc>
          <w:tcPr>
            <w:tcW w:w="1717" w:type="dxa"/>
            <w:tcBorders>
              <w:top w:val="nil"/>
              <w:left w:val="nil"/>
              <w:bottom w:val="nil"/>
              <w:right w:val="nil"/>
            </w:tcBorders>
            <w:tcMar>
              <w:top w:w="128" w:type="dxa"/>
              <w:left w:w="43" w:type="dxa"/>
              <w:bottom w:w="43" w:type="dxa"/>
              <w:right w:w="43" w:type="dxa"/>
            </w:tcMar>
            <w:vAlign w:val="bottom"/>
          </w:tcPr>
          <w:p w14:paraId="0DE1243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13798C5" w14:textId="77777777" w:rsidR="000A2A2B" w:rsidRPr="007C3060" w:rsidRDefault="000A2A2B" w:rsidP="007C3060"/>
        </w:tc>
      </w:tr>
      <w:tr w:rsidR="004B729E" w:rsidRPr="007C3060" w14:paraId="164B23B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51B6BC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802AD85"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19C7CDAA"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2129C07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9C93034" w14:textId="77777777" w:rsidR="000A2A2B" w:rsidRPr="007C3060" w:rsidRDefault="000A2A2B" w:rsidP="007C3060">
            <w:r w:rsidRPr="007C3060">
              <w:t>40 560 000</w:t>
            </w:r>
          </w:p>
        </w:tc>
      </w:tr>
      <w:tr w:rsidR="004B729E" w:rsidRPr="007C3060" w14:paraId="4B5D1D6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BA601B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A9D9CD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B9663CE" w14:textId="77777777" w:rsidR="000A2A2B" w:rsidRPr="007C3060" w:rsidRDefault="000A2A2B" w:rsidP="007C3060">
            <w:r w:rsidRPr="007C3060">
              <w:t>fra kr 252 138 000 til kr 292 698 000</w:t>
            </w:r>
          </w:p>
        </w:tc>
        <w:tc>
          <w:tcPr>
            <w:tcW w:w="1717" w:type="dxa"/>
            <w:tcBorders>
              <w:top w:val="nil"/>
              <w:left w:val="nil"/>
              <w:bottom w:val="nil"/>
              <w:right w:val="nil"/>
            </w:tcBorders>
            <w:tcMar>
              <w:top w:w="128" w:type="dxa"/>
              <w:left w:w="43" w:type="dxa"/>
              <w:bottom w:w="43" w:type="dxa"/>
              <w:right w:w="43" w:type="dxa"/>
            </w:tcMar>
            <w:vAlign w:val="bottom"/>
          </w:tcPr>
          <w:p w14:paraId="337FBA2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615BF6A" w14:textId="77777777" w:rsidR="000A2A2B" w:rsidRPr="007C3060" w:rsidRDefault="000A2A2B" w:rsidP="007C3060"/>
        </w:tc>
      </w:tr>
      <w:tr w:rsidR="004B729E" w:rsidRPr="007C3060" w14:paraId="6684E3E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E3DAE5E" w14:textId="77777777" w:rsidR="000A2A2B" w:rsidRPr="007C3060" w:rsidRDefault="000A2A2B" w:rsidP="007C3060">
            <w:r w:rsidRPr="007C3060">
              <w:t>433</w:t>
            </w:r>
          </w:p>
        </w:tc>
        <w:tc>
          <w:tcPr>
            <w:tcW w:w="992" w:type="dxa"/>
            <w:tcBorders>
              <w:top w:val="nil"/>
              <w:left w:val="nil"/>
              <w:bottom w:val="nil"/>
              <w:right w:val="nil"/>
            </w:tcBorders>
            <w:tcMar>
              <w:top w:w="128" w:type="dxa"/>
              <w:left w:w="43" w:type="dxa"/>
              <w:bottom w:w="43" w:type="dxa"/>
              <w:right w:w="123" w:type="dxa"/>
            </w:tcMar>
          </w:tcPr>
          <w:p w14:paraId="2F571D9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C173B11" w14:textId="77777777" w:rsidR="000A2A2B" w:rsidRPr="007C3060" w:rsidRDefault="000A2A2B" w:rsidP="007C3060">
            <w:r w:rsidRPr="007C3060">
              <w:t>Konfliktrådet:</w:t>
            </w:r>
          </w:p>
        </w:tc>
        <w:tc>
          <w:tcPr>
            <w:tcW w:w="1717" w:type="dxa"/>
            <w:tcBorders>
              <w:top w:val="nil"/>
              <w:left w:val="nil"/>
              <w:bottom w:val="nil"/>
              <w:right w:val="nil"/>
            </w:tcBorders>
            <w:tcMar>
              <w:top w:w="128" w:type="dxa"/>
              <w:left w:w="43" w:type="dxa"/>
              <w:bottom w:w="43" w:type="dxa"/>
              <w:right w:w="43" w:type="dxa"/>
            </w:tcMar>
            <w:vAlign w:val="bottom"/>
          </w:tcPr>
          <w:p w14:paraId="6241D5C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2B28AD6" w14:textId="77777777" w:rsidR="000A2A2B" w:rsidRPr="007C3060" w:rsidRDefault="000A2A2B" w:rsidP="007C3060"/>
        </w:tc>
      </w:tr>
      <w:tr w:rsidR="004B729E" w:rsidRPr="007C3060" w14:paraId="4332161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328A6B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9903CA8"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4D73B6C6"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6B37972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EAFA3F7" w14:textId="77777777" w:rsidR="000A2A2B" w:rsidRPr="007C3060" w:rsidRDefault="000A2A2B" w:rsidP="007C3060">
            <w:r w:rsidRPr="007C3060">
              <w:t>2 625 000</w:t>
            </w:r>
          </w:p>
        </w:tc>
      </w:tr>
      <w:tr w:rsidR="004B729E" w:rsidRPr="007C3060" w14:paraId="1532FDC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385741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1C4C35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485F695" w14:textId="77777777" w:rsidR="000A2A2B" w:rsidRPr="007C3060" w:rsidRDefault="000A2A2B" w:rsidP="007C3060">
            <w:r w:rsidRPr="007C3060">
              <w:t>fra kr 180 479 000 til kr 183 104 000</w:t>
            </w:r>
          </w:p>
        </w:tc>
        <w:tc>
          <w:tcPr>
            <w:tcW w:w="1717" w:type="dxa"/>
            <w:tcBorders>
              <w:top w:val="nil"/>
              <w:left w:val="nil"/>
              <w:bottom w:val="nil"/>
              <w:right w:val="nil"/>
            </w:tcBorders>
            <w:tcMar>
              <w:top w:w="128" w:type="dxa"/>
              <w:left w:w="43" w:type="dxa"/>
              <w:bottom w:w="43" w:type="dxa"/>
              <w:right w:w="43" w:type="dxa"/>
            </w:tcMar>
            <w:vAlign w:val="bottom"/>
          </w:tcPr>
          <w:p w14:paraId="32518B2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D53DC2F" w14:textId="77777777" w:rsidR="000A2A2B" w:rsidRPr="007C3060" w:rsidRDefault="000A2A2B" w:rsidP="007C3060"/>
        </w:tc>
      </w:tr>
      <w:tr w:rsidR="004B729E" w:rsidRPr="007C3060" w14:paraId="05BA1B5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03F455D" w14:textId="77777777" w:rsidR="000A2A2B" w:rsidRPr="007C3060" w:rsidRDefault="000A2A2B" w:rsidP="007C3060">
            <w:r w:rsidRPr="007C3060">
              <w:t>440</w:t>
            </w:r>
          </w:p>
        </w:tc>
        <w:tc>
          <w:tcPr>
            <w:tcW w:w="992" w:type="dxa"/>
            <w:tcBorders>
              <w:top w:val="nil"/>
              <w:left w:val="nil"/>
              <w:bottom w:val="nil"/>
              <w:right w:val="nil"/>
            </w:tcBorders>
            <w:tcMar>
              <w:top w:w="128" w:type="dxa"/>
              <w:left w:w="43" w:type="dxa"/>
              <w:bottom w:w="43" w:type="dxa"/>
              <w:right w:w="123" w:type="dxa"/>
            </w:tcMar>
          </w:tcPr>
          <w:p w14:paraId="7654DAD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05C9D69" w14:textId="77777777" w:rsidR="000A2A2B" w:rsidRPr="007C3060" w:rsidRDefault="000A2A2B" w:rsidP="007C3060">
            <w:r w:rsidRPr="007C3060">
              <w:t>Politiet:</w:t>
            </w:r>
          </w:p>
        </w:tc>
        <w:tc>
          <w:tcPr>
            <w:tcW w:w="1717" w:type="dxa"/>
            <w:tcBorders>
              <w:top w:val="nil"/>
              <w:left w:val="nil"/>
              <w:bottom w:val="nil"/>
              <w:right w:val="nil"/>
            </w:tcBorders>
            <w:tcMar>
              <w:top w:w="128" w:type="dxa"/>
              <w:left w:w="43" w:type="dxa"/>
              <w:bottom w:w="43" w:type="dxa"/>
              <w:right w:w="43" w:type="dxa"/>
            </w:tcMar>
            <w:vAlign w:val="bottom"/>
          </w:tcPr>
          <w:p w14:paraId="6C0F923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C6A5135" w14:textId="77777777" w:rsidR="000A2A2B" w:rsidRPr="007C3060" w:rsidRDefault="000A2A2B" w:rsidP="007C3060"/>
        </w:tc>
      </w:tr>
      <w:tr w:rsidR="004B729E" w:rsidRPr="007C3060" w14:paraId="2DEDC747"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FB6F40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8BD79B4"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57F2C635" w14:textId="77777777" w:rsidR="000A2A2B" w:rsidRPr="007C3060" w:rsidRDefault="000A2A2B" w:rsidP="007C3060">
            <w:r w:rsidRPr="007C3060">
              <w:t xml:space="preserve">Driftsutgifter, </w:t>
            </w:r>
            <w:r w:rsidRPr="007C3060">
              <w:rPr>
                <w:rStyle w:val="kursiv"/>
              </w:rPr>
              <w:t>kan nyttes under kap. 441, post 1 og kap. 443, post 1</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17AAB49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ADF2727" w14:textId="77777777" w:rsidR="000A2A2B" w:rsidRPr="007C3060" w:rsidRDefault="000A2A2B" w:rsidP="007C3060">
            <w:r w:rsidRPr="007C3060">
              <w:t>12 538 000</w:t>
            </w:r>
          </w:p>
        </w:tc>
      </w:tr>
      <w:tr w:rsidR="004B729E" w:rsidRPr="007C3060" w14:paraId="682790A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602CCE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47B992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4AF41D7" w14:textId="77777777" w:rsidR="000A2A2B" w:rsidRPr="007C3060" w:rsidRDefault="000A2A2B" w:rsidP="007C3060">
            <w:r w:rsidRPr="007C3060">
              <w:t>fra kr 24 035 298 000 til kr 24 047 836 000</w:t>
            </w:r>
          </w:p>
        </w:tc>
        <w:tc>
          <w:tcPr>
            <w:tcW w:w="1717" w:type="dxa"/>
            <w:tcBorders>
              <w:top w:val="nil"/>
              <w:left w:val="nil"/>
              <w:bottom w:val="nil"/>
              <w:right w:val="nil"/>
            </w:tcBorders>
            <w:tcMar>
              <w:top w:w="128" w:type="dxa"/>
              <w:left w:w="43" w:type="dxa"/>
              <w:bottom w:w="43" w:type="dxa"/>
              <w:right w:w="43" w:type="dxa"/>
            </w:tcMar>
            <w:vAlign w:val="bottom"/>
          </w:tcPr>
          <w:p w14:paraId="227D925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6633CFD" w14:textId="77777777" w:rsidR="000A2A2B" w:rsidRPr="007C3060" w:rsidRDefault="000A2A2B" w:rsidP="007C3060"/>
        </w:tc>
      </w:tr>
      <w:tr w:rsidR="004B729E" w:rsidRPr="007C3060" w14:paraId="3F47533C"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0E508D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D92214F" w14:textId="77777777" w:rsidR="000A2A2B" w:rsidRPr="007C3060" w:rsidRDefault="000A2A2B" w:rsidP="007C3060">
            <w:r w:rsidRPr="007C3060">
              <w:t>25</w:t>
            </w:r>
          </w:p>
        </w:tc>
        <w:tc>
          <w:tcPr>
            <w:tcW w:w="4819" w:type="dxa"/>
            <w:tcBorders>
              <w:top w:val="nil"/>
              <w:left w:val="nil"/>
              <w:bottom w:val="nil"/>
              <w:right w:val="nil"/>
            </w:tcBorders>
            <w:tcMar>
              <w:top w:w="128" w:type="dxa"/>
              <w:left w:w="43" w:type="dxa"/>
              <w:bottom w:w="43" w:type="dxa"/>
              <w:right w:w="43" w:type="dxa"/>
            </w:tcMar>
            <w:vAlign w:val="bottom"/>
          </w:tcPr>
          <w:p w14:paraId="6A14CCC8" w14:textId="77777777" w:rsidR="000A2A2B" w:rsidRPr="007C3060" w:rsidRDefault="000A2A2B" w:rsidP="007C3060">
            <w:r w:rsidRPr="007C3060">
              <w:t>Variable utgifter ved ankomst, mottak og retur i politiets</w:t>
            </w:r>
          </w:p>
          <w:p w14:paraId="3B0102E0" w14:textId="77777777" w:rsidR="000A2A2B" w:rsidRPr="007C3060" w:rsidRDefault="000A2A2B" w:rsidP="007C3060">
            <w:r w:rsidRPr="007C3060">
              <w:t>utlendingsforvaltning, forhøyes med</w:t>
            </w:r>
          </w:p>
        </w:tc>
        <w:tc>
          <w:tcPr>
            <w:tcW w:w="1717" w:type="dxa"/>
            <w:tcBorders>
              <w:top w:val="nil"/>
              <w:left w:val="nil"/>
              <w:bottom w:val="nil"/>
              <w:right w:val="nil"/>
            </w:tcBorders>
            <w:tcMar>
              <w:top w:w="128" w:type="dxa"/>
              <w:left w:w="43" w:type="dxa"/>
              <w:bottom w:w="43" w:type="dxa"/>
              <w:right w:w="43" w:type="dxa"/>
            </w:tcMar>
            <w:vAlign w:val="bottom"/>
          </w:tcPr>
          <w:p w14:paraId="30D82CA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03513D9" w14:textId="77777777" w:rsidR="000A2A2B" w:rsidRPr="007C3060" w:rsidRDefault="000A2A2B" w:rsidP="007C3060">
            <w:r w:rsidRPr="007C3060">
              <w:t>23 500 000</w:t>
            </w:r>
          </w:p>
        </w:tc>
      </w:tr>
      <w:tr w:rsidR="004B729E" w:rsidRPr="007C3060" w14:paraId="78B2DBE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E50F1C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2571B2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2B8ACAA" w14:textId="77777777" w:rsidR="000A2A2B" w:rsidRPr="007C3060" w:rsidRDefault="000A2A2B" w:rsidP="007C3060">
            <w:r w:rsidRPr="007C3060">
              <w:t>fra kr 192 563 000 til kr 216 063 000</w:t>
            </w:r>
          </w:p>
        </w:tc>
        <w:tc>
          <w:tcPr>
            <w:tcW w:w="1717" w:type="dxa"/>
            <w:tcBorders>
              <w:top w:val="nil"/>
              <w:left w:val="nil"/>
              <w:bottom w:val="nil"/>
              <w:right w:val="nil"/>
            </w:tcBorders>
            <w:tcMar>
              <w:top w:w="128" w:type="dxa"/>
              <w:left w:w="43" w:type="dxa"/>
              <w:bottom w:w="43" w:type="dxa"/>
              <w:right w:w="43" w:type="dxa"/>
            </w:tcMar>
            <w:vAlign w:val="bottom"/>
          </w:tcPr>
          <w:p w14:paraId="51C4A9F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0B9F32E" w14:textId="77777777" w:rsidR="000A2A2B" w:rsidRPr="007C3060" w:rsidRDefault="000A2A2B" w:rsidP="007C3060"/>
        </w:tc>
      </w:tr>
      <w:tr w:rsidR="004B729E" w:rsidRPr="007C3060" w14:paraId="72FADA24"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00AA8BC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9C211EA" w14:textId="77777777" w:rsidR="000A2A2B" w:rsidRPr="007C3060" w:rsidRDefault="000A2A2B" w:rsidP="007C3060">
            <w:r w:rsidRPr="007C3060">
              <w:t>45</w:t>
            </w:r>
          </w:p>
        </w:tc>
        <w:tc>
          <w:tcPr>
            <w:tcW w:w="4819" w:type="dxa"/>
            <w:tcBorders>
              <w:top w:val="nil"/>
              <w:left w:val="nil"/>
              <w:bottom w:val="nil"/>
              <w:right w:val="nil"/>
            </w:tcBorders>
            <w:tcMar>
              <w:top w:w="128" w:type="dxa"/>
              <w:left w:w="43" w:type="dxa"/>
              <w:bottom w:w="43" w:type="dxa"/>
              <w:right w:w="43" w:type="dxa"/>
            </w:tcMar>
            <w:vAlign w:val="bottom"/>
          </w:tcPr>
          <w:p w14:paraId="1535FAB4" w14:textId="77777777" w:rsidR="000A2A2B" w:rsidRPr="007C3060" w:rsidRDefault="000A2A2B" w:rsidP="007C3060">
            <w:r w:rsidRPr="007C3060">
              <w:t xml:space="preserve">Større utstyrsanskaffelser og vedlikehold,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52DF8F5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589CFEE" w14:textId="77777777" w:rsidR="000A2A2B" w:rsidRPr="007C3060" w:rsidRDefault="000A2A2B" w:rsidP="007C3060">
            <w:r w:rsidRPr="007C3060">
              <w:t>6 800 000</w:t>
            </w:r>
          </w:p>
        </w:tc>
      </w:tr>
      <w:tr w:rsidR="004B729E" w:rsidRPr="007C3060" w14:paraId="49905DF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C8F7A8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75BA89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25E8643" w14:textId="77777777" w:rsidR="000A2A2B" w:rsidRPr="007C3060" w:rsidRDefault="000A2A2B" w:rsidP="007C3060">
            <w:r w:rsidRPr="007C3060">
              <w:t>fra kr 34 085 000 til kr 27 285 000</w:t>
            </w:r>
          </w:p>
        </w:tc>
        <w:tc>
          <w:tcPr>
            <w:tcW w:w="1717" w:type="dxa"/>
            <w:tcBorders>
              <w:top w:val="nil"/>
              <w:left w:val="nil"/>
              <w:bottom w:val="nil"/>
              <w:right w:val="nil"/>
            </w:tcBorders>
            <w:tcMar>
              <w:top w:w="128" w:type="dxa"/>
              <w:left w:w="43" w:type="dxa"/>
              <w:bottom w:w="43" w:type="dxa"/>
              <w:right w:w="43" w:type="dxa"/>
            </w:tcMar>
            <w:vAlign w:val="bottom"/>
          </w:tcPr>
          <w:p w14:paraId="1F518C0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6760AFE" w14:textId="77777777" w:rsidR="000A2A2B" w:rsidRPr="007C3060" w:rsidRDefault="000A2A2B" w:rsidP="007C3060"/>
        </w:tc>
      </w:tr>
      <w:tr w:rsidR="004B729E" w:rsidRPr="007C3060" w14:paraId="09EAE7F0"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27155D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0F82C00" w14:textId="77777777" w:rsidR="000A2A2B" w:rsidRPr="007C3060" w:rsidRDefault="000A2A2B" w:rsidP="007C3060">
            <w:r w:rsidRPr="007C3060">
              <w:t>46</w:t>
            </w:r>
          </w:p>
        </w:tc>
        <w:tc>
          <w:tcPr>
            <w:tcW w:w="4819" w:type="dxa"/>
            <w:tcBorders>
              <w:top w:val="nil"/>
              <w:left w:val="nil"/>
              <w:bottom w:val="nil"/>
              <w:right w:val="nil"/>
            </w:tcBorders>
            <w:tcMar>
              <w:top w:w="128" w:type="dxa"/>
              <w:left w:w="43" w:type="dxa"/>
              <w:bottom w:w="43" w:type="dxa"/>
              <w:right w:w="43" w:type="dxa"/>
            </w:tcMar>
            <w:vAlign w:val="bottom"/>
          </w:tcPr>
          <w:p w14:paraId="1BBCA344" w14:textId="77777777" w:rsidR="000A2A2B" w:rsidRPr="007C3060" w:rsidRDefault="000A2A2B" w:rsidP="007C3060">
            <w:r w:rsidRPr="007C3060">
              <w:t xml:space="preserve">Investeringer i Schengen IT-systemer,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2ED0221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1B7F97D" w14:textId="77777777" w:rsidR="000A2A2B" w:rsidRPr="007C3060" w:rsidRDefault="000A2A2B" w:rsidP="007C3060">
            <w:r w:rsidRPr="007C3060">
              <w:t>230 266 000</w:t>
            </w:r>
          </w:p>
        </w:tc>
      </w:tr>
      <w:tr w:rsidR="004B729E" w:rsidRPr="007C3060" w14:paraId="678FC23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3D0862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1B77E3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7710E4E" w14:textId="77777777" w:rsidR="000A2A2B" w:rsidRPr="007C3060" w:rsidRDefault="000A2A2B" w:rsidP="007C3060">
            <w:r w:rsidRPr="007C3060">
              <w:t>fra kr 350 002 000 til kr 119 736 000</w:t>
            </w:r>
          </w:p>
        </w:tc>
        <w:tc>
          <w:tcPr>
            <w:tcW w:w="1717" w:type="dxa"/>
            <w:tcBorders>
              <w:top w:val="nil"/>
              <w:left w:val="nil"/>
              <w:bottom w:val="nil"/>
              <w:right w:val="nil"/>
            </w:tcBorders>
            <w:tcMar>
              <w:top w:w="128" w:type="dxa"/>
              <w:left w:w="43" w:type="dxa"/>
              <w:bottom w:w="43" w:type="dxa"/>
              <w:right w:w="43" w:type="dxa"/>
            </w:tcMar>
            <w:vAlign w:val="bottom"/>
          </w:tcPr>
          <w:p w14:paraId="073EA91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9E9C0A2" w14:textId="77777777" w:rsidR="000A2A2B" w:rsidRPr="007C3060" w:rsidRDefault="000A2A2B" w:rsidP="007C3060"/>
        </w:tc>
      </w:tr>
      <w:tr w:rsidR="004B729E" w:rsidRPr="007C3060" w14:paraId="496761A9"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119CC9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5CB4B59" w14:textId="77777777" w:rsidR="000A2A2B" w:rsidRPr="007C3060" w:rsidRDefault="000A2A2B" w:rsidP="007C3060">
            <w:r w:rsidRPr="007C3060">
              <w:t>48</w:t>
            </w:r>
          </w:p>
        </w:tc>
        <w:tc>
          <w:tcPr>
            <w:tcW w:w="4819" w:type="dxa"/>
            <w:tcBorders>
              <w:top w:val="nil"/>
              <w:left w:val="nil"/>
              <w:bottom w:val="nil"/>
              <w:right w:val="nil"/>
            </w:tcBorders>
            <w:tcMar>
              <w:top w:w="128" w:type="dxa"/>
              <w:left w:w="43" w:type="dxa"/>
              <w:bottom w:w="43" w:type="dxa"/>
              <w:right w:w="43" w:type="dxa"/>
            </w:tcMar>
            <w:vAlign w:val="bottom"/>
          </w:tcPr>
          <w:p w14:paraId="03166489" w14:textId="027284EA" w:rsidR="000A2A2B" w:rsidRPr="007C3060" w:rsidRDefault="000A2A2B" w:rsidP="007C3060">
            <w:r w:rsidRPr="007C3060">
              <w:t xml:space="preserve">Tildeling fra EUs grense- og visumfinansieringsordninger,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0D1B8F0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54A95F2" w14:textId="77777777" w:rsidR="000A2A2B" w:rsidRPr="007C3060" w:rsidRDefault="000A2A2B" w:rsidP="007C3060">
            <w:r w:rsidRPr="007C3060">
              <w:t>8 895 000</w:t>
            </w:r>
          </w:p>
        </w:tc>
      </w:tr>
      <w:tr w:rsidR="004B729E" w:rsidRPr="007C3060" w14:paraId="18137CC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E1A6B9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69E0F2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8B7B404" w14:textId="77777777" w:rsidR="000A2A2B" w:rsidRPr="007C3060" w:rsidRDefault="000A2A2B" w:rsidP="007C3060">
            <w:r w:rsidRPr="007C3060">
              <w:t>fra kr 147 310 000 til kr 138 415 000</w:t>
            </w:r>
          </w:p>
        </w:tc>
        <w:tc>
          <w:tcPr>
            <w:tcW w:w="1717" w:type="dxa"/>
            <w:tcBorders>
              <w:top w:val="nil"/>
              <w:left w:val="nil"/>
              <w:bottom w:val="nil"/>
              <w:right w:val="nil"/>
            </w:tcBorders>
            <w:tcMar>
              <w:top w:w="128" w:type="dxa"/>
              <w:left w:w="43" w:type="dxa"/>
              <w:bottom w:w="43" w:type="dxa"/>
              <w:right w:w="43" w:type="dxa"/>
            </w:tcMar>
            <w:vAlign w:val="bottom"/>
          </w:tcPr>
          <w:p w14:paraId="2A81D28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1753232" w14:textId="77777777" w:rsidR="000A2A2B" w:rsidRPr="007C3060" w:rsidRDefault="000A2A2B" w:rsidP="007C3060"/>
        </w:tc>
      </w:tr>
      <w:tr w:rsidR="004B729E" w:rsidRPr="007C3060" w14:paraId="0FEBCBBF"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EA5FB1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09E6851"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58149F6D" w14:textId="3304672A" w:rsidR="000A2A2B" w:rsidRPr="007C3060" w:rsidRDefault="000A2A2B" w:rsidP="007C3060">
            <w:r w:rsidRPr="007C3060">
              <w:t xml:space="preserve">Internasjonale forpliktelser, mv.,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2A34F4B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C9BCBF1" w14:textId="77777777" w:rsidR="000A2A2B" w:rsidRPr="007C3060" w:rsidRDefault="000A2A2B" w:rsidP="007C3060">
            <w:r w:rsidRPr="007C3060">
              <w:t>26 364 000</w:t>
            </w:r>
          </w:p>
        </w:tc>
      </w:tr>
      <w:tr w:rsidR="004B729E" w:rsidRPr="007C3060" w14:paraId="3617040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3F4272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88E783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CA73557" w14:textId="77777777" w:rsidR="000A2A2B" w:rsidRPr="007C3060" w:rsidRDefault="000A2A2B" w:rsidP="007C3060">
            <w:r w:rsidRPr="007C3060">
              <w:t>fra kr 703 644 000 til kr 730 008 000</w:t>
            </w:r>
          </w:p>
        </w:tc>
        <w:tc>
          <w:tcPr>
            <w:tcW w:w="1717" w:type="dxa"/>
            <w:tcBorders>
              <w:top w:val="nil"/>
              <w:left w:val="nil"/>
              <w:bottom w:val="nil"/>
              <w:right w:val="nil"/>
            </w:tcBorders>
            <w:tcMar>
              <w:top w:w="128" w:type="dxa"/>
              <w:left w:w="43" w:type="dxa"/>
              <w:bottom w:w="43" w:type="dxa"/>
              <w:right w:w="43" w:type="dxa"/>
            </w:tcMar>
            <w:vAlign w:val="bottom"/>
          </w:tcPr>
          <w:p w14:paraId="35B6368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A55BBEC" w14:textId="77777777" w:rsidR="000A2A2B" w:rsidRPr="007C3060" w:rsidRDefault="000A2A2B" w:rsidP="007C3060"/>
        </w:tc>
      </w:tr>
      <w:tr w:rsidR="004B729E" w:rsidRPr="007C3060" w14:paraId="3BB49F4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C0282B2" w14:textId="77777777" w:rsidR="000A2A2B" w:rsidRPr="007C3060" w:rsidRDefault="000A2A2B" w:rsidP="007C3060">
            <w:r w:rsidRPr="007C3060">
              <w:t>441</w:t>
            </w:r>
          </w:p>
        </w:tc>
        <w:tc>
          <w:tcPr>
            <w:tcW w:w="992" w:type="dxa"/>
            <w:tcBorders>
              <w:top w:val="nil"/>
              <w:left w:val="nil"/>
              <w:bottom w:val="nil"/>
              <w:right w:val="nil"/>
            </w:tcBorders>
            <w:tcMar>
              <w:top w:w="128" w:type="dxa"/>
              <w:left w:w="43" w:type="dxa"/>
              <w:bottom w:w="43" w:type="dxa"/>
              <w:right w:w="123" w:type="dxa"/>
            </w:tcMar>
          </w:tcPr>
          <w:p w14:paraId="775CADB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98066FF" w14:textId="77777777" w:rsidR="000A2A2B" w:rsidRPr="007C3060" w:rsidRDefault="000A2A2B" w:rsidP="007C3060">
            <w:r w:rsidRPr="007C3060">
              <w:t>Politidirektoratet:</w:t>
            </w:r>
          </w:p>
        </w:tc>
        <w:tc>
          <w:tcPr>
            <w:tcW w:w="1717" w:type="dxa"/>
            <w:tcBorders>
              <w:top w:val="nil"/>
              <w:left w:val="nil"/>
              <w:bottom w:val="nil"/>
              <w:right w:val="nil"/>
            </w:tcBorders>
            <w:tcMar>
              <w:top w:w="128" w:type="dxa"/>
              <w:left w:w="43" w:type="dxa"/>
              <w:bottom w:w="43" w:type="dxa"/>
              <w:right w:w="43" w:type="dxa"/>
            </w:tcMar>
            <w:vAlign w:val="bottom"/>
          </w:tcPr>
          <w:p w14:paraId="0DFC1CA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BE50319" w14:textId="77777777" w:rsidR="000A2A2B" w:rsidRPr="007C3060" w:rsidRDefault="000A2A2B" w:rsidP="007C3060"/>
        </w:tc>
      </w:tr>
      <w:tr w:rsidR="004B729E" w:rsidRPr="007C3060" w14:paraId="09055402"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B4F9F1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8981571"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5D7B7E32" w14:textId="4AF67473" w:rsidR="000A2A2B" w:rsidRPr="007C3060" w:rsidRDefault="000A2A2B" w:rsidP="007C3060">
            <w:r w:rsidRPr="007C3060">
              <w:t xml:space="preserve">Driftsutgifter, </w:t>
            </w:r>
            <w:r w:rsidRPr="007C3060">
              <w:rPr>
                <w:rStyle w:val="kursiv"/>
              </w:rPr>
              <w:t>kan nyttes under kap. 440, post 1,</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65A51E7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A8E1D43" w14:textId="77777777" w:rsidR="000A2A2B" w:rsidRPr="007C3060" w:rsidRDefault="000A2A2B" w:rsidP="007C3060">
            <w:r w:rsidRPr="007C3060">
              <w:t>6 650 000</w:t>
            </w:r>
          </w:p>
        </w:tc>
      </w:tr>
      <w:tr w:rsidR="004B729E" w:rsidRPr="007C3060" w14:paraId="4BB9DDD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C747AD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B9940B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155095F" w14:textId="77777777" w:rsidR="000A2A2B" w:rsidRPr="007C3060" w:rsidRDefault="000A2A2B" w:rsidP="007C3060">
            <w:r w:rsidRPr="007C3060">
              <w:t>fra kr 383 084 000 til kr 389 734 000</w:t>
            </w:r>
          </w:p>
        </w:tc>
        <w:tc>
          <w:tcPr>
            <w:tcW w:w="1717" w:type="dxa"/>
            <w:tcBorders>
              <w:top w:val="nil"/>
              <w:left w:val="nil"/>
              <w:bottom w:val="nil"/>
              <w:right w:val="nil"/>
            </w:tcBorders>
            <w:tcMar>
              <w:top w:w="128" w:type="dxa"/>
              <w:left w:w="43" w:type="dxa"/>
              <w:bottom w:w="43" w:type="dxa"/>
              <w:right w:w="43" w:type="dxa"/>
            </w:tcMar>
            <w:vAlign w:val="bottom"/>
          </w:tcPr>
          <w:p w14:paraId="0655474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09C0008" w14:textId="77777777" w:rsidR="000A2A2B" w:rsidRPr="007C3060" w:rsidRDefault="000A2A2B" w:rsidP="007C3060"/>
        </w:tc>
      </w:tr>
      <w:tr w:rsidR="004B729E" w:rsidRPr="007C3060" w14:paraId="15D6963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4805E04" w14:textId="77777777" w:rsidR="000A2A2B" w:rsidRPr="007C3060" w:rsidRDefault="000A2A2B" w:rsidP="007C3060">
            <w:r w:rsidRPr="007C3060">
              <w:t>442</w:t>
            </w:r>
          </w:p>
        </w:tc>
        <w:tc>
          <w:tcPr>
            <w:tcW w:w="992" w:type="dxa"/>
            <w:tcBorders>
              <w:top w:val="nil"/>
              <w:left w:val="nil"/>
              <w:bottom w:val="nil"/>
              <w:right w:val="nil"/>
            </w:tcBorders>
            <w:tcMar>
              <w:top w:w="128" w:type="dxa"/>
              <w:left w:w="43" w:type="dxa"/>
              <w:bottom w:w="43" w:type="dxa"/>
              <w:right w:w="123" w:type="dxa"/>
            </w:tcMar>
          </w:tcPr>
          <w:p w14:paraId="3BA3A24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F959467" w14:textId="77777777" w:rsidR="000A2A2B" w:rsidRPr="007C3060" w:rsidRDefault="000A2A2B" w:rsidP="007C3060">
            <w:r w:rsidRPr="007C3060">
              <w:t>Politihøgskolen:</w:t>
            </w:r>
          </w:p>
        </w:tc>
        <w:tc>
          <w:tcPr>
            <w:tcW w:w="1717" w:type="dxa"/>
            <w:tcBorders>
              <w:top w:val="nil"/>
              <w:left w:val="nil"/>
              <w:bottom w:val="nil"/>
              <w:right w:val="nil"/>
            </w:tcBorders>
            <w:tcMar>
              <w:top w:w="128" w:type="dxa"/>
              <w:left w:w="43" w:type="dxa"/>
              <w:bottom w:w="43" w:type="dxa"/>
              <w:right w:w="43" w:type="dxa"/>
            </w:tcMar>
            <w:vAlign w:val="bottom"/>
          </w:tcPr>
          <w:p w14:paraId="786AEAA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8B86A66" w14:textId="77777777" w:rsidR="000A2A2B" w:rsidRPr="007C3060" w:rsidRDefault="000A2A2B" w:rsidP="007C3060"/>
        </w:tc>
      </w:tr>
      <w:tr w:rsidR="004B729E" w:rsidRPr="007C3060" w14:paraId="1ED9145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44D503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50B031C"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1282F455"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44E42C5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0858F5A" w14:textId="77777777" w:rsidR="000A2A2B" w:rsidRPr="007C3060" w:rsidRDefault="000A2A2B" w:rsidP="007C3060">
            <w:r w:rsidRPr="007C3060">
              <w:t>11 595 000</w:t>
            </w:r>
          </w:p>
        </w:tc>
      </w:tr>
      <w:tr w:rsidR="004B729E" w:rsidRPr="007C3060" w14:paraId="38DBBC1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8EDFA4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CA6CB9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5DC7F77" w14:textId="77777777" w:rsidR="000A2A2B" w:rsidRPr="007C3060" w:rsidRDefault="000A2A2B" w:rsidP="007C3060">
            <w:r w:rsidRPr="007C3060">
              <w:t>fra kr 713 726 000 til kr 725 321 000</w:t>
            </w:r>
          </w:p>
        </w:tc>
        <w:tc>
          <w:tcPr>
            <w:tcW w:w="1717" w:type="dxa"/>
            <w:tcBorders>
              <w:top w:val="nil"/>
              <w:left w:val="nil"/>
              <w:bottom w:val="nil"/>
              <w:right w:val="nil"/>
            </w:tcBorders>
            <w:tcMar>
              <w:top w:w="128" w:type="dxa"/>
              <w:left w:w="43" w:type="dxa"/>
              <w:bottom w:w="43" w:type="dxa"/>
              <w:right w:w="43" w:type="dxa"/>
            </w:tcMar>
            <w:vAlign w:val="bottom"/>
          </w:tcPr>
          <w:p w14:paraId="4712A4C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1482C64" w14:textId="77777777" w:rsidR="000A2A2B" w:rsidRPr="007C3060" w:rsidRDefault="000A2A2B" w:rsidP="007C3060"/>
        </w:tc>
      </w:tr>
      <w:tr w:rsidR="004B729E" w:rsidRPr="007C3060" w14:paraId="737B10E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0CA9371" w14:textId="77777777" w:rsidR="000A2A2B" w:rsidRPr="007C3060" w:rsidRDefault="000A2A2B" w:rsidP="007C3060">
            <w:r w:rsidRPr="007C3060">
              <w:t>443</w:t>
            </w:r>
          </w:p>
        </w:tc>
        <w:tc>
          <w:tcPr>
            <w:tcW w:w="992" w:type="dxa"/>
            <w:tcBorders>
              <w:top w:val="nil"/>
              <w:left w:val="nil"/>
              <w:bottom w:val="nil"/>
              <w:right w:val="nil"/>
            </w:tcBorders>
            <w:tcMar>
              <w:top w:w="128" w:type="dxa"/>
              <w:left w:w="43" w:type="dxa"/>
              <w:bottom w:w="43" w:type="dxa"/>
              <w:right w:w="123" w:type="dxa"/>
            </w:tcMar>
          </w:tcPr>
          <w:p w14:paraId="568749E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F2A82A0" w14:textId="77777777" w:rsidR="000A2A2B" w:rsidRPr="007C3060" w:rsidRDefault="000A2A2B" w:rsidP="007C3060">
            <w:r w:rsidRPr="007C3060">
              <w:t>Påtalemyndigheten i politiet:</w:t>
            </w:r>
          </w:p>
        </w:tc>
        <w:tc>
          <w:tcPr>
            <w:tcW w:w="1717" w:type="dxa"/>
            <w:tcBorders>
              <w:top w:val="nil"/>
              <w:left w:val="nil"/>
              <w:bottom w:val="nil"/>
              <w:right w:val="nil"/>
            </w:tcBorders>
            <w:tcMar>
              <w:top w:w="128" w:type="dxa"/>
              <w:left w:w="43" w:type="dxa"/>
              <w:bottom w:w="43" w:type="dxa"/>
              <w:right w:w="43" w:type="dxa"/>
            </w:tcMar>
            <w:vAlign w:val="bottom"/>
          </w:tcPr>
          <w:p w14:paraId="3CE202F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598016A" w14:textId="77777777" w:rsidR="000A2A2B" w:rsidRPr="007C3060" w:rsidRDefault="000A2A2B" w:rsidP="007C3060"/>
        </w:tc>
      </w:tr>
      <w:tr w:rsidR="004B729E" w:rsidRPr="007C3060" w14:paraId="4125D7DA"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3436B9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C846B2E"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5F10BB4B" w14:textId="6BDE3079" w:rsidR="000A2A2B" w:rsidRPr="007C3060" w:rsidRDefault="000A2A2B" w:rsidP="007C3060">
            <w:r w:rsidRPr="007C3060">
              <w:t xml:space="preserve">Driftsutgifter, </w:t>
            </w:r>
            <w:r w:rsidRPr="007C3060">
              <w:rPr>
                <w:rStyle w:val="kursiv"/>
              </w:rPr>
              <w:t>kan nyttes under kap. 440, post 1,</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1FEE288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E96902D" w14:textId="77777777" w:rsidR="000A2A2B" w:rsidRPr="007C3060" w:rsidRDefault="000A2A2B" w:rsidP="007C3060">
            <w:r w:rsidRPr="007C3060">
              <w:t>38 067 000</w:t>
            </w:r>
          </w:p>
        </w:tc>
      </w:tr>
      <w:tr w:rsidR="004B729E" w:rsidRPr="007C3060" w14:paraId="6672134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3D6A74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CDD1E6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9E3F857" w14:textId="77777777" w:rsidR="000A2A2B" w:rsidRPr="007C3060" w:rsidRDefault="000A2A2B" w:rsidP="007C3060">
            <w:r w:rsidRPr="007C3060">
              <w:t>fra kr 1 644 655 000 til kr 1 682 722 000</w:t>
            </w:r>
          </w:p>
        </w:tc>
        <w:tc>
          <w:tcPr>
            <w:tcW w:w="1717" w:type="dxa"/>
            <w:tcBorders>
              <w:top w:val="nil"/>
              <w:left w:val="nil"/>
              <w:bottom w:val="nil"/>
              <w:right w:val="nil"/>
            </w:tcBorders>
            <w:tcMar>
              <w:top w:w="128" w:type="dxa"/>
              <w:left w:w="43" w:type="dxa"/>
              <w:bottom w:w="43" w:type="dxa"/>
              <w:right w:w="43" w:type="dxa"/>
            </w:tcMar>
            <w:vAlign w:val="bottom"/>
          </w:tcPr>
          <w:p w14:paraId="09BAC77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D822FD6" w14:textId="77777777" w:rsidR="000A2A2B" w:rsidRPr="007C3060" w:rsidRDefault="000A2A2B" w:rsidP="007C3060"/>
        </w:tc>
      </w:tr>
      <w:tr w:rsidR="004B729E" w:rsidRPr="007C3060" w14:paraId="7D961F6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159C81B" w14:textId="77777777" w:rsidR="000A2A2B" w:rsidRPr="007C3060" w:rsidRDefault="000A2A2B" w:rsidP="007C3060">
            <w:r w:rsidRPr="007C3060">
              <w:t>444</w:t>
            </w:r>
          </w:p>
        </w:tc>
        <w:tc>
          <w:tcPr>
            <w:tcW w:w="992" w:type="dxa"/>
            <w:tcBorders>
              <w:top w:val="nil"/>
              <w:left w:val="nil"/>
              <w:bottom w:val="nil"/>
              <w:right w:val="nil"/>
            </w:tcBorders>
            <w:tcMar>
              <w:top w:w="128" w:type="dxa"/>
              <w:left w:w="43" w:type="dxa"/>
              <w:bottom w:w="43" w:type="dxa"/>
              <w:right w:w="123" w:type="dxa"/>
            </w:tcMar>
          </w:tcPr>
          <w:p w14:paraId="2C5E9AB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4611479" w14:textId="77777777" w:rsidR="000A2A2B" w:rsidRPr="007C3060" w:rsidRDefault="000A2A2B" w:rsidP="007C3060">
            <w:r w:rsidRPr="007C3060">
              <w:t>Politiets sikkerhetstjeneste (PST):</w:t>
            </w:r>
          </w:p>
        </w:tc>
        <w:tc>
          <w:tcPr>
            <w:tcW w:w="1717" w:type="dxa"/>
            <w:tcBorders>
              <w:top w:val="nil"/>
              <w:left w:val="nil"/>
              <w:bottom w:val="nil"/>
              <w:right w:val="nil"/>
            </w:tcBorders>
            <w:tcMar>
              <w:top w:w="128" w:type="dxa"/>
              <w:left w:w="43" w:type="dxa"/>
              <w:bottom w:w="43" w:type="dxa"/>
              <w:right w:w="43" w:type="dxa"/>
            </w:tcMar>
            <w:vAlign w:val="bottom"/>
          </w:tcPr>
          <w:p w14:paraId="5B5B4B2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860331F" w14:textId="77777777" w:rsidR="000A2A2B" w:rsidRPr="007C3060" w:rsidRDefault="000A2A2B" w:rsidP="007C3060"/>
        </w:tc>
      </w:tr>
      <w:tr w:rsidR="004B729E" w:rsidRPr="007C3060" w14:paraId="77C7716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340796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B7E5855"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190F8EA6"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04E031A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7DD81C0" w14:textId="77777777" w:rsidR="000A2A2B" w:rsidRPr="007C3060" w:rsidRDefault="000A2A2B" w:rsidP="007C3060">
            <w:r w:rsidRPr="007C3060">
              <w:t>10 000 000</w:t>
            </w:r>
          </w:p>
        </w:tc>
      </w:tr>
      <w:tr w:rsidR="004B729E" w:rsidRPr="007C3060" w14:paraId="6588E35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95731C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11E38C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F75D435" w14:textId="77777777" w:rsidR="000A2A2B" w:rsidRPr="007C3060" w:rsidRDefault="000A2A2B" w:rsidP="007C3060">
            <w:r w:rsidRPr="007C3060">
              <w:t>fra kr 1 759 279 000 til kr 1 769 279 000</w:t>
            </w:r>
          </w:p>
        </w:tc>
        <w:tc>
          <w:tcPr>
            <w:tcW w:w="1717" w:type="dxa"/>
            <w:tcBorders>
              <w:top w:val="nil"/>
              <w:left w:val="nil"/>
              <w:bottom w:val="nil"/>
              <w:right w:val="nil"/>
            </w:tcBorders>
            <w:tcMar>
              <w:top w:w="128" w:type="dxa"/>
              <w:left w:w="43" w:type="dxa"/>
              <w:bottom w:w="43" w:type="dxa"/>
              <w:right w:w="43" w:type="dxa"/>
            </w:tcMar>
            <w:vAlign w:val="bottom"/>
          </w:tcPr>
          <w:p w14:paraId="465AD6E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5F28FF1" w14:textId="77777777" w:rsidR="000A2A2B" w:rsidRPr="007C3060" w:rsidRDefault="000A2A2B" w:rsidP="007C3060"/>
        </w:tc>
      </w:tr>
      <w:tr w:rsidR="004B729E" w:rsidRPr="007C3060" w14:paraId="7588512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F869C28" w14:textId="77777777" w:rsidR="000A2A2B" w:rsidRPr="007C3060" w:rsidRDefault="000A2A2B" w:rsidP="007C3060">
            <w:r w:rsidRPr="007C3060">
              <w:t>445</w:t>
            </w:r>
          </w:p>
        </w:tc>
        <w:tc>
          <w:tcPr>
            <w:tcW w:w="992" w:type="dxa"/>
            <w:tcBorders>
              <w:top w:val="nil"/>
              <w:left w:val="nil"/>
              <w:bottom w:val="nil"/>
              <w:right w:val="nil"/>
            </w:tcBorders>
            <w:tcMar>
              <w:top w:w="128" w:type="dxa"/>
              <w:left w:w="43" w:type="dxa"/>
              <w:bottom w:w="43" w:type="dxa"/>
              <w:right w:w="123" w:type="dxa"/>
            </w:tcMar>
          </w:tcPr>
          <w:p w14:paraId="7A2187A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35E7C7E" w14:textId="77777777" w:rsidR="000A2A2B" w:rsidRPr="007C3060" w:rsidRDefault="000A2A2B" w:rsidP="007C3060">
            <w:r w:rsidRPr="007C3060">
              <w:t>Den høyere påtalemyndighet:</w:t>
            </w:r>
          </w:p>
        </w:tc>
        <w:tc>
          <w:tcPr>
            <w:tcW w:w="1717" w:type="dxa"/>
            <w:tcBorders>
              <w:top w:val="nil"/>
              <w:left w:val="nil"/>
              <w:bottom w:val="nil"/>
              <w:right w:val="nil"/>
            </w:tcBorders>
            <w:tcMar>
              <w:top w:w="128" w:type="dxa"/>
              <w:left w:w="43" w:type="dxa"/>
              <w:bottom w:w="43" w:type="dxa"/>
              <w:right w:w="43" w:type="dxa"/>
            </w:tcMar>
            <w:vAlign w:val="bottom"/>
          </w:tcPr>
          <w:p w14:paraId="0ADAD1C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7AF9233" w14:textId="77777777" w:rsidR="000A2A2B" w:rsidRPr="007C3060" w:rsidRDefault="000A2A2B" w:rsidP="007C3060"/>
        </w:tc>
      </w:tr>
      <w:tr w:rsidR="004B729E" w:rsidRPr="007C3060" w14:paraId="05AE5EF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99DCF2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6202B57"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1B2B4FDF"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67A3D86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3B0EE30" w14:textId="77777777" w:rsidR="000A2A2B" w:rsidRPr="007C3060" w:rsidRDefault="000A2A2B" w:rsidP="007C3060">
            <w:r w:rsidRPr="007C3060">
              <w:t>235 000</w:t>
            </w:r>
          </w:p>
        </w:tc>
      </w:tr>
      <w:tr w:rsidR="004B729E" w:rsidRPr="007C3060" w14:paraId="0DAA917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D7DCDB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E4906B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292BD1F" w14:textId="77777777" w:rsidR="000A2A2B" w:rsidRPr="007C3060" w:rsidRDefault="000A2A2B" w:rsidP="007C3060">
            <w:r w:rsidRPr="007C3060">
              <w:t>fra kr 393 959 000 til kr 394 194 000</w:t>
            </w:r>
          </w:p>
        </w:tc>
        <w:tc>
          <w:tcPr>
            <w:tcW w:w="1717" w:type="dxa"/>
            <w:tcBorders>
              <w:top w:val="nil"/>
              <w:left w:val="nil"/>
              <w:bottom w:val="nil"/>
              <w:right w:val="nil"/>
            </w:tcBorders>
            <w:tcMar>
              <w:top w:w="128" w:type="dxa"/>
              <w:left w:w="43" w:type="dxa"/>
              <w:bottom w:w="43" w:type="dxa"/>
              <w:right w:w="43" w:type="dxa"/>
            </w:tcMar>
            <w:vAlign w:val="bottom"/>
          </w:tcPr>
          <w:p w14:paraId="126E1BA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5281496" w14:textId="77777777" w:rsidR="000A2A2B" w:rsidRPr="007C3060" w:rsidRDefault="000A2A2B" w:rsidP="007C3060"/>
        </w:tc>
      </w:tr>
      <w:tr w:rsidR="004B729E" w:rsidRPr="007C3060" w14:paraId="41F4EA5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39A5272" w14:textId="77777777" w:rsidR="000A2A2B" w:rsidRPr="007C3060" w:rsidRDefault="000A2A2B" w:rsidP="007C3060">
            <w:r w:rsidRPr="007C3060">
              <w:t>446</w:t>
            </w:r>
          </w:p>
        </w:tc>
        <w:tc>
          <w:tcPr>
            <w:tcW w:w="992" w:type="dxa"/>
            <w:tcBorders>
              <w:top w:val="nil"/>
              <w:left w:val="nil"/>
              <w:bottom w:val="nil"/>
              <w:right w:val="nil"/>
            </w:tcBorders>
            <w:tcMar>
              <w:top w:w="128" w:type="dxa"/>
              <w:left w:w="43" w:type="dxa"/>
              <w:bottom w:w="43" w:type="dxa"/>
              <w:right w:w="123" w:type="dxa"/>
            </w:tcMar>
          </w:tcPr>
          <w:p w14:paraId="3259DAA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C26CA9B" w14:textId="77777777" w:rsidR="000A2A2B" w:rsidRPr="007C3060" w:rsidRDefault="000A2A2B" w:rsidP="007C3060">
            <w:r w:rsidRPr="007C3060">
              <w:t>Den militære påtalemyndighet:</w:t>
            </w:r>
          </w:p>
        </w:tc>
        <w:tc>
          <w:tcPr>
            <w:tcW w:w="1717" w:type="dxa"/>
            <w:tcBorders>
              <w:top w:val="nil"/>
              <w:left w:val="nil"/>
              <w:bottom w:val="nil"/>
              <w:right w:val="nil"/>
            </w:tcBorders>
            <w:tcMar>
              <w:top w:w="128" w:type="dxa"/>
              <w:left w:w="43" w:type="dxa"/>
              <w:bottom w:w="43" w:type="dxa"/>
              <w:right w:w="43" w:type="dxa"/>
            </w:tcMar>
            <w:vAlign w:val="bottom"/>
          </w:tcPr>
          <w:p w14:paraId="3737792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62F5C4D" w14:textId="77777777" w:rsidR="000A2A2B" w:rsidRPr="007C3060" w:rsidRDefault="000A2A2B" w:rsidP="007C3060"/>
        </w:tc>
      </w:tr>
      <w:tr w:rsidR="004B729E" w:rsidRPr="007C3060" w14:paraId="60EBA43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BCEC27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606B47A"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7A46B283" w14:textId="77777777" w:rsidR="000A2A2B" w:rsidRPr="007C3060" w:rsidRDefault="000A2A2B" w:rsidP="007C3060">
            <w:r w:rsidRPr="007C3060">
              <w:t>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053B581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0AEE748" w14:textId="77777777" w:rsidR="000A2A2B" w:rsidRPr="007C3060" w:rsidRDefault="000A2A2B" w:rsidP="007C3060">
            <w:r w:rsidRPr="007C3060">
              <w:t>235 000</w:t>
            </w:r>
          </w:p>
        </w:tc>
      </w:tr>
      <w:tr w:rsidR="004B729E" w:rsidRPr="007C3060" w14:paraId="156E9AD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B0719B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A72252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807E7F7" w14:textId="77777777" w:rsidR="000A2A2B" w:rsidRPr="007C3060" w:rsidRDefault="000A2A2B" w:rsidP="007C3060">
            <w:r w:rsidRPr="007C3060">
              <w:t>fra kr 235 000 til kr 0</w:t>
            </w:r>
          </w:p>
        </w:tc>
        <w:tc>
          <w:tcPr>
            <w:tcW w:w="1717" w:type="dxa"/>
            <w:tcBorders>
              <w:top w:val="nil"/>
              <w:left w:val="nil"/>
              <w:bottom w:val="nil"/>
              <w:right w:val="nil"/>
            </w:tcBorders>
            <w:tcMar>
              <w:top w:w="128" w:type="dxa"/>
              <w:left w:w="43" w:type="dxa"/>
              <w:bottom w:w="43" w:type="dxa"/>
              <w:right w:w="43" w:type="dxa"/>
            </w:tcMar>
            <w:vAlign w:val="bottom"/>
          </w:tcPr>
          <w:p w14:paraId="225ABB4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DD0919B" w14:textId="77777777" w:rsidR="000A2A2B" w:rsidRPr="007C3060" w:rsidRDefault="000A2A2B" w:rsidP="007C3060"/>
        </w:tc>
      </w:tr>
      <w:tr w:rsidR="004B729E" w:rsidRPr="007C3060" w14:paraId="32E5360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F37C290" w14:textId="77777777" w:rsidR="000A2A2B" w:rsidRPr="007C3060" w:rsidRDefault="000A2A2B" w:rsidP="007C3060">
            <w:r w:rsidRPr="007C3060">
              <w:t>448</w:t>
            </w:r>
          </w:p>
        </w:tc>
        <w:tc>
          <w:tcPr>
            <w:tcW w:w="992" w:type="dxa"/>
            <w:tcBorders>
              <w:top w:val="nil"/>
              <w:left w:val="nil"/>
              <w:bottom w:val="nil"/>
              <w:right w:val="nil"/>
            </w:tcBorders>
            <w:tcMar>
              <w:top w:w="128" w:type="dxa"/>
              <w:left w:w="43" w:type="dxa"/>
              <w:bottom w:w="43" w:type="dxa"/>
              <w:right w:w="123" w:type="dxa"/>
            </w:tcMar>
          </w:tcPr>
          <w:p w14:paraId="292FE39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D3A99BB" w14:textId="77777777" w:rsidR="000A2A2B" w:rsidRPr="007C3060" w:rsidRDefault="000A2A2B" w:rsidP="007C3060">
            <w:r w:rsidRPr="007C3060">
              <w:t>Grensekommissæren:</w:t>
            </w:r>
          </w:p>
        </w:tc>
        <w:tc>
          <w:tcPr>
            <w:tcW w:w="1717" w:type="dxa"/>
            <w:tcBorders>
              <w:top w:val="nil"/>
              <w:left w:val="nil"/>
              <w:bottom w:val="nil"/>
              <w:right w:val="nil"/>
            </w:tcBorders>
            <w:tcMar>
              <w:top w:w="128" w:type="dxa"/>
              <w:left w:w="43" w:type="dxa"/>
              <w:bottom w:w="43" w:type="dxa"/>
              <w:right w:w="43" w:type="dxa"/>
            </w:tcMar>
            <w:vAlign w:val="bottom"/>
          </w:tcPr>
          <w:p w14:paraId="3C28632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4711FFD" w14:textId="77777777" w:rsidR="000A2A2B" w:rsidRPr="007C3060" w:rsidRDefault="000A2A2B" w:rsidP="007C3060"/>
        </w:tc>
      </w:tr>
      <w:tr w:rsidR="004B729E" w:rsidRPr="007C3060" w14:paraId="1AA5422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E5693F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A775A5F"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4FD2E114"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68118BC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42BAD55" w14:textId="77777777" w:rsidR="000A2A2B" w:rsidRPr="007C3060" w:rsidRDefault="000A2A2B" w:rsidP="007C3060">
            <w:r w:rsidRPr="007C3060">
              <w:t>850 000</w:t>
            </w:r>
          </w:p>
        </w:tc>
      </w:tr>
      <w:tr w:rsidR="004B729E" w:rsidRPr="007C3060" w14:paraId="0A12F32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0E8062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0409ED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A19AEE9" w14:textId="77777777" w:rsidR="000A2A2B" w:rsidRPr="007C3060" w:rsidRDefault="000A2A2B" w:rsidP="007C3060">
            <w:r w:rsidRPr="007C3060">
              <w:t>fra kr 6 571 000 til kr 7 421 000</w:t>
            </w:r>
          </w:p>
        </w:tc>
        <w:tc>
          <w:tcPr>
            <w:tcW w:w="1717" w:type="dxa"/>
            <w:tcBorders>
              <w:top w:val="nil"/>
              <w:left w:val="nil"/>
              <w:bottom w:val="nil"/>
              <w:right w:val="nil"/>
            </w:tcBorders>
            <w:tcMar>
              <w:top w:w="128" w:type="dxa"/>
              <w:left w:w="43" w:type="dxa"/>
              <w:bottom w:w="43" w:type="dxa"/>
              <w:right w:w="43" w:type="dxa"/>
            </w:tcMar>
            <w:vAlign w:val="bottom"/>
          </w:tcPr>
          <w:p w14:paraId="46580B9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AC09B4F" w14:textId="77777777" w:rsidR="000A2A2B" w:rsidRPr="007C3060" w:rsidRDefault="000A2A2B" w:rsidP="007C3060"/>
        </w:tc>
      </w:tr>
      <w:tr w:rsidR="004B729E" w:rsidRPr="007C3060" w14:paraId="7DA0433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407D825" w14:textId="77777777" w:rsidR="000A2A2B" w:rsidRPr="007C3060" w:rsidRDefault="000A2A2B" w:rsidP="007C3060">
            <w:r w:rsidRPr="007C3060">
              <w:t>451</w:t>
            </w:r>
          </w:p>
        </w:tc>
        <w:tc>
          <w:tcPr>
            <w:tcW w:w="992" w:type="dxa"/>
            <w:tcBorders>
              <w:top w:val="nil"/>
              <w:left w:val="nil"/>
              <w:bottom w:val="nil"/>
              <w:right w:val="nil"/>
            </w:tcBorders>
            <w:tcMar>
              <w:top w:w="128" w:type="dxa"/>
              <w:left w:w="43" w:type="dxa"/>
              <w:bottom w:w="43" w:type="dxa"/>
              <w:right w:w="123" w:type="dxa"/>
            </w:tcMar>
          </w:tcPr>
          <w:p w14:paraId="0BFBD24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6BE57D7" w14:textId="77777777" w:rsidR="000A2A2B" w:rsidRPr="007C3060" w:rsidRDefault="000A2A2B" w:rsidP="007C3060">
            <w:r w:rsidRPr="007C3060">
              <w:t>Direktoratet for samfunnssikkerhet og beredskap:</w:t>
            </w:r>
          </w:p>
        </w:tc>
        <w:tc>
          <w:tcPr>
            <w:tcW w:w="1717" w:type="dxa"/>
            <w:tcBorders>
              <w:top w:val="nil"/>
              <w:left w:val="nil"/>
              <w:bottom w:val="nil"/>
              <w:right w:val="nil"/>
            </w:tcBorders>
            <w:tcMar>
              <w:top w:w="128" w:type="dxa"/>
              <w:left w:w="43" w:type="dxa"/>
              <w:bottom w:w="43" w:type="dxa"/>
              <w:right w:w="43" w:type="dxa"/>
            </w:tcMar>
            <w:vAlign w:val="bottom"/>
          </w:tcPr>
          <w:p w14:paraId="5F3CA47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47EC033" w14:textId="77777777" w:rsidR="000A2A2B" w:rsidRPr="007C3060" w:rsidRDefault="000A2A2B" w:rsidP="007C3060"/>
        </w:tc>
      </w:tr>
      <w:tr w:rsidR="004B729E" w:rsidRPr="007C3060" w14:paraId="38E120D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840456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4B3CDA6"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20E5207D"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111C245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FAA0725" w14:textId="77777777" w:rsidR="000A2A2B" w:rsidRPr="007C3060" w:rsidRDefault="000A2A2B" w:rsidP="007C3060">
            <w:r w:rsidRPr="007C3060">
              <w:t>2 000 000</w:t>
            </w:r>
          </w:p>
        </w:tc>
      </w:tr>
      <w:tr w:rsidR="004B729E" w:rsidRPr="007C3060" w14:paraId="0759A64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FB5781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FCD466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1139A4A" w14:textId="77777777" w:rsidR="000A2A2B" w:rsidRPr="007C3060" w:rsidRDefault="000A2A2B" w:rsidP="007C3060">
            <w:r w:rsidRPr="007C3060">
              <w:t>fra kr 1 565 567 000 til kr 1 567 567 000</w:t>
            </w:r>
          </w:p>
        </w:tc>
        <w:tc>
          <w:tcPr>
            <w:tcW w:w="1717" w:type="dxa"/>
            <w:tcBorders>
              <w:top w:val="nil"/>
              <w:left w:val="nil"/>
              <w:bottom w:val="nil"/>
              <w:right w:val="nil"/>
            </w:tcBorders>
            <w:tcMar>
              <w:top w:w="128" w:type="dxa"/>
              <w:left w:w="43" w:type="dxa"/>
              <w:bottom w:w="43" w:type="dxa"/>
              <w:right w:w="43" w:type="dxa"/>
            </w:tcMar>
            <w:vAlign w:val="bottom"/>
          </w:tcPr>
          <w:p w14:paraId="4812E8C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8797A68" w14:textId="77777777" w:rsidR="000A2A2B" w:rsidRPr="007C3060" w:rsidRDefault="000A2A2B" w:rsidP="007C3060"/>
        </w:tc>
      </w:tr>
      <w:tr w:rsidR="004B729E" w:rsidRPr="007C3060" w14:paraId="1FF2E824"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54C91A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57BFB9F" w14:textId="77777777" w:rsidR="000A2A2B" w:rsidRPr="007C3060" w:rsidRDefault="000A2A2B" w:rsidP="007C3060">
            <w:r w:rsidRPr="007C3060">
              <w:t>45</w:t>
            </w:r>
          </w:p>
        </w:tc>
        <w:tc>
          <w:tcPr>
            <w:tcW w:w="4819" w:type="dxa"/>
            <w:tcBorders>
              <w:top w:val="nil"/>
              <w:left w:val="nil"/>
              <w:bottom w:val="nil"/>
              <w:right w:val="nil"/>
            </w:tcBorders>
            <w:tcMar>
              <w:top w:w="128" w:type="dxa"/>
              <w:left w:w="43" w:type="dxa"/>
              <w:bottom w:w="43" w:type="dxa"/>
              <w:right w:w="43" w:type="dxa"/>
            </w:tcMar>
            <w:vAlign w:val="bottom"/>
          </w:tcPr>
          <w:p w14:paraId="7070E1B1" w14:textId="45F683D9" w:rsidR="000A2A2B" w:rsidRPr="007C3060" w:rsidRDefault="000A2A2B" w:rsidP="007C3060">
            <w:r w:rsidRPr="007C3060">
              <w:t xml:space="preserve">Større utstyrsanskaffelser og vedlikehold,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358F48D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4E99480" w14:textId="77777777" w:rsidR="000A2A2B" w:rsidRPr="007C3060" w:rsidRDefault="000A2A2B" w:rsidP="007C3060">
            <w:r w:rsidRPr="007C3060">
              <w:t>43 000 000</w:t>
            </w:r>
          </w:p>
        </w:tc>
      </w:tr>
      <w:tr w:rsidR="004B729E" w:rsidRPr="007C3060" w14:paraId="6CDAE5C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4C0674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447AD9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CDC6C86" w14:textId="77777777" w:rsidR="000A2A2B" w:rsidRPr="007C3060" w:rsidRDefault="000A2A2B" w:rsidP="007C3060">
            <w:r w:rsidRPr="007C3060">
              <w:t>fra kr 141 619 000 til kr 184 619 000</w:t>
            </w:r>
          </w:p>
        </w:tc>
        <w:tc>
          <w:tcPr>
            <w:tcW w:w="1717" w:type="dxa"/>
            <w:tcBorders>
              <w:top w:val="nil"/>
              <w:left w:val="nil"/>
              <w:bottom w:val="nil"/>
              <w:right w:val="nil"/>
            </w:tcBorders>
            <w:tcMar>
              <w:top w:w="128" w:type="dxa"/>
              <w:left w:w="43" w:type="dxa"/>
              <w:bottom w:w="43" w:type="dxa"/>
              <w:right w:w="43" w:type="dxa"/>
            </w:tcMar>
            <w:vAlign w:val="bottom"/>
          </w:tcPr>
          <w:p w14:paraId="5F3C409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587FBFD" w14:textId="77777777" w:rsidR="000A2A2B" w:rsidRPr="007C3060" w:rsidRDefault="000A2A2B" w:rsidP="007C3060"/>
        </w:tc>
      </w:tr>
      <w:tr w:rsidR="004B729E" w:rsidRPr="007C3060" w14:paraId="29CBB9A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4AE37CC" w14:textId="77777777" w:rsidR="000A2A2B" w:rsidRPr="007C3060" w:rsidRDefault="000A2A2B" w:rsidP="007C3060">
            <w:r w:rsidRPr="007C3060">
              <w:t>454</w:t>
            </w:r>
          </w:p>
        </w:tc>
        <w:tc>
          <w:tcPr>
            <w:tcW w:w="992" w:type="dxa"/>
            <w:tcBorders>
              <w:top w:val="nil"/>
              <w:left w:val="nil"/>
              <w:bottom w:val="nil"/>
              <w:right w:val="nil"/>
            </w:tcBorders>
            <w:tcMar>
              <w:top w:w="128" w:type="dxa"/>
              <w:left w:w="43" w:type="dxa"/>
              <w:bottom w:w="43" w:type="dxa"/>
              <w:right w:w="123" w:type="dxa"/>
            </w:tcMar>
          </w:tcPr>
          <w:p w14:paraId="4A9F569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DCAA624" w14:textId="77777777" w:rsidR="000A2A2B" w:rsidRPr="007C3060" w:rsidRDefault="000A2A2B" w:rsidP="007C3060">
            <w:r w:rsidRPr="007C3060">
              <w:t>Redningshelikoptertjenesten:</w:t>
            </w:r>
          </w:p>
        </w:tc>
        <w:tc>
          <w:tcPr>
            <w:tcW w:w="1717" w:type="dxa"/>
            <w:tcBorders>
              <w:top w:val="nil"/>
              <w:left w:val="nil"/>
              <w:bottom w:val="nil"/>
              <w:right w:val="nil"/>
            </w:tcBorders>
            <w:tcMar>
              <w:top w:w="128" w:type="dxa"/>
              <w:left w:w="43" w:type="dxa"/>
              <w:bottom w:w="43" w:type="dxa"/>
              <w:right w:w="43" w:type="dxa"/>
            </w:tcMar>
            <w:vAlign w:val="bottom"/>
          </w:tcPr>
          <w:p w14:paraId="42549C8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04CA25" w14:textId="77777777" w:rsidR="000A2A2B" w:rsidRPr="007C3060" w:rsidRDefault="000A2A2B" w:rsidP="007C3060"/>
        </w:tc>
      </w:tr>
      <w:tr w:rsidR="004B729E" w:rsidRPr="007C3060" w14:paraId="3A4B622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79DBE5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99CE44E"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22EF5B1B"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5386DB5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798C1B0" w14:textId="77777777" w:rsidR="000A2A2B" w:rsidRPr="007C3060" w:rsidRDefault="000A2A2B" w:rsidP="007C3060">
            <w:r w:rsidRPr="007C3060">
              <w:t>3 925 000</w:t>
            </w:r>
          </w:p>
        </w:tc>
      </w:tr>
      <w:tr w:rsidR="004B729E" w:rsidRPr="007C3060" w14:paraId="20642C7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901CE6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557595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30C6E5A" w14:textId="77777777" w:rsidR="000A2A2B" w:rsidRPr="007C3060" w:rsidRDefault="000A2A2B" w:rsidP="007C3060">
            <w:r w:rsidRPr="007C3060">
              <w:t>fra kr 1 216 626 000 til kr 1 220 551 000</w:t>
            </w:r>
          </w:p>
        </w:tc>
        <w:tc>
          <w:tcPr>
            <w:tcW w:w="1717" w:type="dxa"/>
            <w:tcBorders>
              <w:top w:val="nil"/>
              <w:left w:val="nil"/>
              <w:bottom w:val="nil"/>
              <w:right w:val="nil"/>
            </w:tcBorders>
            <w:tcMar>
              <w:top w:w="128" w:type="dxa"/>
              <w:left w:w="43" w:type="dxa"/>
              <w:bottom w:w="43" w:type="dxa"/>
              <w:right w:w="43" w:type="dxa"/>
            </w:tcMar>
            <w:vAlign w:val="bottom"/>
          </w:tcPr>
          <w:p w14:paraId="5EF2283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AFCD42B" w14:textId="77777777" w:rsidR="000A2A2B" w:rsidRPr="007C3060" w:rsidRDefault="000A2A2B" w:rsidP="007C3060"/>
        </w:tc>
      </w:tr>
      <w:tr w:rsidR="004B729E" w:rsidRPr="007C3060" w14:paraId="1FA222A4"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E0ACFE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FD7E395" w14:textId="77777777" w:rsidR="000A2A2B" w:rsidRPr="007C3060" w:rsidRDefault="000A2A2B" w:rsidP="007C3060">
            <w:r w:rsidRPr="007C3060">
              <w:t>45</w:t>
            </w:r>
          </w:p>
        </w:tc>
        <w:tc>
          <w:tcPr>
            <w:tcW w:w="4819" w:type="dxa"/>
            <w:tcBorders>
              <w:top w:val="nil"/>
              <w:left w:val="nil"/>
              <w:bottom w:val="nil"/>
              <w:right w:val="nil"/>
            </w:tcBorders>
            <w:tcMar>
              <w:top w:w="128" w:type="dxa"/>
              <w:left w:w="43" w:type="dxa"/>
              <w:bottom w:w="43" w:type="dxa"/>
              <w:right w:w="43" w:type="dxa"/>
            </w:tcMar>
            <w:vAlign w:val="bottom"/>
          </w:tcPr>
          <w:p w14:paraId="5842AA36" w14:textId="1D2CF945" w:rsidR="000A2A2B" w:rsidRPr="007C3060" w:rsidRDefault="000A2A2B" w:rsidP="007C3060">
            <w:r w:rsidRPr="007C3060">
              <w:t xml:space="preserve">Større utstyrsanskaffelser og vedlikehold,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1088C6B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A3C1FF0" w14:textId="77777777" w:rsidR="000A2A2B" w:rsidRPr="007C3060" w:rsidRDefault="000A2A2B" w:rsidP="007C3060">
            <w:r w:rsidRPr="007C3060">
              <w:t>434 594 000</w:t>
            </w:r>
          </w:p>
        </w:tc>
      </w:tr>
      <w:tr w:rsidR="004B729E" w:rsidRPr="007C3060" w14:paraId="2F63CAC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A17A8F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8BB1A0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CE32F46" w14:textId="77777777" w:rsidR="000A2A2B" w:rsidRPr="007C3060" w:rsidRDefault="000A2A2B" w:rsidP="007C3060">
            <w:r w:rsidRPr="007C3060">
              <w:t>fra kr 964 234 000 til kr 1 398 828 000</w:t>
            </w:r>
          </w:p>
        </w:tc>
        <w:tc>
          <w:tcPr>
            <w:tcW w:w="1717" w:type="dxa"/>
            <w:tcBorders>
              <w:top w:val="nil"/>
              <w:left w:val="nil"/>
              <w:bottom w:val="nil"/>
              <w:right w:val="nil"/>
            </w:tcBorders>
            <w:tcMar>
              <w:top w:w="128" w:type="dxa"/>
              <w:left w:w="43" w:type="dxa"/>
              <w:bottom w:w="43" w:type="dxa"/>
              <w:right w:w="43" w:type="dxa"/>
            </w:tcMar>
            <w:vAlign w:val="bottom"/>
          </w:tcPr>
          <w:p w14:paraId="6299865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6C49A64" w14:textId="77777777" w:rsidR="000A2A2B" w:rsidRPr="007C3060" w:rsidRDefault="000A2A2B" w:rsidP="007C3060"/>
        </w:tc>
      </w:tr>
      <w:tr w:rsidR="004B729E" w:rsidRPr="007C3060" w14:paraId="63A833B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26786C5" w14:textId="77777777" w:rsidR="000A2A2B" w:rsidRPr="007C3060" w:rsidRDefault="000A2A2B" w:rsidP="007C3060">
            <w:r w:rsidRPr="007C3060">
              <w:t>455</w:t>
            </w:r>
          </w:p>
        </w:tc>
        <w:tc>
          <w:tcPr>
            <w:tcW w:w="992" w:type="dxa"/>
            <w:tcBorders>
              <w:top w:val="nil"/>
              <w:left w:val="nil"/>
              <w:bottom w:val="nil"/>
              <w:right w:val="nil"/>
            </w:tcBorders>
            <w:tcMar>
              <w:top w:w="128" w:type="dxa"/>
              <w:left w:w="43" w:type="dxa"/>
              <w:bottom w:w="43" w:type="dxa"/>
              <w:right w:w="123" w:type="dxa"/>
            </w:tcMar>
          </w:tcPr>
          <w:p w14:paraId="78A9EFC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A61B38A" w14:textId="77777777" w:rsidR="000A2A2B" w:rsidRPr="007C3060" w:rsidRDefault="000A2A2B" w:rsidP="007C3060">
            <w:r w:rsidRPr="007C3060">
              <w:t>Redningstjenesten:</w:t>
            </w:r>
          </w:p>
        </w:tc>
        <w:tc>
          <w:tcPr>
            <w:tcW w:w="1717" w:type="dxa"/>
            <w:tcBorders>
              <w:top w:val="nil"/>
              <w:left w:val="nil"/>
              <w:bottom w:val="nil"/>
              <w:right w:val="nil"/>
            </w:tcBorders>
            <w:tcMar>
              <w:top w:w="128" w:type="dxa"/>
              <w:left w:w="43" w:type="dxa"/>
              <w:bottom w:w="43" w:type="dxa"/>
              <w:right w:w="43" w:type="dxa"/>
            </w:tcMar>
            <w:vAlign w:val="bottom"/>
          </w:tcPr>
          <w:p w14:paraId="013178C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1F3DE68" w14:textId="77777777" w:rsidR="000A2A2B" w:rsidRPr="007C3060" w:rsidRDefault="000A2A2B" w:rsidP="007C3060"/>
        </w:tc>
      </w:tr>
      <w:tr w:rsidR="004B729E" w:rsidRPr="007C3060" w14:paraId="7422CF4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6D5DDE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5AEFDFA"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75521A7C" w14:textId="77777777" w:rsidR="000A2A2B" w:rsidRPr="007C3060" w:rsidRDefault="000A2A2B" w:rsidP="007C3060">
            <w:r w:rsidRPr="007C3060">
              <w:t>Spesielle 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69CF0FD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7A08533" w14:textId="77777777" w:rsidR="000A2A2B" w:rsidRPr="007C3060" w:rsidRDefault="000A2A2B" w:rsidP="007C3060">
            <w:r w:rsidRPr="007C3060">
              <w:t>8 000 000</w:t>
            </w:r>
          </w:p>
        </w:tc>
      </w:tr>
      <w:tr w:rsidR="004B729E" w:rsidRPr="007C3060" w14:paraId="7E640FD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6773AF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71D59D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C0D482E" w14:textId="77777777" w:rsidR="000A2A2B" w:rsidRPr="007C3060" w:rsidRDefault="000A2A2B" w:rsidP="007C3060">
            <w:r w:rsidRPr="007C3060">
              <w:t>fra kr 32 962 000 til kr 40 962 000</w:t>
            </w:r>
          </w:p>
        </w:tc>
        <w:tc>
          <w:tcPr>
            <w:tcW w:w="1717" w:type="dxa"/>
            <w:tcBorders>
              <w:top w:val="nil"/>
              <w:left w:val="nil"/>
              <w:bottom w:val="nil"/>
              <w:right w:val="nil"/>
            </w:tcBorders>
            <w:tcMar>
              <w:top w:w="128" w:type="dxa"/>
              <w:left w:w="43" w:type="dxa"/>
              <w:bottom w:w="43" w:type="dxa"/>
              <w:right w:w="43" w:type="dxa"/>
            </w:tcMar>
            <w:vAlign w:val="bottom"/>
          </w:tcPr>
          <w:p w14:paraId="4496DED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AEF6E36" w14:textId="77777777" w:rsidR="000A2A2B" w:rsidRPr="007C3060" w:rsidRDefault="000A2A2B" w:rsidP="007C3060"/>
        </w:tc>
      </w:tr>
      <w:tr w:rsidR="004B729E" w:rsidRPr="007C3060" w14:paraId="441776E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FC09F9E" w14:textId="77777777" w:rsidR="000A2A2B" w:rsidRPr="007C3060" w:rsidRDefault="000A2A2B" w:rsidP="007C3060">
            <w:r w:rsidRPr="007C3060">
              <w:t>457</w:t>
            </w:r>
          </w:p>
        </w:tc>
        <w:tc>
          <w:tcPr>
            <w:tcW w:w="992" w:type="dxa"/>
            <w:tcBorders>
              <w:top w:val="nil"/>
              <w:left w:val="nil"/>
              <w:bottom w:val="nil"/>
              <w:right w:val="nil"/>
            </w:tcBorders>
            <w:tcMar>
              <w:top w:w="128" w:type="dxa"/>
              <w:left w:w="43" w:type="dxa"/>
              <w:bottom w:w="43" w:type="dxa"/>
              <w:right w:w="123" w:type="dxa"/>
            </w:tcMar>
          </w:tcPr>
          <w:p w14:paraId="7BB85B9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A9FB9D3" w14:textId="77777777" w:rsidR="000A2A2B" w:rsidRPr="007C3060" w:rsidRDefault="000A2A2B" w:rsidP="007C3060">
            <w:r w:rsidRPr="007C3060">
              <w:t>Nasjonal sikkerhetsmyndighet:</w:t>
            </w:r>
          </w:p>
        </w:tc>
        <w:tc>
          <w:tcPr>
            <w:tcW w:w="1717" w:type="dxa"/>
            <w:tcBorders>
              <w:top w:val="nil"/>
              <w:left w:val="nil"/>
              <w:bottom w:val="nil"/>
              <w:right w:val="nil"/>
            </w:tcBorders>
            <w:tcMar>
              <w:top w:w="128" w:type="dxa"/>
              <w:left w:w="43" w:type="dxa"/>
              <w:bottom w:w="43" w:type="dxa"/>
              <w:right w:w="43" w:type="dxa"/>
            </w:tcMar>
            <w:vAlign w:val="bottom"/>
          </w:tcPr>
          <w:p w14:paraId="0CA8D68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43BC593" w14:textId="77777777" w:rsidR="000A2A2B" w:rsidRPr="007C3060" w:rsidRDefault="000A2A2B" w:rsidP="007C3060"/>
        </w:tc>
      </w:tr>
      <w:tr w:rsidR="004B729E" w:rsidRPr="007C3060" w14:paraId="702C19E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338BE2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2E4AAC6"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59785362"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7823AE3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BDE749B" w14:textId="77777777" w:rsidR="000A2A2B" w:rsidRPr="007C3060" w:rsidRDefault="000A2A2B" w:rsidP="007C3060">
            <w:r w:rsidRPr="007C3060">
              <w:t>2 500 000</w:t>
            </w:r>
          </w:p>
        </w:tc>
      </w:tr>
      <w:tr w:rsidR="004B729E" w:rsidRPr="007C3060" w14:paraId="5206B42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6E98FB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93B950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DD1322A" w14:textId="77777777" w:rsidR="000A2A2B" w:rsidRPr="007C3060" w:rsidRDefault="000A2A2B" w:rsidP="007C3060">
            <w:r w:rsidRPr="007C3060">
              <w:t>fra kr 529 787 000 til kr 532 287 000</w:t>
            </w:r>
          </w:p>
        </w:tc>
        <w:tc>
          <w:tcPr>
            <w:tcW w:w="1717" w:type="dxa"/>
            <w:tcBorders>
              <w:top w:val="nil"/>
              <w:left w:val="nil"/>
              <w:bottom w:val="nil"/>
              <w:right w:val="nil"/>
            </w:tcBorders>
            <w:tcMar>
              <w:top w:w="128" w:type="dxa"/>
              <w:left w:w="43" w:type="dxa"/>
              <w:bottom w:w="43" w:type="dxa"/>
              <w:right w:w="43" w:type="dxa"/>
            </w:tcMar>
            <w:vAlign w:val="bottom"/>
          </w:tcPr>
          <w:p w14:paraId="0D7E626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492E276" w14:textId="77777777" w:rsidR="000A2A2B" w:rsidRPr="007C3060" w:rsidRDefault="000A2A2B" w:rsidP="007C3060"/>
        </w:tc>
      </w:tr>
      <w:tr w:rsidR="004B729E" w:rsidRPr="007C3060" w14:paraId="4ADE49C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63A8D4A" w14:textId="77777777" w:rsidR="000A2A2B" w:rsidRPr="007C3060" w:rsidRDefault="000A2A2B" w:rsidP="007C3060">
            <w:r w:rsidRPr="007C3060">
              <w:t>461</w:t>
            </w:r>
          </w:p>
        </w:tc>
        <w:tc>
          <w:tcPr>
            <w:tcW w:w="992" w:type="dxa"/>
            <w:tcBorders>
              <w:top w:val="nil"/>
              <w:left w:val="nil"/>
              <w:bottom w:val="nil"/>
              <w:right w:val="nil"/>
            </w:tcBorders>
            <w:tcMar>
              <w:top w:w="128" w:type="dxa"/>
              <w:left w:w="43" w:type="dxa"/>
              <w:bottom w:w="43" w:type="dxa"/>
              <w:right w:w="123" w:type="dxa"/>
            </w:tcMar>
          </w:tcPr>
          <w:p w14:paraId="6F4B4E8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70FD061" w14:textId="77777777" w:rsidR="000A2A2B" w:rsidRPr="007C3060" w:rsidRDefault="000A2A2B" w:rsidP="007C3060">
            <w:r w:rsidRPr="007C3060">
              <w:t>Advokattilsynet:</w:t>
            </w:r>
          </w:p>
        </w:tc>
        <w:tc>
          <w:tcPr>
            <w:tcW w:w="1717" w:type="dxa"/>
            <w:tcBorders>
              <w:top w:val="nil"/>
              <w:left w:val="nil"/>
              <w:bottom w:val="nil"/>
              <w:right w:val="nil"/>
            </w:tcBorders>
            <w:tcMar>
              <w:top w:w="128" w:type="dxa"/>
              <w:left w:w="43" w:type="dxa"/>
              <w:bottom w:w="43" w:type="dxa"/>
              <w:right w:w="43" w:type="dxa"/>
            </w:tcMar>
            <w:vAlign w:val="bottom"/>
          </w:tcPr>
          <w:p w14:paraId="74B9FC8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E1947A5" w14:textId="77777777" w:rsidR="000A2A2B" w:rsidRPr="007C3060" w:rsidRDefault="000A2A2B" w:rsidP="007C3060"/>
        </w:tc>
      </w:tr>
      <w:tr w:rsidR="004B729E" w:rsidRPr="007C3060" w14:paraId="27C29EA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CC2148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C9ACE85"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69F19CBB" w14:textId="77777777" w:rsidR="000A2A2B" w:rsidRPr="007C3060" w:rsidRDefault="000A2A2B" w:rsidP="007C3060">
            <w:r w:rsidRPr="007C3060">
              <w:t xml:space="preserve">Driftsutgifter, </w:t>
            </w:r>
            <w:r w:rsidRPr="007C3060">
              <w:rPr>
                <w:rStyle w:val="kursiv"/>
              </w:rPr>
              <w:t>kan nyttes under post 21,</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51698A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EEB665B" w14:textId="77777777" w:rsidR="000A2A2B" w:rsidRPr="007C3060" w:rsidRDefault="000A2A2B" w:rsidP="007C3060">
            <w:r w:rsidRPr="007C3060">
              <w:t>3 200 000</w:t>
            </w:r>
          </w:p>
        </w:tc>
      </w:tr>
      <w:tr w:rsidR="004B729E" w:rsidRPr="007C3060" w14:paraId="4C9084C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04E492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6597C7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208C1AA" w14:textId="77777777" w:rsidR="000A2A2B" w:rsidRPr="007C3060" w:rsidRDefault="000A2A2B" w:rsidP="007C3060">
            <w:r w:rsidRPr="007C3060">
              <w:t>fra kr 51 500 000 til kr 48 300 000</w:t>
            </w:r>
          </w:p>
        </w:tc>
        <w:tc>
          <w:tcPr>
            <w:tcW w:w="1717" w:type="dxa"/>
            <w:tcBorders>
              <w:top w:val="nil"/>
              <w:left w:val="nil"/>
              <w:bottom w:val="nil"/>
              <w:right w:val="nil"/>
            </w:tcBorders>
            <w:tcMar>
              <w:top w:w="128" w:type="dxa"/>
              <w:left w:w="43" w:type="dxa"/>
              <w:bottom w:w="43" w:type="dxa"/>
              <w:right w:w="43" w:type="dxa"/>
            </w:tcMar>
            <w:vAlign w:val="bottom"/>
          </w:tcPr>
          <w:p w14:paraId="14FA67D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56E1E62" w14:textId="77777777" w:rsidR="000A2A2B" w:rsidRPr="007C3060" w:rsidRDefault="000A2A2B" w:rsidP="007C3060"/>
        </w:tc>
      </w:tr>
      <w:tr w:rsidR="004B729E" w:rsidRPr="007C3060" w14:paraId="7848A64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F434EDD" w14:textId="77777777" w:rsidR="000A2A2B" w:rsidRPr="007C3060" w:rsidRDefault="000A2A2B" w:rsidP="007C3060">
            <w:r w:rsidRPr="007C3060">
              <w:t>466</w:t>
            </w:r>
          </w:p>
        </w:tc>
        <w:tc>
          <w:tcPr>
            <w:tcW w:w="992" w:type="dxa"/>
            <w:tcBorders>
              <w:top w:val="nil"/>
              <w:left w:val="nil"/>
              <w:bottom w:val="nil"/>
              <w:right w:val="nil"/>
            </w:tcBorders>
            <w:tcMar>
              <w:top w:w="128" w:type="dxa"/>
              <w:left w:w="43" w:type="dxa"/>
              <w:bottom w:w="43" w:type="dxa"/>
              <w:right w:w="123" w:type="dxa"/>
            </w:tcMar>
          </w:tcPr>
          <w:p w14:paraId="34355C7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E27FA98" w14:textId="77777777" w:rsidR="000A2A2B" w:rsidRPr="007C3060" w:rsidRDefault="000A2A2B" w:rsidP="007C3060">
            <w:r w:rsidRPr="007C3060">
              <w:t>Særskilte straffesaksutgifter m.m.:</w:t>
            </w:r>
          </w:p>
        </w:tc>
        <w:tc>
          <w:tcPr>
            <w:tcW w:w="1717" w:type="dxa"/>
            <w:tcBorders>
              <w:top w:val="nil"/>
              <w:left w:val="nil"/>
              <w:bottom w:val="nil"/>
              <w:right w:val="nil"/>
            </w:tcBorders>
            <w:tcMar>
              <w:top w:w="128" w:type="dxa"/>
              <w:left w:w="43" w:type="dxa"/>
              <w:bottom w:w="43" w:type="dxa"/>
              <w:right w:w="43" w:type="dxa"/>
            </w:tcMar>
            <w:vAlign w:val="bottom"/>
          </w:tcPr>
          <w:p w14:paraId="5EC5851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A9098F4" w14:textId="77777777" w:rsidR="000A2A2B" w:rsidRPr="007C3060" w:rsidRDefault="000A2A2B" w:rsidP="007C3060"/>
        </w:tc>
      </w:tr>
      <w:tr w:rsidR="004B729E" w:rsidRPr="007C3060" w14:paraId="6898F58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620B3C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F9D06F1"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46205A37"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6231C3D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A32594F" w14:textId="77777777" w:rsidR="000A2A2B" w:rsidRPr="007C3060" w:rsidRDefault="000A2A2B" w:rsidP="007C3060">
            <w:r w:rsidRPr="007C3060">
              <w:t>92 686 000</w:t>
            </w:r>
          </w:p>
        </w:tc>
      </w:tr>
      <w:tr w:rsidR="004B729E" w:rsidRPr="007C3060" w14:paraId="2C9E11A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F0F2C7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42A43A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4711BE8" w14:textId="77777777" w:rsidR="000A2A2B" w:rsidRPr="007C3060" w:rsidRDefault="000A2A2B" w:rsidP="007C3060">
            <w:r w:rsidRPr="007C3060">
              <w:t>fra kr 1 651 572 000 til kr 1 744 258 000</w:t>
            </w:r>
          </w:p>
        </w:tc>
        <w:tc>
          <w:tcPr>
            <w:tcW w:w="1717" w:type="dxa"/>
            <w:tcBorders>
              <w:top w:val="nil"/>
              <w:left w:val="nil"/>
              <w:bottom w:val="nil"/>
              <w:right w:val="nil"/>
            </w:tcBorders>
            <w:tcMar>
              <w:top w:w="128" w:type="dxa"/>
              <w:left w:w="43" w:type="dxa"/>
              <w:bottom w:w="43" w:type="dxa"/>
              <w:right w:w="43" w:type="dxa"/>
            </w:tcMar>
            <w:vAlign w:val="bottom"/>
          </w:tcPr>
          <w:p w14:paraId="7248516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B677FC8" w14:textId="77777777" w:rsidR="000A2A2B" w:rsidRPr="007C3060" w:rsidRDefault="000A2A2B" w:rsidP="007C3060"/>
        </w:tc>
      </w:tr>
      <w:tr w:rsidR="004B729E" w:rsidRPr="007C3060" w14:paraId="642C6BB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718AA2F" w14:textId="77777777" w:rsidR="000A2A2B" w:rsidRPr="007C3060" w:rsidRDefault="000A2A2B" w:rsidP="007C3060">
            <w:r w:rsidRPr="007C3060">
              <w:lastRenderedPageBreak/>
              <w:t>467</w:t>
            </w:r>
          </w:p>
        </w:tc>
        <w:tc>
          <w:tcPr>
            <w:tcW w:w="992" w:type="dxa"/>
            <w:tcBorders>
              <w:top w:val="nil"/>
              <w:left w:val="nil"/>
              <w:bottom w:val="nil"/>
              <w:right w:val="nil"/>
            </w:tcBorders>
            <w:tcMar>
              <w:top w:w="128" w:type="dxa"/>
              <w:left w:w="43" w:type="dxa"/>
              <w:bottom w:w="43" w:type="dxa"/>
              <w:right w:w="123" w:type="dxa"/>
            </w:tcMar>
          </w:tcPr>
          <w:p w14:paraId="1845977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0D10B52" w14:textId="77777777" w:rsidR="000A2A2B" w:rsidRPr="007C3060" w:rsidRDefault="000A2A2B" w:rsidP="007C3060">
            <w:r w:rsidRPr="007C3060">
              <w:t>Norsk Lovtidend:</w:t>
            </w:r>
          </w:p>
        </w:tc>
        <w:tc>
          <w:tcPr>
            <w:tcW w:w="1717" w:type="dxa"/>
            <w:tcBorders>
              <w:top w:val="nil"/>
              <w:left w:val="nil"/>
              <w:bottom w:val="nil"/>
              <w:right w:val="nil"/>
            </w:tcBorders>
            <w:tcMar>
              <w:top w:w="128" w:type="dxa"/>
              <w:left w:w="43" w:type="dxa"/>
              <w:bottom w:w="43" w:type="dxa"/>
              <w:right w:w="43" w:type="dxa"/>
            </w:tcMar>
            <w:vAlign w:val="bottom"/>
          </w:tcPr>
          <w:p w14:paraId="2EAC272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D65C467" w14:textId="77777777" w:rsidR="000A2A2B" w:rsidRPr="007C3060" w:rsidRDefault="000A2A2B" w:rsidP="007C3060"/>
        </w:tc>
      </w:tr>
      <w:tr w:rsidR="004B729E" w:rsidRPr="007C3060" w14:paraId="44433F8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72D7CE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71DD547"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5E8BEE71"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3947433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DEB3AFF" w14:textId="77777777" w:rsidR="000A2A2B" w:rsidRPr="007C3060" w:rsidRDefault="000A2A2B" w:rsidP="007C3060">
            <w:r w:rsidRPr="007C3060">
              <w:t>2 679 000</w:t>
            </w:r>
          </w:p>
        </w:tc>
      </w:tr>
      <w:tr w:rsidR="004B729E" w:rsidRPr="007C3060" w14:paraId="57A004F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2E9C1E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CC00E1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EEA308C" w14:textId="77777777" w:rsidR="000A2A2B" w:rsidRPr="007C3060" w:rsidRDefault="000A2A2B" w:rsidP="007C3060">
            <w:r w:rsidRPr="007C3060">
              <w:t>fra kr 10 886 000 til kr 13 565 000</w:t>
            </w:r>
          </w:p>
        </w:tc>
        <w:tc>
          <w:tcPr>
            <w:tcW w:w="1717" w:type="dxa"/>
            <w:tcBorders>
              <w:top w:val="nil"/>
              <w:left w:val="nil"/>
              <w:bottom w:val="nil"/>
              <w:right w:val="nil"/>
            </w:tcBorders>
            <w:tcMar>
              <w:top w:w="128" w:type="dxa"/>
              <w:left w:w="43" w:type="dxa"/>
              <w:bottom w:w="43" w:type="dxa"/>
              <w:right w:w="43" w:type="dxa"/>
            </w:tcMar>
            <w:vAlign w:val="bottom"/>
          </w:tcPr>
          <w:p w14:paraId="695545A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75EB706" w14:textId="77777777" w:rsidR="000A2A2B" w:rsidRPr="007C3060" w:rsidRDefault="000A2A2B" w:rsidP="007C3060"/>
        </w:tc>
      </w:tr>
      <w:tr w:rsidR="004B729E" w:rsidRPr="007C3060" w14:paraId="58DB164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0EC7DBC" w14:textId="77777777" w:rsidR="000A2A2B" w:rsidRPr="007C3060" w:rsidRDefault="000A2A2B" w:rsidP="007C3060">
            <w:r w:rsidRPr="007C3060">
              <w:t>470</w:t>
            </w:r>
          </w:p>
        </w:tc>
        <w:tc>
          <w:tcPr>
            <w:tcW w:w="992" w:type="dxa"/>
            <w:tcBorders>
              <w:top w:val="nil"/>
              <w:left w:val="nil"/>
              <w:bottom w:val="nil"/>
              <w:right w:val="nil"/>
            </w:tcBorders>
            <w:tcMar>
              <w:top w:w="128" w:type="dxa"/>
              <w:left w:w="43" w:type="dxa"/>
              <w:bottom w:w="43" w:type="dxa"/>
              <w:right w:w="123" w:type="dxa"/>
            </w:tcMar>
          </w:tcPr>
          <w:p w14:paraId="7BA059A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19B6881" w14:textId="77777777" w:rsidR="000A2A2B" w:rsidRPr="007C3060" w:rsidRDefault="000A2A2B" w:rsidP="007C3060">
            <w:r w:rsidRPr="007C3060">
              <w:t>Fri rettshjelp:</w:t>
            </w:r>
          </w:p>
        </w:tc>
        <w:tc>
          <w:tcPr>
            <w:tcW w:w="1717" w:type="dxa"/>
            <w:tcBorders>
              <w:top w:val="nil"/>
              <w:left w:val="nil"/>
              <w:bottom w:val="nil"/>
              <w:right w:val="nil"/>
            </w:tcBorders>
            <w:tcMar>
              <w:top w:w="128" w:type="dxa"/>
              <w:left w:w="43" w:type="dxa"/>
              <w:bottom w:w="43" w:type="dxa"/>
              <w:right w:w="43" w:type="dxa"/>
            </w:tcMar>
            <w:vAlign w:val="bottom"/>
          </w:tcPr>
          <w:p w14:paraId="5204EFC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270B4F6" w14:textId="77777777" w:rsidR="000A2A2B" w:rsidRPr="007C3060" w:rsidRDefault="000A2A2B" w:rsidP="007C3060"/>
        </w:tc>
      </w:tr>
      <w:tr w:rsidR="004B729E" w:rsidRPr="007C3060" w14:paraId="0283363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7F1DA7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456BDB4"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4EB87E41"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16D0519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0D7D13F" w14:textId="77777777" w:rsidR="000A2A2B" w:rsidRPr="007C3060" w:rsidRDefault="000A2A2B" w:rsidP="007C3060">
            <w:r w:rsidRPr="007C3060">
              <w:t>5 000 000</w:t>
            </w:r>
          </w:p>
        </w:tc>
      </w:tr>
      <w:tr w:rsidR="004B729E" w:rsidRPr="007C3060" w14:paraId="0A71C49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EC42ED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7455A1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A9E752E" w14:textId="77777777" w:rsidR="000A2A2B" w:rsidRPr="007C3060" w:rsidRDefault="000A2A2B" w:rsidP="007C3060">
            <w:r w:rsidRPr="007C3060">
              <w:t>fra kr 893 543 000 til kr 898 543 000</w:t>
            </w:r>
          </w:p>
        </w:tc>
        <w:tc>
          <w:tcPr>
            <w:tcW w:w="1717" w:type="dxa"/>
            <w:tcBorders>
              <w:top w:val="nil"/>
              <w:left w:val="nil"/>
              <w:bottom w:val="nil"/>
              <w:right w:val="nil"/>
            </w:tcBorders>
            <w:tcMar>
              <w:top w:w="128" w:type="dxa"/>
              <w:left w:w="43" w:type="dxa"/>
              <w:bottom w:w="43" w:type="dxa"/>
              <w:right w:w="43" w:type="dxa"/>
            </w:tcMar>
            <w:vAlign w:val="bottom"/>
          </w:tcPr>
          <w:p w14:paraId="3C02487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EA2E681" w14:textId="77777777" w:rsidR="000A2A2B" w:rsidRPr="007C3060" w:rsidRDefault="000A2A2B" w:rsidP="007C3060"/>
        </w:tc>
      </w:tr>
      <w:tr w:rsidR="004B729E" w:rsidRPr="007C3060" w14:paraId="0F47861F"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98EE97C" w14:textId="77777777" w:rsidR="000A2A2B" w:rsidRPr="007C3060" w:rsidRDefault="000A2A2B" w:rsidP="007C3060">
            <w:r w:rsidRPr="007C3060">
              <w:t>471</w:t>
            </w:r>
          </w:p>
        </w:tc>
        <w:tc>
          <w:tcPr>
            <w:tcW w:w="992" w:type="dxa"/>
            <w:tcBorders>
              <w:top w:val="nil"/>
              <w:left w:val="nil"/>
              <w:bottom w:val="nil"/>
              <w:right w:val="nil"/>
            </w:tcBorders>
            <w:tcMar>
              <w:top w:w="128" w:type="dxa"/>
              <w:left w:w="43" w:type="dxa"/>
              <w:bottom w:w="43" w:type="dxa"/>
              <w:right w:w="123" w:type="dxa"/>
            </w:tcMar>
          </w:tcPr>
          <w:p w14:paraId="0AA008B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87B7068" w14:textId="77777777" w:rsidR="000A2A2B" w:rsidRPr="007C3060" w:rsidRDefault="000A2A2B" w:rsidP="007C3060">
            <w:r w:rsidRPr="007C3060">
              <w:t>Statens erstatningsansvar og Stortingets rettferds-vederlagsordning:</w:t>
            </w:r>
          </w:p>
        </w:tc>
        <w:tc>
          <w:tcPr>
            <w:tcW w:w="1717" w:type="dxa"/>
            <w:tcBorders>
              <w:top w:val="nil"/>
              <w:left w:val="nil"/>
              <w:bottom w:val="nil"/>
              <w:right w:val="nil"/>
            </w:tcBorders>
            <w:tcMar>
              <w:top w:w="128" w:type="dxa"/>
              <w:left w:w="43" w:type="dxa"/>
              <w:bottom w:w="43" w:type="dxa"/>
              <w:right w:w="43" w:type="dxa"/>
            </w:tcMar>
            <w:vAlign w:val="bottom"/>
          </w:tcPr>
          <w:p w14:paraId="72941F6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78548D3" w14:textId="77777777" w:rsidR="000A2A2B" w:rsidRPr="007C3060" w:rsidRDefault="000A2A2B" w:rsidP="007C3060"/>
        </w:tc>
      </w:tr>
      <w:tr w:rsidR="004B729E" w:rsidRPr="007C3060" w14:paraId="6925DE5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5F100F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9BEFC4A"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3EE186B0" w14:textId="77777777" w:rsidR="000A2A2B" w:rsidRPr="007C3060" w:rsidRDefault="000A2A2B" w:rsidP="007C3060">
            <w:r w:rsidRPr="007C3060">
              <w:t>Stortingets rettferdsvederlagsordning, nedsettes med</w:t>
            </w:r>
          </w:p>
        </w:tc>
        <w:tc>
          <w:tcPr>
            <w:tcW w:w="1717" w:type="dxa"/>
            <w:tcBorders>
              <w:top w:val="nil"/>
              <w:left w:val="nil"/>
              <w:bottom w:val="nil"/>
              <w:right w:val="nil"/>
            </w:tcBorders>
            <w:tcMar>
              <w:top w:w="128" w:type="dxa"/>
              <w:left w:w="43" w:type="dxa"/>
              <w:bottom w:w="43" w:type="dxa"/>
              <w:right w:w="43" w:type="dxa"/>
            </w:tcMar>
            <w:vAlign w:val="bottom"/>
          </w:tcPr>
          <w:p w14:paraId="6CF8E5A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3901297" w14:textId="77777777" w:rsidR="000A2A2B" w:rsidRPr="007C3060" w:rsidRDefault="000A2A2B" w:rsidP="007C3060">
            <w:r w:rsidRPr="007C3060">
              <w:t>1 300 000</w:t>
            </w:r>
          </w:p>
        </w:tc>
      </w:tr>
      <w:tr w:rsidR="004B729E" w:rsidRPr="007C3060" w14:paraId="76A01EB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CCF348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41FDE9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5ABFB56" w14:textId="77777777" w:rsidR="000A2A2B" w:rsidRPr="007C3060" w:rsidRDefault="000A2A2B" w:rsidP="007C3060">
            <w:r w:rsidRPr="007C3060">
              <w:t>fra kr 36 330 000 til kr 35 030 000</w:t>
            </w:r>
          </w:p>
        </w:tc>
        <w:tc>
          <w:tcPr>
            <w:tcW w:w="1717" w:type="dxa"/>
            <w:tcBorders>
              <w:top w:val="nil"/>
              <w:left w:val="nil"/>
              <w:bottom w:val="nil"/>
              <w:right w:val="nil"/>
            </w:tcBorders>
            <w:tcMar>
              <w:top w:w="128" w:type="dxa"/>
              <w:left w:w="43" w:type="dxa"/>
              <w:bottom w:w="43" w:type="dxa"/>
              <w:right w:w="43" w:type="dxa"/>
            </w:tcMar>
            <w:vAlign w:val="bottom"/>
          </w:tcPr>
          <w:p w14:paraId="21D5E4F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5BD9F97" w14:textId="77777777" w:rsidR="000A2A2B" w:rsidRPr="007C3060" w:rsidRDefault="000A2A2B" w:rsidP="007C3060"/>
        </w:tc>
      </w:tr>
      <w:tr w:rsidR="004B729E" w:rsidRPr="007C3060" w14:paraId="5286D67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7C87CBF" w14:textId="77777777" w:rsidR="000A2A2B" w:rsidRPr="007C3060" w:rsidRDefault="000A2A2B" w:rsidP="007C3060">
            <w:r w:rsidRPr="007C3060">
              <w:t>475</w:t>
            </w:r>
          </w:p>
        </w:tc>
        <w:tc>
          <w:tcPr>
            <w:tcW w:w="992" w:type="dxa"/>
            <w:tcBorders>
              <w:top w:val="nil"/>
              <w:left w:val="nil"/>
              <w:bottom w:val="nil"/>
              <w:right w:val="nil"/>
            </w:tcBorders>
            <w:tcMar>
              <w:top w:w="128" w:type="dxa"/>
              <w:left w:w="43" w:type="dxa"/>
              <w:bottom w:w="43" w:type="dxa"/>
              <w:right w:w="123" w:type="dxa"/>
            </w:tcMar>
          </w:tcPr>
          <w:p w14:paraId="616692D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71CFC48" w14:textId="77777777" w:rsidR="000A2A2B" w:rsidRPr="007C3060" w:rsidRDefault="000A2A2B" w:rsidP="007C3060">
            <w:r w:rsidRPr="007C3060">
              <w:t>Bobehandling:</w:t>
            </w:r>
          </w:p>
        </w:tc>
        <w:tc>
          <w:tcPr>
            <w:tcW w:w="1717" w:type="dxa"/>
            <w:tcBorders>
              <w:top w:val="nil"/>
              <w:left w:val="nil"/>
              <w:bottom w:val="nil"/>
              <w:right w:val="nil"/>
            </w:tcBorders>
            <w:tcMar>
              <w:top w:w="128" w:type="dxa"/>
              <w:left w:w="43" w:type="dxa"/>
              <w:bottom w:w="43" w:type="dxa"/>
              <w:right w:w="43" w:type="dxa"/>
            </w:tcMar>
            <w:vAlign w:val="bottom"/>
          </w:tcPr>
          <w:p w14:paraId="6E07216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2989487" w14:textId="77777777" w:rsidR="000A2A2B" w:rsidRPr="007C3060" w:rsidRDefault="000A2A2B" w:rsidP="007C3060"/>
        </w:tc>
      </w:tr>
      <w:tr w:rsidR="004B729E" w:rsidRPr="007C3060" w14:paraId="2E07D16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9DF2BE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1A473D2"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3CFC0187" w14:textId="77777777" w:rsidR="000A2A2B" w:rsidRPr="007C3060" w:rsidRDefault="000A2A2B" w:rsidP="007C3060">
            <w:r w:rsidRPr="007C3060">
              <w:t xml:space="preserve">Driftsutgifter,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2AD3616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A4C593B" w14:textId="77777777" w:rsidR="000A2A2B" w:rsidRPr="007C3060" w:rsidRDefault="000A2A2B" w:rsidP="007C3060">
            <w:r w:rsidRPr="007C3060">
              <w:t>15 591 000</w:t>
            </w:r>
          </w:p>
        </w:tc>
      </w:tr>
      <w:tr w:rsidR="004B729E" w:rsidRPr="007C3060" w14:paraId="4E24E83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CF8186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4CD210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C78DBE3" w14:textId="77777777" w:rsidR="000A2A2B" w:rsidRPr="007C3060" w:rsidRDefault="000A2A2B" w:rsidP="007C3060">
            <w:r w:rsidRPr="007C3060">
              <w:t>fra kr 145 483 000 til kr 161 074 000</w:t>
            </w:r>
          </w:p>
        </w:tc>
        <w:tc>
          <w:tcPr>
            <w:tcW w:w="1717" w:type="dxa"/>
            <w:tcBorders>
              <w:top w:val="nil"/>
              <w:left w:val="nil"/>
              <w:bottom w:val="nil"/>
              <w:right w:val="nil"/>
            </w:tcBorders>
            <w:tcMar>
              <w:top w:w="128" w:type="dxa"/>
              <w:left w:w="43" w:type="dxa"/>
              <w:bottom w:w="43" w:type="dxa"/>
              <w:right w:w="43" w:type="dxa"/>
            </w:tcMar>
            <w:vAlign w:val="bottom"/>
          </w:tcPr>
          <w:p w14:paraId="2398853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D3B11C1" w14:textId="77777777" w:rsidR="000A2A2B" w:rsidRPr="007C3060" w:rsidRDefault="000A2A2B" w:rsidP="007C3060"/>
        </w:tc>
      </w:tr>
      <w:tr w:rsidR="004B729E" w:rsidRPr="007C3060" w14:paraId="419A4C6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8EE3ECE" w14:textId="77777777" w:rsidR="000A2A2B" w:rsidRPr="007C3060" w:rsidRDefault="000A2A2B" w:rsidP="007C3060">
            <w:r w:rsidRPr="007C3060">
              <w:t>480</w:t>
            </w:r>
          </w:p>
        </w:tc>
        <w:tc>
          <w:tcPr>
            <w:tcW w:w="992" w:type="dxa"/>
            <w:tcBorders>
              <w:top w:val="nil"/>
              <w:left w:val="nil"/>
              <w:bottom w:val="nil"/>
              <w:right w:val="nil"/>
            </w:tcBorders>
            <w:tcMar>
              <w:top w:w="128" w:type="dxa"/>
              <w:left w:w="43" w:type="dxa"/>
              <w:bottom w:w="43" w:type="dxa"/>
              <w:right w:w="123" w:type="dxa"/>
            </w:tcMar>
          </w:tcPr>
          <w:p w14:paraId="66EC4C1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22FCD86" w14:textId="77777777" w:rsidR="000A2A2B" w:rsidRPr="007C3060" w:rsidRDefault="000A2A2B" w:rsidP="007C3060">
            <w:r w:rsidRPr="007C3060">
              <w:t>Svalbardbudsjettet:</w:t>
            </w:r>
          </w:p>
        </w:tc>
        <w:tc>
          <w:tcPr>
            <w:tcW w:w="1717" w:type="dxa"/>
            <w:tcBorders>
              <w:top w:val="nil"/>
              <w:left w:val="nil"/>
              <w:bottom w:val="nil"/>
              <w:right w:val="nil"/>
            </w:tcBorders>
            <w:tcMar>
              <w:top w:w="128" w:type="dxa"/>
              <w:left w:w="43" w:type="dxa"/>
              <w:bottom w:w="43" w:type="dxa"/>
              <w:right w:w="43" w:type="dxa"/>
            </w:tcMar>
            <w:vAlign w:val="bottom"/>
          </w:tcPr>
          <w:p w14:paraId="4EEC45E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941850E" w14:textId="77777777" w:rsidR="000A2A2B" w:rsidRPr="007C3060" w:rsidRDefault="000A2A2B" w:rsidP="007C3060"/>
        </w:tc>
      </w:tr>
      <w:tr w:rsidR="004B729E" w:rsidRPr="007C3060" w14:paraId="655E0BD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7717E2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801989A" w14:textId="77777777" w:rsidR="000A2A2B" w:rsidRPr="007C3060" w:rsidRDefault="000A2A2B" w:rsidP="007C3060">
            <w:r w:rsidRPr="007C3060">
              <w:t>50</w:t>
            </w:r>
          </w:p>
        </w:tc>
        <w:tc>
          <w:tcPr>
            <w:tcW w:w="4819" w:type="dxa"/>
            <w:tcBorders>
              <w:top w:val="nil"/>
              <w:left w:val="nil"/>
              <w:bottom w:val="nil"/>
              <w:right w:val="nil"/>
            </w:tcBorders>
            <w:tcMar>
              <w:top w:w="128" w:type="dxa"/>
              <w:left w:w="43" w:type="dxa"/>
              <w:bottom w:w="43" w:type="dxa"/>
              <w:right w:w="43" w:type="dxa"/>
            </w:tcMar>
            <w:vAlign w:val="bottom"/>
          </w:tcPr>
          <w:p w14:paraId="30481E25" w14:textId="77777777" w:rsidR="000A2A2B" w:rsidRPr="007C3060" w:rsidRDefault="000A2A2B" w:rsidP="007C3060">
            <w:r w:rsidRPr="007C3060">
              <w:t>Tilskudd, forhøyes med</w:t>
            </w:r>
          </w:p>
        </w:tc>
        <w:tc>
          <w:tcPr>
            <w:tcW w:w="1717" w:type="dxa"/>
            <w:tcBorders>
              <w:top w:val="nil"/>
              <w:left w:val="nil"/>
              <w:bottom w:val="nil"/>
              <w:right w:val="nil"/>
            </w:tcBorders>
            <w:tcMar>
              <w:top w:w="128" w:type="dxa"/>
              <w:left w:w="43" w:type="dxa"/>
              <w:bottom w:w="43" w:type="dxa"/>
              <w:right w:w="43" w:type="dxa"/>
            </w:tcMar>
            <w:vAlign w:val="bottom"/>
          </w:tcPr>
          <w:p w14:paraId="59B92EE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0486BD8" w14:textId="77777777" w:rsidR="000A2A2B" w:rsidRPr="007C3060" w:rsidRDefault="000A2A2B" w:rsidP="007C3060">
            <w:r w:rsidRPr="007C3060">
              <w:t>5 475 000</w:t>
            </w:r>
          </w:p>
        </w:tc>
      </w:tr>
      <w:tr w:rsidR="004B729E" w:rsidRPr="007C3060" w14:paraId="73DE113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3F9372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AC5E3A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4BA791F" w14:textId="77777777" w:rsidR="000A2A2B" w:rsidRPr="007C3060" w:rsidRDefault="000A2A2B" w:rsidP="007C3060">
            <w:r w:rsidRPr="007C3060">
              <w:t>fra kr 477 050 000 til kr 482 525 000</w:t>
            </w:r>
          </w:p>
        </w:tc>
        <w:tc>
          <w:tcPr>
            <w:tcW w:w="1717" w:type="dxa"/>
            <w:tcBorders>
              <w:top w:val="nil"/>
              <w:left w:val="nil"/>
              <w:bottom w:val="nil"/>
              <w:right w:val="nil"/>
            </w:tcBorders>
            <w:tcMar>
              <w:top w:w="128" w:type="dxa"/>
              <w:left w:w="43" w:type="dxa"/>
              <w:bottom w:w="43" w:type="dxa"/>
              <w:right w:w="43" w:type="dxa"/>
            </w:tcMar>
            <w:vAlign w:val="bottom"/>
          </w:tcPr>
          <w:p w14:paraId="40C567D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02C7053" w14:textId="77777777" w:rsidR="000A2A2B" w:rsidRPr="007C3060" w:rsidRDefault="000A2A2B" w:rsidP="007C3060"/>
        </w:tc>
      </w:tr>
      <w:tr w:rsidR="004B729E" w:rsidRPr="007C3060" w14:paraId="7ABC9C3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9476EEE" w14:textId="77777777" w:rsidR="000A2A2B" w:rsidRPr="007C3060" w:rsidRDefault="000A2A2B" w:rsidP="007C3060">
            <w:r w:rsidRPr="007C3060">
              <w:t>490</w:t>
            </w:r>
          </w:p>
        </w:tc>
        <w:tc>
          <w:tcPr>
            <w:tcW w:w="992" w:type="dxa"/>
            <w:tcBorders>
              <w:top w:val="nil"/>
              <w:left w:val="nil"/>
              <w:bottom w:val="nil"/>
              <w:right w:val="nil"/>
            </w:tcBorders>
            <w:tcMar>
              <w:top w:w="128" w:type="dxa"/>
              <w:left w:w="43" w:type="dxa"/>
              <w:bottom w:w="43" w:type="dxa"/>
              <w:right w:w="123" w:type="dxa"/>
            </w:tcMar>
          </w:tcPr>
          <w:p w14:paraId="3477755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5DDF62E" w14:textId="77777777" w:rsidR="000A2A2B" w:rsidRPr="007C3060" w:rsidRDefault="000A2A2B" w:rsidP="007C3060">
            <w:r w:rsidRPr="007C3060">
              <w:t>Utlendingsdirektoratet:</w:t>
            </w:r>
          </w:p>
        </w:tc>
        <w:tc>
          <w:tcPr>
            <w:tcW w:w="1717" w:type="dxa"/>
            <w:tcBorders>
              <w:top w:val="nil"/>
              <w:left w:val="nil"/>
              <w:bottom w:val="nil"/>
              <w:right w:val="nil"/>
            </w:tcBorders>
            <w:tcMar>
              <w:top w:w="128" w:type="dxa"/>
              <w:left w:w="43" w:type="dxa"/>
              <w:bottom w:w="43" w:type="dxa"/>
              <w:right w:w="43" w:type="dxa"/>
            </w:tcMar>
            <w:vAlign w:val="bottom"/>
          </w:tcPr>
          <w:p w14:paraId="0F3A1F8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D919B9" w14:textId="77777777" w:rsidR="000A2A2B" w:rsidRPr="007C3060" w:rsidRDefault="000A2A2B" w:rsidP="007C3060"/>
        </w:tc>
      </w:tr>
      <w:tr w:rsidR="004B729E" w:rsidRPr="007C3060" w14:paraId="5836990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0C17A7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983FF93"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27F063CD"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4C31683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E770CE6" w14:textId="77777777" w:rsidR="000A2A2B" w:rsidRPr="007C3060" w:rsidRDefault="000A2A2B" w:rsidP="007C3060">
            <w:r w:rsidRPr="007C3060">
              <w:t>22 800 000</w:t>
            </w:r>
          </w:p>
        </w:tc>
      </w:tr>
      <w:tr w:rsidR="004B729E" w:rsidRPr="007C3060" w14:paraId="017BBD0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198F08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350BFE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BDF4F6B" w14:textId="77777777" w:rsidR="000A2A2B" w:rsidRPr="007C3060" w:rsidRDefault="000A2A2B" w:rsidP="007C3060">
            <w:r w:rsidRPr="007C3060">
              <w:t>fra kr 1 428 055 000 til kr 1 450 855 000</w:t>
            </w:r>
          </w:p>
        </w:tc>
        <w:tc>
          <w:tcPr>
            <w:tcW w:w="1717" w:type="dxa"/>
            <w:tcBorders>
              <w:top w:val="nil"/>
              <w:left w:val="nil"/>
              <w:bottom w:val="nil"/>
              <w:right w:val="nil"/>
            </w:tcBorders>
            <w:tcMar>
              <w:top w:w="128" w:type="dxa"/>
              <w:left w:w="43" w:type="dxa"/>
              <w:bottom w:w="43" w:type="dxa"/>
              <w:right w:w="43" w:type="dxa"/>
            </w:tcMar>
            <w:vAlign w:val="bottom"/>
          </w:tcPr>
          <w:p w14:paraId="70F6ACC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24F9108" w14:textId="77777777" w:rsidR="000A2A2B" w:rsidRPr="007C3060" w:rsidRDefault="000A2A2B" w:rsidP="007C3060"/>
        </w:tc>
      </w:tr>
      <w:tr w:rsidR="004B729E" w:rsidRPr="007C3060" w14:paraId="2F707D6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310205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CB69A08"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243FE8C1" w14:textId="77777777" w:rsidR="000A2A2B" w:rsidRPr="007C3060" w:rsidRDefault="000A2A2B" w:rsidP="007C3060">
            <w:r w:rsidRPr="007C3060">
              <w:t>Spesielle driftsutgifter, asylmottak, nedsettes med</w:t>
            </w:r>
          </w:p>
        </w:tc>
        <w:tc>
          <w:tcPr>
            <w:tcW w:w="1717" w:type="dxa"/>
            <w:tcBorders>
              <w:top w:val="nil"/>
              <w:left w:val="nil"/>
              <w:bottom w:val="nil"/>
              <w:right w:val="nil"/>
            </w:tcBorders>
            <w:tcMar>
              <w:top w:w="128" w:type="dxa"/>
              <w:left w:w="43" w:type="dxa"/>
              <w:bottom w:w="43" w:type="dxa"/>
              <w:right w:w="43" w:type="dxa"/>
            </w:tcMar>
            <w:vAlign w:val="bottom"/>
          </w:tcPr>
          <w:p w14:paraId="42D0F60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57AB4A1" w14:textId="77777777" w:rsidR="000A2A2B" w:rsidRPr="007C3060" w:rsidRDefault="000A2A2B" w:rsidP="007C3060">
            <w:r w:rsidRPr="007C3060">
              <w:t>270 476 000</w:t>
            </w:r>
          </w:p>
        </w:tc>
      </w:tr>
      <w:tr w:rsidR="004B729E" w:rsidRPr="007C3060" w14:paraId="12B7FE8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988788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384497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502B764" w14:textId="77777777" w:rsidR="000A2A2B" w:rsidRPr="007C3060" w:rsidRDefault="000A2A2B" w:rsidP="007C3060">
            <w:r w:rsidRPr="007C3060">
              <w:t>fra kr 2 846 808 000 til kr 2 576 332 000</w:t>
            </w:r>
          </w:p>
        </w:tc>
        <w:tc>
          <w:tcPr>
            <w:tcW w:w="1717" w:type="dxa"/>
            <w:tcBorders>
              <w:top w:val="nil"/>
              <w:left w:val="nil"/>
              <w:bottom w:val="nil"/>
              <w:right w:val="nil"/>
            </w:tcBorders>
            <w:tcMar>
              <w:top w:w="128" w:type="dxa"/>
              <w:left w:w="43" w:type="dxa"/>
              <w:bottom w:w="43" w:type="dxa"/>
              <w:right w:w="43" w:type="dxa"/>
            </w:tcMar>
            <w:vAlign w:val="bottom"/>
          </w:tcPr>
          <w:p w14:paraId="24423F6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C876EF2" w14:textId="77777777" w:rsidR="000A2A2B" w:rsidRPr="007C3060" w:rsidRDefault="000A2A2B" w:rsidP="007C3060"/>
        </w:tc>
      </w:tr>
      <w:tr w:rsidR="004B729E" w:rsidRPr="007C3060" w14:paraId="0F2E5A6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7AD296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9197D5B"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31EABCFD" w14:textId="77777777" w:rsidR="000A2A2B" w:rsidRPr="007C3060" w:rsidRDefault="000A2A2B" w:rsidP="007C3060">
            <w:r w:rsidRPr="007C3060">
              <w:t>Spesielle driftsutgifter, tolk og oversettelse, nedsettes med</w:t>
            </w:r>
          </w:p>
        </w:tc>
        <w:tc>
          <w:tcPr>
            <w:tcW w:w="1717" w:type="dxa"/>
            <w:tcBorders>
              <w:top w:val="nil"/>
              <w:left w:val="nil"/>
              <w:bottom w:val="nil"/>
              <w:right w:val="nil"/>
            </w:tcBorders>
            <w:tcMar>
              <w:top w:w="128" w:type="dxa"/>
              <w:left w:w="43" w:type="dxa"/>
              <w:bottom w:w="43" w:type="dxa"/>
              <w:right w:w="43" w:type="dxa"/>
            </w:tcMar>
            <w:vAlign w:val="bottom"/>
          </w:tcPr>
          <w:p w14:paraId="156100D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56A0428" w14:textId="77777777" w:rsidR="000A2A2B" w:rsidRPr="007C3060" w:rsidRDefault="000A2A2B" w:rsidP="007C3060">
            <w:r w:rsidRPr="007C3060">
              <w:t>5 700 000</w:t>
            </w:r>
          </w:p>
        </w:tc>
      </w:tr>
      <w:tr w:rsidR="004B729E" w:rsidRPr="007C3060" w14:paraId="43B8756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04E320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2E1000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CCA8760" w14:textId="77777777" w:rsidR="000A2A2B" w:rsidRPr="007C3060" w:rsidRDefault="000A2A2B" w:rsidP="007C3060">
            <w:r w:rsidRPr="007C3060">
              <w:t>fra kr 32 741 000 til kr 27 041 000</w:t>
            </w:r>
          </w:p>
        </w:tc>
        <w:tc>
          <w:tcPr>
            <w:tcW w:w="1717" w:type="dxa"/>
            <w:tcBorders>
              <w:top w:val="nil"/>
              <w:left w:val="nil"/>
              <w:bottom w:val="nil"/>
              <w:right w:val="nil"/>
            </w:tcBorders>
            <w:tcMar>
              <w:top w:w="128" w:type="dxa"/>
              <w:left w:w="43" w:type="dxa"/>
              <w:bottom w:w="43" w:type="dxa"/>
              <w:right w:w="43" w:type="dxa"/>
            </w:tcMar>
            <w:vAlign w:val="bottom"/>
          </w:tcPr>
          <w:p w14:paraId="20B841A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7BB33A0" w14:textId="77777777" w:rsidR="000A2A2B" w:rsidRPr="007C3060" w:rsidRDefault="000A2A2B" w:rsidP="007C3060"/>
        </w:tc>
      </w:tr>
      <w:tr w:rsidR="004B729E" w:rsidRPr="007C3060" w14:paraId="60AC90E3"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67D39C1"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5D1D5736" w14:textId="77777777" w:rsidR="000A2A2B" w:rsidRPr="007C3060" w:rsidRDefault="000A2A2B" w:rsidP="007C3060">
            <w:r w:rsidRPr="007C3060">
              <w:t>30</w:t>
            </w:r>
          </w:p>
        </w:tc>
        <w:tc>
          <w:tcPr>
            <w:tcW w:w="4819" w:type="dxa"/>
            <w:tcBorders>
              <w:top w:val="nil"/>
              <w:left w:val="nil"/>
              <w:bottom w:val="nil"/>
              <w:right w:val="nil"/>
            </w:tcBorders>
            <w:tcMar>
              <w:top w:w="128" w:type="dxa"/>
              <w:left w:w="43" w:type="dxa"/>
              <w:bottom w:w="43" w:type="dxa"/>
              <w:right w:w="43" w:type="dxa"/>
            </w:tcMar>
            <w:vAlign w:val="bottom"/>
          </w:tcPr>
          <w:p w14:paraId="49A79200" w14:textId="440947AC" w:rsidR="000A2A2B" w:rsidRPr="007C3060" w:rsidRDefault="000A2A2B" w:rsidP="007C3060">
            <w:r w:rsidRPr="007C3060">
              <w:t xml:space="preserve">Ombygginger, ankomstsenter for asylregistrering og mottak, </w:t>
            </w:r>
            <w:r w:rsidRPr="007C3060">
              <w:rPr>
                <w:rStyle w:val="kursiv"/>
              </w:rPr>
              <w:t>kan overføres,</w:t>
            </w:r>
            <w:r w:rsidRPr="007C3060">
              <w:t xml:space="preserve"> bevilges med</w:t>
            </w:r>
          </w:p>
        </w:tc>
        <w:tc>
          <w:tcPr>
            <w:tcW w:w="1717" w:type="dxa"/>
            <w:tcBorders>
              <w:top w:val="nil"/>
              <w:left w:val="nil"/>
              <w:bottom w:val="nil"/>
              <w:right w:val="nil"/>
            </w:tcBorders>
            <w:tcMar>
              <w:top w:w="128" w:type="dxa"/>
              <w:left w:w="43" w:type="dxa"/>
              <w:bottom w:w="43" w:type="dxa"/>
              <w:right w:w="43" w:type="dxa"/>
            </w:tcMar>
            <w:vAlign w:val="bottom"/>
          </w:tcPr>
          <w:p w14:paraId="3C98EC9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1B9D1A5" w14:textId="77777777" w:rsidR="000A2A2B" w:rsidRPr="007C3060" w:rsidRDefault="000A2A2B" w:rsidP="007C3060">
            <w:r w:rsidRPr="007C3060">
              <w:t>33 600 000</w:t>
            </w:r>
          </w:p>
        </w:tc>
      </w:tr>
      <w:tr w:rsidR="004B729E" w:rsidRPr="007C3060" w14:paraId="6BA37CFC"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73F4E8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2B44066" w14:textId="77777777" w:rsidR="000A2A2B" w:rsidRPr="007C3060" w:rsidRDefault="000A2A2B" w:rsidP="007C3060">
            <w:r w:rsidRPr="007C3060">
              <w:t>46</w:t>
            </w:r>
          </w:p>
        </w:tc>
        <w:tc>
          <w:tcPr>
            <w:tcW w:w="4819" w:type="dxa"/>
            <w:tcBorders>
              <w:top w:val="nil"/>
              <w:left w:val="nil"/>
              <w:bottom w:val="nil"/>
              <w:right w:val="nil"/>
            </w:tcBorders>
            <w:tcMar>
              <w:top w:w="128" w:type="dxa"/>
              <w:left w:w="43" w:type="dxa"/>
              <w:bottom w:w="43" w:type="dxa"/>
              <w:right w:w="43" w:type="dxa"/>
            </w:tcMar>
            <w:vAlign w:val="bottom"/>
          </w:tcPr>
          <w:p w14:paraId="48175B1A" w14:textId="330F71B2" w:rsidR="000A2A2B" w:rsidRPr="007C3060" w:rsidRDefault="000A2A2B" w:rsidP="007C3060">
            <w:r w:rsidRPr="007C3060">
              <w:t xml:space="preserve">Investeringer i Schengen IT-systemer,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430ECA5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9743F0C" w14:textId="77777777" w:rsidR="000A2A2B" w:rsidRPr="007C3060" w:rsidRDefault="000A2A2B" w:rsidP="007C3060">
            <w:r w:rsidRPr="007C3060">
              <w:t>2 980 000</w:t>
            </w:r>
          </w:p>
        </w:tc>
      </w:tr>
      <w:tr w:rsidR="004B729E" w:rsidRPr="007C3060" w14:paraId="257AACA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9FEB04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ABD80D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303907E" w14:textId="77777777" w:rsidR="000A2A2B" w:rsidRPr="007C3060" w:rsidRDefault="000A2A2B" w:rsidP="007C3060">
            <w:r w:rsidRPr="007C3060">
              <w:t>fra kr 3 576 000 til kr 6 556 000</w:t>
            </w:r>
          </w:p>
        </w:tc>
        <w:tc>
          <w:tcPr>
            <w:tcW w:w="1717" w:type="dxa"/>
            <w:tcBorders>
              <w:top w:val="nil"/>
              <w:left w:val="nil"/>
              <w:bottom w:val="nil"/>
              <w:right w:val="nil"/>
            </w:tcBorders>
            <w:tcMar>
              <w:top w:w="128" w:type="dxa"/>
              <w:left w:w="43" w:type="dxa"/>
              <w:bottom w:w="43" w:type="dxa"/>
              <w:right w:w="43" w:type="dxa"/>
            </w:tcMar>
            <w:vAlign w:val="bottom"/>
          </w:tcPr>
          <w:p w14:paraId="0ACAFEF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8A38D91" w14:textId="77777777" w:rsidR="000A2A2B" w:rsidRPr="007C3060" w:rsidRDefault="000A2A2B" w:rsidP="007C3060"/>
        </w:tc>
      </w:tr>
      <w:tr w:rsidR="004B729E" w:rsidRPr="007C3060" w14:paraId="0769367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E3D2B6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BB6C784" w14:textId="77777777" w:rsidR="000A2A2B" w:rsidRPr="007C3060" w:rsidRDefault="000A2A2B" w:rsidP="007C3060">
            <w:r w:rsidRPr="007C3060">
              <w:t>60</w:t>
            </w:r>
          </w:p>
        </w:tc>
        <w:tc>
          <w:tcPr>
            <w:tcW w:w="4819" w:type="dxa"/>
            <w:tcBorders>
              <w:top w:val="nil"/>
              <w:left w:val="nil"/>
              <w:bottom w:val="nil"/>
              <w:right w:val="nil"/>
            </w:tcBorders>
            <w:tcMar>
              <w:top w:w="128" w:type="dxa"/>
              <w:left w:w="43" w:type="dxa"/>
              <w:bottom w:w="43" w:type="dxa"/>
              <w:right w:w="43" w:type="dxa"/>
            </w:tcMar>
            <w:vAlign w:val="bottom"/>
          </w:tcPr>
          <w:p w14:paraId="6E10D650" w14:textId="77777777" w:rsidR="000A2A2B" w:rsidRPr="007C3060" w:rsidRDefault="000A2A2B" w:rsidP="007C3060">
            <w:r w:rsidRPr="007C3060">
              <w:t>Tilskudd til vertskommuner for asylmottak, nedsettes med</w:t>
            </w:r>
          </w:p>
        </w:tc>
        <w:tc>
          <w:tcPr>
            <w:tcW w:w="1717" w:type="dxa"/>
            <w:tcBorders>
              <w:top w:val="nil"/>
              <w:left w:val="nil"/>
              <w:bottom w:val="nil"/>
              <w:right w:val="nil"/>
            </w:tcBorders>
            <w:tcMar>
              <w:top w:w="128" w:type="dxa"/>
              <w:left w:w="43" w:type="dxa"/>
              <w:bottom w:w="43" w:type="dxa"/>
              <w:right w:w="43" w:type="dxa"/>
            </w:tcMar>
            <w:vAlign w:val="bottom"/>
          </w:tcPr>
          <w:p w14:paraId="16FAA03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7E14037" w14:textId="77777777" w:rsidR="000A2A2B" w:rsidRPr="007C3060" w:rsidRDefault="000A2A2B" w:rsidP="007C3060">
            <w:r w:rsidRPr="007C3060">
              <w:t>41 584 000</w:t>
            </w:r>
          </w:p>
        </w:tc>
      </w:tr>
      <w:tr w:rsidR="004B729E" w:rsidRPr="007C3060" w14:paraId="017F370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A5BBE8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CA8796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6469878" w14:textId="77777777" w:rsidR="000A2A2B" w:rsidRPr="007C3060" w:rsidRDefault="000A2A2B" w:rsidP="007C3060">
            <w:r w:rsidRPr="007C3060">
              <w:t>fra kr 410 764 000 til kr 369 180 000</w:t>
            </w:r>
          </w:p>
        </w:tc>
        <w:tc>
          <w:tcPr>
            <w:tcW w:w="1717" w:type="dxa"/>
            <w:tcBorders>
              <w:top w:val="nil"/>
              <w:left w:val="nil"/>
              <w:bottom w:val="nil"/>
              <w:right w:val="nil"/>
            </w:tcBorders>
            <w:tcMar>
              <w:top w:w="128" w:type="dxa"/>
              <w:left w:w="43" w:type="dxa"/>
              <w:bottom w:w="43" w:type="dxa"/>
              <w:right w:w="43" w:type="dxa"/>
            </w:tcMar>
            <w:vAlign w:val="bottom"/>
          </w:tcPr>
          <w:p w14:paraId="1D541FF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F5A2D0E" w14:textId="77777777" w:rsidR="000A2A2B" w:rsidRPr="007C3060" w:rsidRDefault="000A2A2B" w:rsidP="007C3060"/>
        </w:tc>
      </w:tr>
      <w:tr w:rsidR="004B729E" w:rsidRPr="007C3060" w14:paraId="23B63E7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86E98D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5EABB77"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69268228" w14:textId="77777777" w:rsidR="000A2A2B" w:rsidRPr="007C3060" w:rsidRDefault="000A2A2B" w:rsidP="007C3060">
            <w:r w:rsidRPr="007C3060">
              <w:t>Stønader til beboere i asylmottak, nedsettes med</w:t>
            </w:r>
          </w:p>
        </w:tc>
        <w:tc>
          <w:tcPr>
            <w:tcW w:w="1717" w:type="dxa"/>
            <w:tcBorders>
              <w:top w:val="nil"/>
              <w:left w:val="nil"/>
              <w:bottom w:val="nil"/>
              <w:right w:val="nil"/>
            </w:tcBorders>
            <w:tcMar>
              <w:top w:w="128" w:type="dxa"/>
              <w:left w:w="43" w:type="dxa"/>
              <w:bottom w:w="43" w:type="dxa"/>
              <w:right w:w="43" w:type="dxa"/>
            </w:tcMar>
            <w:vAlign w:val="bottom"/>
          </w:tcPr>
          <w:p w14:paraId="055C2A6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BD2DEB3" w14:textId="77777777" w:rsidR="000A2A2B" w:rsidRPr="007C3060" w:rsidRDefault="000A2A2B" w:rsidP="007C3060">
            <w:r w:rsidRPr="007C3060">
              <w:t>14 983 000</w:t>
            </w:r>
          </w:p>
        </w:tc>
      </w:tr>
      <w:tr w:rsidR="004B729E" w:rsidRPr="007C3060" w14:paraId="7B3F55E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188038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9FB00E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D5F12C9" w14:textId="77777777" w:rsidR="000A2A2B" w:rsidRPr="007C3060" w:rsidRDefault="000A2A2B" w:rsidP="007C3060">
            <w:r w:rsidRPr="007C3060">
              <w:t>fra kr 616 288 000 til kr 601 305 000</w:t>
            </w:r>
          </w:p>
        </w:tc>
        <w:tc>
          <w:tcPr>
            <w:tcW w:w="1717" w:type="dxa"/>
            <w:tcBorders>
              <w:top w:val="nil"/>
              <w:left w:val="nil"/>
              <w:bottom w:val="nil"/>
              <w:right w:val="nil"/>
            </w:tcBorders>
            <w:tcMar>
              <w:top w:w="128" w:type="dxa"/>
              <w:left w:w="43" w:type="dxa"/>
              <w:bottom w:w="43" w:type="dxa"/>
              <w:right w:w="43" w:type="dxa"/>
            </w:tcMar>
            <w:vAlign w:val="bottom"/>
          </w:tcPr>
          <w:p w14:paraId="3360739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63E9DFB" w14:textId="77777777" w:rsidR="000A2A2B" w:rsidRPr="007C3060" w:rsidRDefault="000A2A2B" w:rsidP="007C3060"/>
        </w:tc>
      </w:tr>
      <w:tr w:rsidR="004B729E" w:rsidRPr="007C3060" w14:paraId="649B9206"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7CFC08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81A0909"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69D959C3" w14:textId="728975D4" w:rsidR="000A2A2B" w:rsidRPr="007C3060" w:rsidRDefault="000A2A2B" w:rsidP="007C3060">
            <w:r w:rsidRPr="007C3060">
              <w:t xml:space="preserve">Assistert retur og reintegrering i hjemlandet,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5255703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2BF0124" w14:textId="77777777" w:rsidR="000A2A2B" w:rsidRPr="007C3060" w:rsidRDefault="000A2A2B" w:rsidP="007C3060">
            <w:r w:rsidRPr="007C3060">
              <w:t>61 635 000</w:t>
            </w:r>
          </w:p>
        </w:tc>
      </w:tr>
      <w:tr w:rsidR="004B729E" w:rsidRPr="007C3060" w14:paraId="3C181DF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F3DE91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524DDD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25E846D" w14:textId="77777777" w:rsidR="000A2A2B" w:rsidRPr="007C3060" w:rsidRDefault="000A2A2B" w:rsidP="007C3060">
            <w:r w:rsidRPr="007C3060">
              <w:t>fra kr 42 500 000 til kr 104 135 000</w:t>
            </w:r>
          </w:p>
        </w:tc>
        <w:tc>
          <w:tcPr>
            <w:tcW w:w="1717" w:type="dxa"/>
            <w:tcBorders>
              <w:top w:val="nil"/>
              <w:left w:val="nil"/>
              <w:bottom w:val="nil"/>
              <w:right w:val="nil"/>
            </w:tcBorders>
            <w:tcMar>
              <w:top w:w="128" w:type="dxa"/>
              <w:left w:w="43" w:type="dxa"/>
              <w:bottom w:w="43" w:type="dxa"/>
              <w:right w:w="43" w:type="dxa"/>
            </w:tcMar>
            <w:vAlign w:val="bottom"/>
          </w:tcPr>
          <w:p w14:paraId="6F0B19D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7EB61EA" w14:textId="77777777" w:rsidR="000A2A2B" w:rsidRPr="007C3060" w:rsidRDefault="000A2A2B" w:rsidP="007C3060"/>
        </w:tc>
      </w:tr>
      <w:tr w:rsidR="004B729E" w:rsidRPr="007C3060" w14:paraId="5399280C"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0442129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5CF71AF"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32493013" w14:textId="1E7A40C0" w:rsidR="000A2A2B" w:rsidRPr="007C3060" w:rsidRDefault="000A2A2B" w:rsidP="007C3060">
            <w:r w:rsidRPr="007C3060">
              <w:t xml:space="preserve">Reiseutgifter for flyktninger fra utlandet,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3CC6192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6BFB540" w14:textId="77777777" w:rsidR="000A2A2B" w:rsidRPr="007C3060" w:rsidRDefault="000A2A2B" w:rsidP="007C3060">
            <w:r w:rsidRPr="007C3060">
              <w:t>2 029 000</w:t>
            </w:r>
          </w:p>
        </w:tc>
      </w:tr>
      <w:tr w:rsidR="004B729E" w:rsidRPr="007C3060" w14:paraId="3B9207C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5A23F5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C656E9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A5032E1" w14:textId="77777777" w:rsidR="000A2A2B" w:rsidRPr="007C3060" w:rsidRDefault="000A2A2B" w:rsidP="007C3060">
            <w:r w:rsidRPr="007C3060">
              <w:t>fra kr 8 980 000 til kr 11 009 000</w:t>
            </w:r>
          </w:p>
        </w:tc>
        <w:tc>
          <w:tcPr>
            <w:tcW w:w="1717" w:type="dxa"/>
            <w:tcBorders>
              <w:top w:val="nil"/>
              <w:left w:val="nil"/>
              <w:bottom w:val="nil"/>
              <w:right w:val="nil"/>
            </w:tcBorders>
            <w:tcMar>
              <w:top w:w="128" w:type="dxa"/>
              <w:left w:w="43" w:type="dxa"/>
              <w:bottom w:w="43" w:type="dxa"/>
              <w:right w:w="43" w:type="dxa"/>
            </w:tcMar>
            <w:vAlign w:val="bottom"/>
          </w:tcPr>
          <w:p w14:paraId="01BCB90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01332D6" w14:textId="77777777" w:rsidR="000A2A2B" w:rsidRPr="007C3060" w:rsidRDefault="000A2A2B" w:rsidP="007C3060"/>
        </w:tc>
      </w:tr>
      <w:tr w:rsidR="004B729E" w:rsidRPr="007C3060" w14:paraId="7CC153A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C41F599" w14:textId="77777777" w:rsidR="000A2A2B" w:rsidRPr="007C3060" w:rsidRDefault="000A2A2B" w:rsidP="007C3060">
            <w:r w:rsidRPr="007C3060">
              <w:t>491</w:t>
            </w:r>
          </w:p>
        </w:tc>
        <w:tc>
          <w:tcPr>
            <w:tcW w:w="992" w:type="dxa"/>
            <w:tcBorders>
              <w:top w:val="nil"/>
              <w:left w:val="nil"/>
              <w:bottom w:val="nil"/>
              <w:right w:val="nil"/>
            </w:tcBorders>
            <w:tcMar>
              <w:top w:w="128" w:type="dxa"/>
              <w:left w:w="43" w:type="dxa"/>
              <w:bottom w:w="43" w:type="dxa"/>
              <w:right w:w="123" w:type="dxa"/>
            </w:tcMar>
          </w:tcPr>
          <w:p w14:paraId="3977DC4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64A66A3" w14:textId="77777777" w:rsidR="000A2A2B" w:rsidRPr="007C3060" w:rsidRDefault="000A2A2B" w:rsidP="007C3060">
            <w:r w:rsidRPr="007C3060">
              <w:t>Utlendingsnemnda:</w:t>
            </w:r>
          </w:p>
        </w:tc>
        <w:tc>
          <w:tcPr>
            <w:tcW w:w="1717" w:type="dxa"/>
            <w:tcBorders>
              <w:top w:val="nil"/>
              <w:left w:val="nil"/>
              <w:bottom w:val="nil"/>
              <w:right w:val="nil"/>
            </w:tcBorders>
            <w:tcMar>
              <w:top w:w="128" w:type="dxa"/>
              <w:left w:w="43" w:type="dxa"/>
              <w:bottom w:w="43" w:type="dxa"/>
              <w:right w:w="43" w:type="dxa"/>
            </w:tcMar>
            <w:vAlign w:val="bottom"/>
          </w:tcPr>
          <w:p w14:paraId="2F5042B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51B8B72" w14:textId="77777777" w:rsidR="000A2A2B" w:rsidRPr="007C3060" w:rsidRDefault="000A2A2B" w:rsidP="007C3060"/>
        </w:tc>
      </w:tr>
      <w:tr w:rsidR="004B729E" w:rsidRPr="007C3060" w14:paraId="70EAFD2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FB3133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3F443CD"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3CD9D2C2" w14:textId="77777777" w:rsidR="000A2A2B" w:rsidRPr="007C3060" w:rsidRDefault="000A2A2B" w:rsidP="007C3060">
            <w:r w:rsidRPr="007C3060">
              <w:t xml:space="preserve">Driftsutgifter, </w:t>
            </w:r>
            <w:r w:rsidRPr="007C3060">
              <w:rPr>
                <w:rStyle w:val="kursiv"/>
              </w:rPr>
              <w:t>kan nyttes under post 21,</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0B773AA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8124B98" w14:textId="77777777" w:rsidR="000A2A2B" w:rsidRPr="007C3060" w:rsidRDefault="000A2A2B" w:rsidP="007C3060">
            <w:r w:rsidRPr="007C3060">
              <w:t>2 000 000</w:t>
            </w:r>
          </w:p>
        </w:tc>
      </w:tr>
      <w:tr w:rsidR="004B729E" w:rsidRPr="007C3060" w14:paraId="6BCBD63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1FDBF0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E95E92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81F2C54" w14:textId="77777777" w:rsidR="000A2A2B" w:rsidRPr="007C3060" w:rsidRDefault="000A2A2B" w:rsidP="007C3060">
            <w:r w:rsidRPr="007C3060">
              <w:t>fra kr 287 043 000 til kr 289 043 000</w:t>
            </w:r>
          </w:p>
        </w:tc>
        <w:tc>
          <w:tcPr>
            <w:tcW w:w="1717" w:type="dxa"/>
            <w:tcBorders>
              <w:top w:val="nil"/>
              <w:left w:val="nil"/>
              <w:bottom w:val="nil"/>
              <w:right w:val="nil"/>
            </w:tcBorders>
            <w:tcMar>
              <w:top w:w="128" w:type="dxa"/>
              <w:left w:w="43" w:type="dxa"/>
              <w:bottom w:w="43" w:type="dxa"/>
              <w:right w:w="43" w:type="dxa"/>
            </w:tcMar>
            <w:vAlign w:val="bottom"/>
          </w:tcPr>
          <w:p w14:paraId="3EF4804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4EA4E54" w14:textId="77777777" w:rsidR="000A2A2B" w:rsidRPr="007C3060" w:rsidRDefault="000A2A2B" w:rsidP="007C3060"/>
        </w:tc>
      </w:tr>
      <w:tr w:rsidR="004B729E" w:rsidRPr="007C3060" w14:paraId="515462C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5E6C751" w14:textId="77777777" w:rsidR="000A2A2B" w:rsidRPr="007C3060" w:rsidRDefault="000A2A2B" w:rsidP="007C3060">
            <w:r w:rsidRPr="007C3060">
              <w:t>553</w:t>
            </w:r>
          </w:p>
        </w:tc>
        <w:tc>
          <w:tcPr>
            <w:tcW w:w="992" w:type="dxa"/>
            <w:tcBorders>
              <w:top w:val="nil"/>
              <w:left w:val="nil"/>
              <w:bottom w:val="nil"/>
              <w:right w:val="nil"/>
            </w:tcBorders>
            <w:tcMar>
              <w:top w:w="128" w:type="dxa"/>
              <w:left w:w="43" w:type="dxa"/>
              <w:bottom w:w="43" w:type="dxa"/>
              <w:right w:w="123" w:type="dxa"/>
            </w:tcMar>
          </w:tcPr>
          <w:p w14:paraId="01792A4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0585E1C" w14:textId="77777777" w:rsidR="000A2A2B" w:rsidRPr="007C3060" w:rsidRDefault="000A2A2B" w:rsidP="007C3060">
            <w:r w:rsidRPr="007C3060">
              <w:t>Regional- og distriktsutvikling:</w:t>
            </w:r>
          </w:p>
        </w:tc>
        <w:tc>
          <w:tcPr>
            <w:tcW w:w="1717" w:type="dxa"/>
            <w:tcBorders>
              <w:top w:val="nil"/>
              <w:left w:val="nil"/>
              <w:bottom w:val="nil"/>
              <w:right w:val="nil"/>
            </w:tcBorders>
            <w:tcMar>
              <w:top w:w="128" w:type="dxa"/>
              <w:left w:w="43" w:type="dxa"/>
              <w:bottom w:w="43" w:type="dxa"/>
              <w:right w:w="43" w:type="dxa"/>
            </w:tcMar>
            <w:vAlign w:val="bottom"/>
          </w:tcPr>
          <w:p w14:paraId="791F09F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6CF7F53" w14:textId="77777777" w:rsidR="000A2A2B" w:rsidRPr="007C3060" w:rsidRDefault="000A2A2B" w:rsidP="007C3060"/>
        </w:tc>
      </w:tr>
      <w:tr w:rsidR="004B729E" w:rsidRPr="007C3060" w14:paraId="5A8FF80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D5F2F8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7AF652D" w14:textId="77777777" w:rsidR="000A2A2B" w:rsidRPr="007C3060" w:rsidRDefault="000A2A2B" w:rsidP="007C3060">
            <w:r w:rsidRPr="007C3060">
              <w:t>61</w:t>
            </w:r>
          </w:p>
        </w:tc>
        <w:tc>
          <w:tcPr>
            <w:tcW w:w="4819" w:type="dxa"/>
            <w:tcBorders>
              <w:top w:val="nil"/>
              <w:left w:val="nil"/>
              <w:bottom w:val="nil"/>
              <w:right w:val="nil"/>
            </w:tcBorders>
            <w:tcMar>
              <w:top w:w="128" w:type="dxa"/>
              <w:left w:w="43" w:type="dxa"/>
              <w:bottom w:w="43" w:type="dxa"/>
              <w:right w:w="43" w:type="dxa"/>
            </w:tcMar>
            <w:vAlign w:val="bottom"/>
          </w:tcPr>
          <w:p w14:paraId="5EC930FC" w14:textId="5312CD9B" w:rsidR="000A2A2B" w:rsidRPr="007C3060" w:rsidRDefault="000A2A2B" w:rsidP="007C3060">
            <w:r w:rsidRPr="007C3060">
              <w:t>Mobiliserende og kvalifiserende næringsutvikling, forhøyes med</w:t>
            </w:r>
          </w:p>
        </w:tc>
        <w:tc>
          <w:tcPr>
            <w:tcW w:w="1717" w:type="dxa"/>
            <w:tcBorders>
              <w:top w:val="nil"/>
              <w:left w:val="nil"/>
              <w:bottom w:val="nil"/>
              <w:right w:val="nil"/>
            </w:tcBorders>
            <w:tcMar>
              <w:top w:w="128" w:type="dxa"/>
              <w:left w:w="43" w:type="dxa"/>
              <w:bottom w:w="43" w:type="dxa"/>
              <w:right w:w="43" w:type="dxa"/>
            </w:tcMar>
            <w:vAlign w:val="bottom"/>
          </w:tcPr>
          <w:p w14:paraId="676911E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4DFD8E1" w14:textId="77777777" w:rsidR="000A2A2B" w:rsidRPr="007C3060" w:rsidRDefault="000A2A2B" w:rsidP="007C3060">
            <w:r w:rsidRPr="007C3060">
              <w:t>10 000 000</w:t>
            </w:r>
          </w:p>
        </w:tc>
      </w:tr>
      <w:tr w:rsidR="004B729E" w:rsidRPr="007C3060" w14:paraId="749B736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02BA2B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50D8BA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3B3BC0A" w14:textId="77777777" w:rsidR="000A2A2B" w:rsidRPr="007C3060" w:rsidRDefault="000A2A2B" w:rsidP="007C3060">
            <w:r w:rsidRPr="007C3060">
              <w:t>fra kr 816 197 000 til kr 826 197 000</w:t>
            </w:r>
          </w:p>
        </w:tc>
        <w:tc>
          <w:tcPr>
            <w:tcW w:w="1717" w:type="dxa"/>
            <w:tcBorders>
              <w:top w:val="nil"/>
              <w:left w:val="nil"/>
              <w:bottom w:val="nil"/>
              <w:right w:val="nil"/>
            </w:tcBorders>
            <w:tcMar>
              <w:top w:w="128" w:type="dxa"/>
              <w:left w:w="43" w:type="dxa"/>
              <w:bottom w:w="43" w:type="dxa"/>
              <w:right w:w="43" w:type="dxa"/>
            </w:tcMar>
            <w:vAlign w:val="bottom"/>
          </w:tcPr>
          <w:p w14:paraId="5141D02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4DC5AFC" w14:textId="77777777" w:rsidR="000A2A2B" w:rsidRPr="007C3060" w:rsidRDefault="000A2A2B" w:rsidP="007C3060"/>
        </w:tc>
      </w:tr>
      <w:tr w:rsidR="004B729E" w:rsidRPr="007C3060" w14:paraId="2A8B1A9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AA7FC6F" w14:textId="77777777" w:rsidR="000A2A2B" w:rsidRPr="007C3060" w:rsidRDefault="000A2A2B" w:rsidP="007C3060">
            <w:r w:rsidRPr="007C3060">
              <w:t>571</w:t>
            </w:r>
          </w:p>
        </w:tc>
        <w:tc>
          <w:tcPr>
            <w:tcW w:w="992" w:type="dxa"/>
            <w:tcBorders>
              <w:top w:val="nil"/>
              <w:left w:val="nil"/>
              <w:bottom w:val="nil"/>
              <w:right w:val="nil"/>
            </w:tcBorders>
            <w:tcMar>
              <w:top w:w="128" w:type="dxa"/>
              <w:left w:w="43" w:type="dxa"/>
              <w:bottom w:w="43" w:type="dxa"/>
              <w:right w:w="123" w:type="dxa"/>
            </w:tcMar>
          </w:tcPr>
          <w:p w14:paraId="698BEE1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839B1F0" w14:textId="77777777" w:rsidR="000A2A2B" w:rsidRPr="007C3060" w:rsidRDefault="000A2A2B" w:rsidP="007C3060">
            <w:r w:rsidRPr="007C3060">
              <w:t>Rammetilskudd til kommuner:</w:t>
            </w:r>
          </w:p>
        </w:tc>
        <w:tc>
          <w:tcPr>
            <w:tcW w:w="1717" w:type="dxa"/>
            <w:tcBorders>
              <w:top w:val="nil"/>
              <w:left w:val="nil"/>
              <w:bottom w:val="nil"/>
              <w:right w:val="nil"/>
            </w:tcBorders>
            <w:tcMar>
              <w:top w:w="128" w:type="dxa"/>
              <w:left w:w="43" w:type="dxa"/>
              <w:bottom w:w="43" w:type="dxa"/>
              <w:right w:w="43" w:type="dxa"/>
            </w:tcMar>
            <w:vAlign w:val="bottom"/>
          </w:tcPr>
          <w:p w14:paraId="186C05E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32B2DDD" w14:textId="77777777" w:rsidR="000A2A2B" w:rsidRPr="007C3060" w:rsidRDefault="000A2A2B" w:rsidP="007C3060"/>
        </w:tc>
      </w:tr>
      <w:tr w:rsidR="004B729E" w:rsidRPr="007C3060" w14:paraId="1AD7E13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587687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6BED59A" w14:textId="77777777" w:rsidR="000A2A2B" w:rsidRPr="007C3060" w:rsidRDefault="000A2A2B" w:rsidP="007C3060">
            <w:r w:rsidRPr="007C3060">
              <w:t>60</w:t>
            </w:r>
          </w:p>
        </w:tc>
        <w:tc>
          <w:tcPr>
            <w:tcW w:w="4819" w:type="dxa"/>
            <w:tcBorders>
              <w:top w:val="nil"/>
              <w:left w:val="nil"/>
              <w:bottom w:val="nil"/>
              <w:right w:val="nil"/>
            </w:tcBorders>
            <w:tcMar>
              <w:top w:w="128" w:type="dxa"/>
              <w:left w:w="43" w:type="dxa"/>
              <w:bottom w:w="43" w:type="dxa"/>
              <w:right w:w="43" w:type="dxa"/>
            </w:tcMar>
            <w:vAlign w:val="bottom"/>
          </w:tcPr>
          <w:p w14:paraId="021535EA" w14:textId="77777777" w:rsidR="000A2A2B" w:rsidRPr="007C3060" w:rsidRDefault="000A2A2B" w:rsidP="007C3060">
            <w:r w:rsidRPr="007C3060">
              <w:t>Innbyggertilskudd, forhøyes med</w:t>
            </w:r>
          </w:p>
        </w:tc>
        <w:tc>
          <w:tcPr>
            <w:tcW w:w="1717" w:type="dxa"/>
            <w:tcBorders>
              <w:top w:val="nil"/>
              <w:left w:val="nil"/>
              <w:bottom w:val="nil"/>
              <w:right w:val="nil"/>
            </w:tcBorders>
            <w:tcMar>
              <w:top w:w="128" w:type="dxa"/>
              <w:left w:w="43" w:type="dxa"/>
              <w:bottom w:w="43" w:type="dxa"/>
              <w:right w:w="43" w:type="dxa"/>
            </w:tcMar>
            <w:vAlign w:val="bottom"/>
          </w:tcPr>
          <w:p w14:paraId="02C1F1A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55F79FE" w14:textId="77777777" w:rsidR="000A2A2B" w:rsidRPr="007C3060" w:rsidRDefault="000A2A2B" w:rsidP="007C3060">
            <w:r w:rsidRPr="007C3060">
              <w:t>3 850 000 000</w:t>
            </w:r>
          </w:p>
        </w:tc>
      </w:tr>
      <w:tr w:rsidR="004B729E" w:rsidRPr="007C3060" w14:paraId="0740EDD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6E77B9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97CC7F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3110BFB" w14:textId="77777777" w:rsidR="000A2A2B" w:rsidRPr="007C3060" w:rsidRDefault="000A2A2B" w:rsidP="007C3060">
            <w:r w:rsidRPr="007C3060">
              <w:t>fra kr 187 002 264 000 til kr 190 852 264 000</w:t>
            </w:r>
          </w:p>
        </w:tc>
        <w:tc>
          <w:tcPr>
            <w:tcW w:w="1717" w:type="dxa"/>
            <w:tcBorders>
              <w:top w:val="nil"/>
              <w:left w:val="nil"/>
              <w:bottom w:val="nil"/>
              <w:right w:val="nil"/>
            </w:tcBorders>
            <w:tcMar>
              <w:top w:w="128" w:type="dxa"/>
              <w:left w:w="43" w:type="dxa"/>
              <w:bottom w:w="43" w:type="dxa"/>
              <w:right w:w="43" w:type="dxa"/>
            </w:tcMar>
            <w:vAlign w:val="bottom"/>
          </w:tcPr>
          <w:p w14:paraId="6005523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72F93AB" w14:textId="77777777" w:rsidR="000A2A2B" w:rsidRPr="007C3060" w:rsidRDefault="000A2A2B" w:rsidP="007C3060"/>
        </w:tc>
      </w:tr>
      <w:tr w:rsidR="004B729E" w:rsidRPr="007C3060" w14:paraId="31AFFAD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0F178CB" w14:textId="77777777" w:rsidR="000A2A2B" w:rsidRPr="007C3060" w:rsidRDefault="000A2A2B" w:rsidP="007C3060">
            <w:r w:rsidRPr="007C3060">
              <w:t>572</w:t>
            </w:r>
          </w:p>
        </w:tc>
        <w:tc>
          <w:tcPr>
            <w:tcW w:w="992" w:type="dxa"/>
            <w:tcBorders>
              <w:top w:val="nil"/>
              <w:left w:val="nil"/>
              <w:bottom w:val="nil"/>
              <w:right w:val="nil"/>
            </w:tcBorders>
            <w:tcMar>
              <w:top w:w="128" w:type="dxa"/>
              <w:left w:w="43" w:type="dxa"/>
              <w:bottom w:w="43" w:type="dxa"/>
              <w:right w:w="123" w:type="dxa"/>
            </w:tcMar>
          </w:tcPr>
          <w:p w14:paraId="2AB3F13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439B348" w14:textId="77777777" w:rsidR="000A2A2B" w:rsidRPr="007C3060" w:rsidRDefault="000A2A2B" w:rsidP="007C3060">
            <w:r w:rsidRPr="007C3060">
              <w:t>Rammetilskudd til fylkeskommuner:</w:t>
            </w:r>
          </w:p>
        </w:tc>
        <w:tc>
          <w:tcPr>
            <w:tcW w:w="1717" w:type="dxa"/>
            <w:tcBorders>
              <w:top w:val="nil"/>
              <w:left w:val="nil"/>
              <w:bottom w:val="nil"/>
              <w:right w:val="nil"/>
            </w:tcBorders>
            <w:tcMar>
              <w:top w:w="128" w:type="dxa"/>
              <w:left w:w="43" w:type="dxa"/>
              <w:bottom w:w="43" w:type="dxa"/>
              <w:right w:w="43" w:type="dxa"/>
            </w:tcMar>
            <w:vAlign w:val="bottom"/>
          </w:tcPr>
          <w:p w14:paraId="449FA50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B89D4A8" w14:textId="77777777" w:rsidR="000A2A2B" w:rsidRPr="007C3060" w:rsidRDefault="000A2A2B" w:rsidP="007C3060"/>
        </w:tc>
      </w:tr>
      <w:tr w:rsidR="004B729E" w:rsidRPr="007C3060" w14:paraId="055E86D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736BA5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998345D" w14:textId="77777777" w:rsidR="000A2A2B" w:rsidRPr="007C3060" w:rsidRDefault="000A2A2B" w:rsidP="007C3060">
            <w:r w:rsidRPr="007C3060">
              <w:t>60</w:t>
            </w:r>
          </w:p>
        </w:tc>
        <w:tc>
          <w:tcPr>
            <w:tcW w:w="4819" w:type="dxa"/>
            <w:tcBorders>
              <w:top w:val="nil"/>
              <w:left w:val="nil"/>
              <w:bottom w:val="nil"/>
              <w:right w:val="nil"/>
            </w:tcBorders>
            <w:tcMar>
              <w:top w:w="128" w:type="dxa"/>
              <w:left w:w="43" w:type="dxa"/>
              <w:bottom w:w="43" w:type="dxa"/>
              <w:right w:w="43" w:type="dxa"/>
            </w:tcMar>
            <w:vAlign w:val="bottom"/>
          </w:tcPr>
          <w:p w14:paraId="7F1D9E8F" w14:textId="77777777" w:rsidR="000A2A2B" w:rsidRPr="007C3060" w:rsidRDefault="000A2A2B" w:rsidP="007C3060">
            <w:r w:rsidRPr="007C3060">
              <w:t>Innbyggertilskudd, forhøyes med</w:t>
            </w:r>
          </w:p>
        </w:tc>
        <w:tc>
          <w:tcPr>
            <w:tcW w:w="1717" w:type="dxa"/>
            <w:tcBorders>
              <w:top w:val="nil"/>
              <w:left w:val="nil"/>
              <w:bottom w:val="nil"/>
              <w:right w:val="nil"/>
            </w:tcBorders>
            <w:tcMar>
              <w:top w:w="128" w:type="dxa"/>
              <w:left w:w="43" w:type="dxa"/>
              <w:bottom w:w="43" w:type="dxa"/>
              <w:right w:w="43" w:type="dxa"/>
            </w:tcMar>
            <w:vAlign w:val="bottom"/>
          </w:tcPr>
          <w:p w14:paraId="2E58DEC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267DB8D" w14:textId="77777777" w:rsidR="000A2A2B" w:rsidRPr="007C3060" w:rsidRDefault="000A2A2B" w:rsidP="007C3060">
            <w:r w:rsidRPr="007C3060">
              <w:t>447 000 000</w:t>
            </w:r>
          </w:p>
        </w:tc>
      </w:tr>
      <w:tr w:rsidR="004B729E" w:rsidRPr="007C3060" w14:paraId="500F3D2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667BF0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518FA2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A40F532" w14:textId="77777777" w:rsidR="000A2A2B" w:rsidRPr="007C3060" w:rsidRDefault="000A2A2B" w:rsidP="007C3060">
            <w:r w:rsidRPr="007C3060">
              <w:t>fra kr 52 345 676 000 til kr 52 792 676 000</w:t>
            </w:r>
          </w:p>
        </w:tc>
        <w:tc>
          <w:tcPr>
            <w:tcW w:w="1717" w:type="dxa"/>
            <w:tcBorders>
              <w:top w:val="nil"/>
              <w:left w:val="nil"/>
              <w:bottom w:val="nil"/>
              <w:right w:val="nil"/>
            </w:tcBorders>
            <w:tcMar>
              <w:top w:w="128" w:type="dxa"/>
              <w:left w:w="43" w:type="dxa"/>
              <w:bottom w:w="43" w:type="dxa"/>
              <w:right w:w="43" w:type="dxa"/>
            </w:tcMar>
            <w:vAlign w:val="bottom"/>
          </w:tcPr>
          <w:p w14:paraId="390B48E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0F848D8" w14:textId="77777777" w:rsidR="000A2A2B" w:rsidRPr="007C3060" w:rsidRDefault="000A2A2B" w:rsidP="007C3060"/>
        </w:tc>
      </w:tr>
      <w:tr w:rsidR="004B729E" w:rsidRPr="007C3060" w14:paraId="6350E8F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3AA6506" w14:textId="77777777" w:rsidR="000A2A2B" w:rsidRPr="007C3060" w:rsidRDefault="000A2A2B" w:rsidP="007C3060">
            <w:r w:rsidRPr="007C3060">
              <w:t>587</w:t>
            </w:r>
          </w:p>
        </w:tc>
        <w:tc>
          <w:tcPr>
            <w:tcW w:w="992" w:type="dxa"/>
            <w:tcBorders>
              <w:top w:val="nil"/>
              <w:left w:val="nil"/>
              <w:bottom w:val="nil"/>
              <w:right w:val="nil"/>
            </w:tcBorders>
            <w:tcMar>
              <w:top w:w="128" w:type="dxa"/>
              <w:left w:w="43" w:type="dxa"/>
              <w:bottom w:w="43" w:type="dxa"/>
              <w:right w:w="123" w:type="dxa"/>
            </w:tcMar>
          </w:tcPr>
          <w:p w14:paraId="6AF28AA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5BDB255" w14:textId="77777777" w:rsidR="000A2A2B" w:rsidRPr="007C3060" w:rsidRDefault="000A2A2B" w:rsidP="007C3060">
            <w:r w:rsidRPr="007C3060">
              <w:t xml:space="preserve">Direktoratet for </w:t>
            </w:r>
            <w:proofErr w:type="spellStart"/>
            <w:r w:rsidRPr="007C3060">
              <w:t>byggkvalitet</w:t>
            </w:r>
            <w:proofErr w:type="spellEnd"/>
            <w:r w:rsidRPr="007C3060">
              <w:t>:</w:t>
            </w:r>
          </w:p>
        </w:tc>
        <w:tc>
          <w:tcPr>
            <w:tcW w:w="1717" w:type="dxa"/>
            <w:tcBorders>
              <w:top w:val="nil"/>
              <w:left w:val="nil"/>
              <w:bottom w:val="nil"/>
              <w:right w:val="nil"/>
            </w:tcBorders>
            <w:tcMar>
              <w:top w:w="128" w:type="dxa"/>
              <w:left w:w="43" w:type="dxa"/>
              <w:bottom w:w="43" w:type="dxa"/>
              <w:right w:w="43" w:type="dxa"/>
            </w:tcMar>
            <w:vAlign w:val="bottom"/>
          </w:tcPr>
          <w:p w14:paraId="096F515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E90C7E2" w14:textId="77777777" w:rsidR="000A2A2B" w:rsidRPr="007C3060" w:rsidRDefault="000A2A2B" w:rsidP="007C3060"/>
        </w:tc>
      </w:tr>
      <w:tr w:rsidR="004B729E" w:rsidRPr="007C3060" w14:paraId="6F34AC2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205361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CF9410A"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5140DBF2"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4042BF6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BB5F995" w14:textId="77777777" w:rsidR="000A2A2B" w:rsidRPr="007C3060" w:rsidRDefault="000A2A2B" w:rsidP="007C3060">
            <w:r w:rsidRPr="007C3060">
              <w:t>5 000 000</w:t>
            </w:r>
          </w:p>
        </w:tc>
      </w:tr>
      <w:tr w:rsidR="004B729E" w:rsidRPr="007C3060" w14:paraId="40D19CD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2BE65D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D567A3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99B9342" w14:textId="77777777" w:rsidR="000A2A2B" w:rsidRPr="007C3060" w:rsidRDefault="000A2A2B" w:rsidP="007C3060">
            <w:r w:rsidRPr="007C3060">
              <w:t>fra kr 143 434 000 til kr 148 434 000</w:t>
            </w:r>
          </w:p>
        </w:tc>
        <w:tc>
          <w:tcPr>
            <w:tcW w:w="1717" w:type="dxa"/>
            <w:tcBorders>
              <w:top w:val="nil"/>
              <w:left w:val="nil"/>
              <w:bottom w:val="nil"/>
              <w:right w:val="nil"/>
            </w:tcBorders>
            <w:tcMar>
              <w:top w:w="128" w:type="dxa"/>
              <w:left w:w="43" w:type="dxa"/>
              <w:bottom w:w="43" w:type="dxa"/>
              <w:right w:w="43" w:type="dxa"/>
            </w:tcMar>
            <w:vAlign w:val="bottom"/>
          </w:tcPr>
          <w:p w14:paraId="506D077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1C36A4C" w14:textId="77777777" w:rsidR="000A2A2B" w:rsidRPr="007C3060" w:rsidRDefault="000A2A2B" w:rsidP="007C3060"/>
        </w:tc>
      </w:tr>
      <w:tr w:rsidR="004B729E" w:rsidRPr="007C3060" w14:paraId="5A0AA966"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47A6C3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795C2AF"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375A8B77" w14:textId="13669492" w:rsidR="000A2A2B" w:rsidRPr="007C3060" w:rsidRDefault="000A2A2B" w:rsidP="007C3060">
            <w:r w:rsidRPr="007C3060">
              <w:t xml:space="preserve">Kunnskapsutvikling og informasjonsformidling, </w:t>
            </w:r>
            <w:r w:rsidRPr="007C3060">
              <w:rPr>
                <w:rStyle w:val="kursiv"/>
              </w:rPr>
              <w:t>kan overføres</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27A5308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74415F2" w14:textId="77777777" w:rsidR="000A2A2B" w:rsidRPr="007C3060" w:rsidRDefault="000A2A2B" w:rsidP="007C3060">
            <w:r w:rsidRPr="007C3060">
              <w:t>5 000 000</w:t>
            </w:r>
          </w:p>
        </w:tc>
      </w:tr>
      <w:tr w:rsidR="004B729E" w:rsidRPr="007C3060" w14:paraId="12078D1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61188A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9B3EC9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6877396" w14:textId="77777777" w:rsidR="000A2A2B" w:rsidRPr="007C3060" w:rsidRDefault="000A2A2B" w:rsidP="007C3060">
            <w:r w:rsidRPr="007C3060">
              <w:t>fra kr 41 370 000 til kr 46 370 000</w:t>
            </w:r>
          </w:p>
        </w:tc>
        <w:tc>
          <w:tcPr>
            <w:tcW w:w="1717" w:type="dxa"/>
            <w:tcBorders>
              <w:top w:val="nil"/>
              <w:left w:val="nil"/>
              <w:bottom w:val="nil"/>
              <w:right w:val="nil"/>
            </w:tcBorders>
            <w:tcMar>
              <w:top w:w="128" w:type="dxa"/>
              <w:left w:w="43" w:type="dxa"/>
              <w:bottom w:w="43" w:type="dxa"/>
              <w:right w:w="43" w:type="dxa"/>
            </w:tcMar>
            <w:vAlign w:val="bottom"/>
          </w:tcPr>
          <w:p w14:paraId="6569ED1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BB9CD59" w14:textId="77777777" w:rsidR="000A2A2B" w:rsidRPr="007C3060" w:rsidRDefault="000A2A2B" w:rsidP="007C3060"/>
        </w:tc>
      </w:tr>
      <w:tr w:rsidR="004B729E" w:rsidRPr="007C3060" w14:paraId="507CD39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6BBDF27" w14:textId="77777777" w:rsidR="000A2A2B" w:rsidRPr="007C3060" w:rsidRDefault="000A2A2B" w:rsidP="007C3060">
            <w:r w:rsidRPr="007C3060">
              <w:t>595</w:t>
            </w:r>
          </w:p>
        </w:tc>
        <w:tc>
          <w:tcPr>
            <w:tcW w:w="992" w:type="dxa"/>
            <w:tcBorders>
              <w:top w:val="nil"/>
              <w:left w:val="nil"/>
              <w:bottom w:val="nil"/>
              <w:right w:val="nil"/>
            </w:tcBorders>
            <w:tcMar>
              <w:top w:w="128" w:type="dxa"/>
              <w:left w:w="43" w:type="dxa"/>
              <w:bottom w:w="43" w:type="dxa"/>
              <w:right w:w="123" w:type="dxa"/>
            </w:tcMar>
          </w:tcPr>
          <w:p w14:paraId="306CBF6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6F86D6C" w14:textId="77777777" w:rsidR="000A2A2B" w:rsidRPr="007C3060" w:rsidRDefault="000A2A2B" w:rsidP="007C3060">
            <w:r w:rsidRPr="007C3060">
              <w:t>Statens kartverk:</w:t>
            </w:r>
          </w:p>
        </w:tc>
        <w:tc>
          <w:tcPr>
            <w:tcW w:w="1717" w:type="dxa"/>
            <w:tcBorders>
              <w:top w:val="nil"/>
              <w:left w:val="nil"/>
              <w:bottom w:val="nil"/>
              <w:right w:val="nil"/>
            </w:tcBorders>
            <w:tcMar>
              <w:top w:w="128" w:type="dxa"/>
              <w:left w:w="43" w:type="dxa"/>
              <w:bottom w:w="43" w:type="dxa"/>
              <w:right w:w="43" w:type="dxa"/>
            </w:tcMar>
            <w:vAlign w:val="bottom"/>
          </w:tcPr>
          <w:p w14:paraId="138AA44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8CBE0D3" w14:textId="77777777" w:rsidR="000A2A2B" w:rsidRPr="007C3060" w:rsidRDefault="000A2A2B" w:rsidP="007C3060"/>
        </w:tc>
      </w:tr>
      <w:tr w:rsidR="004B729E" w:rsidRPr="007C3060" w14:paraId="1921824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FCF53D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FD0AAE9"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733988E1" w14:textId="77777777" w:rsidR="000A2A2B" w:rsidRPr="007C3060" w:rsidRDefault="000A2A2B" w:rsidP="007C3060">
            <w:r w:rsidRPr="007C3060">
              <w:t xml:space="preserve">Driftsutgifter, </w:t>
            </w:r>
            <w:r w:rsidRPr="007C3060">
              <w:rPr>
                <w:rStyle w:val="kursiv"/>
              </w:rPr>
              <w:t>kan nyttes under post 21 og 45,</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0145109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199ECE2" w14:textId="77777777" w:rsidR="000A2A2B" w:rsidRPr="007C3060" w:rsidRDefault="000A2A2B" w:rsidP="007C3060">
            <w:r w:rsidRPr="007C3060">
              <w:t>13 198 000</w:t>
            </w:r>
          </w:p>
        </w:tc>
      </w:tr>
      <w:tr w:rsidR="004B729E" w:rsidRPr="007C3060" w14:paraId="301984F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58EC8F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1C14F6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010E74F" w14:textId="77777777" w:rsidR="000A2A2B" w:rsidRPr="007C3060" w:rsidRDefault="000A2A2B" w:rsidP="007C3060">
            <w:r w:rsidRPr="007C3060">
              <w:t>fra kr 1 051 683 000 til kr 1 064 881 000</w:t>
            </w:r>
          </w:p>
        </w:tc>
        <w:tc>
          <w:tcPr>
            <w:tcW w:w="1717" w:type="dxa"/>
            <w:tcBorders>
              <w:top w:val="nil"/>
              <w:left w:val="nil"/>
              <w:bottom w:val="nil"/>
              <w:right w:val="nil"/>
            </w:tcBorders>
            <w:tcMar>
              <w:top w:w="128" w:type="dxa"/>
              <w:left w:w="43" w:type="dxa"/>
              <w:bottom w:w="43" w:type="dxa"/>
              <w:right w:w="43" w:type="dxa"/>
            </w:tcMar>
            <w:vAlign w:val="bottom"/>
          </w:tcPr>
          <w:p w14:paraId="13868BF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BB3E9B5" w14:textId="77777777" w:rsidR="000A2A2B" w:rsidRPr="007C3060" w:rsidRDefault="000A2A2B" w:rsidP="007C3060"/>
        </w:tc>
      </w:tr>
      <w:tr w:rsidR="004B729E" w:rsidRPr="007C3060" w14:paraId="22FB240C"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E0EEB1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D5ED39B"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39E8EF39" w14:textId="615E4FAC" w:rsidR="000A2A2B" w:rsidRPr="007C3060" w:rsidRDefault="000A2A2B" w:rsidP="007C3060">
            <w:r w:rsidRPr="007C3060">
              <w:t xml:space="preserve">Spesielle driftsutgifter, </w:t>
            </w:r>
            <w:r w:rsidRPr="007C3060">
              <w:rPr>
                <w:rStyle w:val="kursiv"/>
              </w:rPr>
              <w:t>kan overføres, kan nyttes under post 1 og 45,</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382E38B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43C576" w14:textId="77777777" w:rsidR="000A2A2B" w:rsidRPr="007C3060" w:rsidRDefault="000A2A2B" w:rsidP="007C3060">
            <w:r w:rsidRPr="007C3060">
              <w:t>8 089 000</w:t>
            </w:r>
          </w:p>
        </w:tc>
      </w:tr>
      <w:tr w:rsidR="004B729E" w:rsidRPr="007C3060" w14:paraId="0B74303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7A2B49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7F671E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47C601E" w14:textId="77777777" w:rsidR="000A2A2B" w:rsidRPr="007C3060" w:rsidRDefault="000A2A2B" w:rsidP="007C3060">
            <w:r w:rsidRPr="007C3060">
              <w:t>fra kr 396 218 000 til kr 404 307 000</w:t>
            </w:r>
          </w:p>
        </w:tc>
        <w:tc>
          <w:tcPr>
            <w:tcW w:w="1717" w:type="dxa"/>
            <w:tcBorders>
              <w:top w:val="nil"/>
              <w:left w:val="nil"/>
              <w:bottom w:val="nil"/>
              <w:right w:val="nil"/>
            </w:tcBorders>
            <w:tcMar>
              <w:top w:w="128" w:type="dxa"/>
              <w:left w:w="43" w:type="dxa"/>
              <w:bottom w:w="43" w:type="dxa"/>
              <w:right w:w="43" w:type="dxa"/>
            </w:tcMar>
            <w:vAlign w:val="bottom"/>
          </w:tcPr>
          <w:p w14:paraId="5280376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BD9BEAA" w14:textId="77777777" w:rsidR="000A2A2B" w:rsidRPr="007C3060" w:rsidRDefault="000A2A2B" w:rsidP="007C3060"/>
        </w:tc>
      </w:tr>
      <w:tr w:rsidR="004B729E" w:rsidRPr="007C3060" w14:paraId="66BAC2E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36B5BA5" w14:textId="77777777" w:rsidR="000A2A2B" w:rsidRPr="007C3060" w:rsidRDefault="000A2A2B" w:rsidP="007C3060">
            <w:r w:rsidRPr="007C3060">
              <w:t>600</w:t>
            </w:r>
          </w:p>
        </w:tc>
        <w:tc>
          <w:tcPr>
            <w:tcW w:w="992" w:type="dxa"/>
            <w:tcBorders>
              <w:top w:val="nil"/>
              <w:left w:val="nil"/>
              <w:bottom w:val="nil"/>
              <w:right w:val="nil"/>
            </w:tcBorders>
            <w:tcMar>
              <w:top w:w="128" w:type="dxa"/>
              <w:left w:w="43" w:type="dxa"/>
              <w:bottom w:w="43" w:type="dxa"/>
              <w:right w:w="123" w:type="dxa"/>
            </w:tcMar>
          </w:tcPr>
          <w:p w14:paraId="48A7875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E0093A9" w14:textId="77777777" w:rsidR="000A2A2B" w:rsidRPr="007C3060" w:rsidRDefault="000A2A2B" w:rsidP="007C3060">
            <w:r w:rsidRPr="007C3060">
              <w:t>Arbeids- og inkluderingsdepartementet:</w:t>
            </w:r>
          </w:p>
        </w:tc>
        <w:tc>
          <w:tcPr>
            <w:tcW w:w="1717" w:type="dxa"/>
            <w:tcBorders>
              <w:top w:val="nil"/>
              <w:left w:val="nil"/>
              <w:bottom w:val="nil"/>
              <w:right w:val="nil"/>
            </w:tcBorders>
            <w:tcMar>
              <w:top w:w="128" w:type="dxa"/>
              <w:left w:w="43" w:type="dxa"/>
              <w:bottom w:w="43" w:type="dxa"/>
              <w:right w:w="43" w:type="dxa"/>
            </w:tcMar>
            <w:vAlign w:val="bottom"/>
          </w:tcPr>
          <w:p w14:paraId="572D9FE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C5CFF4C" w14:textId="77777777" w:rsidR="000A2A2B" w:rsidRPr="007C3060" w:rsidRDefault="000A2A2B" w:rsidP="007C3060"/>
        </w:tc>
      </w:tr>
      <w:tr w:rsidR="004B729E" w:rsidRPr="007C3060" w14:paraId="38CC7A6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5D4E06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2B1B53E"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268305F5"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0B885A5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8FEFA14" w14:textId="77777777" w:rsidR="000A2A2B" w:rsidRPr="007C3060" w:rsidRDefault="000A2A2B" w:rsidP="007C3060">
            <w:r w:rsidRPr="007C3060">
              <w:t>2 000 000</w:t>
            </w:r>
          </w:p>
        </w:tc>
      </w:tr>
      <w:tr w:rsidR="004B729E" w:rsidRPr="007C3060" w14:paraId="692CC97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780908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A35F72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3570754" w14:textId="77777777" w:rsidR="000A2A2B" w:rsidRPr="007C3060" w:rsidRDefault="000A2A2B" w:rsidP="007C3060">
            <w:r w:rsidRPr="007C3060">
              <w:t>fra kr 300 898 000 til kr 302 898 000</w:t>
            </w:r>
          </w:p>
        </w:tc>
        <w:tc>
          <w:tcPr>
            <w:tcW w:w="1717" w:type="dxa"/>
            <w:tcBorders>
              <w:top w:val="nil"/>
              <w:left w:val="nil"/>
              <w:bottom w:val="nil"/>
              <w:right w:val="nil"/>
            </w:tcBorders>
            <w:tcMar>
              <w:top w:w="128" w:type="dxa"/>
              <w:left w:w="43" w:type="dxa"/>
              <w:bottom w:w="43" w:type="dxa"/>
              <w:right w:w="43" w:type="dxa"/>
            </w:tcMar>
            <w:vAlign w:val="bottom"/>
          </w:tcPr>
          <w:p w14:paraId="7CC106E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4324FD1" w14:textId="77777777" w:rsidR="000A2A2B" w:rsidRPr="007C3060" w:rsidRDefault="000A2A2B" w:rsidP="007C3060"/>
        </w:tc>
      </w:tr>
      <w:tr w:rsidR="004B729E" w:rsidRPr="007C3060" w14:paraId="4A4F2DB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63A7B9A" w14:textId="77777777" w:rsidR="000A2A2B" w:rsidRPr="007C3060" w:rsidRDefault="000A2A2B" w:rsidP="007C3060">
            <w:r w:rsidRPr="007C3060">
              <w:t>601</w:t>
            </w:r>
          </w:p>
        </w:tc>
        <w:tc>
          <w:tcPr>
            <w:tcW w:w="992" w:type="dxa"/>
            <w:tcBorders>
              <w:top w:val="nil"/>
              <w:left w:val="nil"/>
              <w:bottom w:val="nil"/>
              <w:right w:val="nil"/>
            </w:tcBorders>
            <w:tcMar>
              <w:top w:w="128" w:type="dxa"/>
              <w:left w:w="43" w:type="dxa"/>
              <w:bottom w:w="43" w:type="dxa"/>
              <w:right w:w="123" w:type="dxa"/>
            </w:tcMar>
          </w:tcPr>
          <w:p w14:paraId="3CA4AFD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4F9BBEC" w14:textId="77777777" w:rsidR="000A2A2B" w:rsidRPr="007C3060" w:rsidRDefault="000A2A2B" w:rsidP="007C3060">
            <w:r w:rsidRPr="007C3060">
              <w:t>Utredningsvirksomhet, forskning mv.:</w:t>
            </w:r>
          </w:p>
        </w:tc>
        <w:tc>
          <w:tcPr>
            <w:tcW w:w="1717" w:type="dxa"/>
            <w:tcBorders>
              <w:top w:val="nil"/>
              <w:left w:val="nil"/>
              <w:bottom w:val="nil"/>
              <w:right w:val="nil"/>
            </w:tcBorders>
            <w:tcMar>
              <w:top w:w="128" w:type="dxa"/>
              <w:left w:w="43" w:type="dxa"/>
              <w:bottom w:w="43" w:type="dxa"/>
              <w:right w:w="43" w:type="dxa"/>
            </w:tcMar>
            <w:vAlign w:val="bottom"/>
          </w:tcPr>
          <w:p w14:paraId="4BAAFBC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98A50EB" w14:textId="77777777" w:rsidR="000A2A2B" w:rsidRPr="007C3060" w:rsidRDefault="000A2A2B" w:rsidP="007C3060"/>
        </w:tc>
      </w:tr>
      <w:tr w:rsidR="004B729E" w:rsidRPr="007C3060" w14:paraId="5CED062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A99F0D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EB951C1"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0682374D" w14:textId="77777777" w:rsidR="000A2A2B" w:rsidRPr="007C3060" w:rsidRDefault="000A2A2B" w:rsidP="007C3060">
            <w:r w:rsidRPr="007C3060">
              <w:t xml:space="preserve">Spesielle driftsutgifter,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4C9044D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5ACB01C" w14:textId="77777777" w:rsidR="000A2A2B" w:rsidRPr="007C3060" w:rsidRDefault="000A2A2B" w:rsidP="007C3060">
            <w:r w:rsidRPr="007C3060">
              <w:t>1 900 000</w:t>
            </w:r>
          </w:p>
        </w:tc>
      </w:tr>
      <w:tr w:rsidR="004B729E" w:rsidRPr="007C3060" w14:paraId="7380D34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C10DF4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E53797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367CB08" w14:textId="77777777" w:rsidR="000A2A2B" w:rsidRPr="007C3060" w:rsidRDefault="000A2A2B" w:rsidP="007C3060">
            <w:r w:rsidRPr="007C3060">
              <w:t>fra kr 96 045 000 til kr 97 945 000</w:t>
            </w:r>
          </w:p>
        </w:tc>
        <w:tc>
          <w:tcPr>
            <w:tcW w:w="1717" w:type="dxa"/>
            <w:tcBorders>
              <w:top w:val="nil"/>
              <w:left w:val="nil"/>
              <w:bottom w:val="nil"/>
              <w:right w:val="nil"/>
            </w:tcBorders>
            <w:tcMar>
              <w:top w:w="128" w:type="dxa"/>
              <w:left w:w="43" w:type="dxa"/>
              <w:bottom w:w="43" w:type="dxa"/>
              <w:right w:w="43" w:type="dxa"/>
            </w:tcMar>
            <w:vAlign w:val="bottom"/>
          </w:tcPr>
          <w:p w14:paraId="1FE4D50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8CDA006" w14:textId="77777777" w:rsidR="000A2A2B" w:rsidRPr="007C3060" w:rsidRDefault="000A2A2B" w:rsidP="007C3060"/>
        </w:tc>
      </w:tr>
      <w:tr w:rsidR="004B729E" w:rsidRPr="007C3060" w14:paraId="4C413E59"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036477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D60D063"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76274139" w14:textId="7A2360E2" w:rsidR="000A2A2B" w:rsidRPr="007C3060" w:rsidRDefault="000A2A2B" w:rsidP="007C3060">
            <w:r w:rsidRPr="007C3060">
              <w:t xml:space="preserve">Kunnskapsutvikling i IA-avtalen mv.,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5AFE310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4AC979D" w14:textId="77777777" w:rsidR="000A2A2B" w:rsidRPr="007C3060" w:rsidRDefault="000A2A2B" w:rsidP="007C3060">
            <w:r w:rsidRPr="007C3060">
              <w:t>55 445 000</w:t>
            </w:r>
          </w:p>
        </w:tc>
      </w:tr>
      <w:tr w:rsidR="004B729E" w:rsidRPr="007C3060" w14:paraId="1E7D46A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E01ADC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174962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0B0BDD2" w14:textId="77777777" w:rsidR="000A2A2B" w:rsidRPr="007C3060" w:rsidRDefault="000A2A2B" w:rsidP="007C3060">
            <w:r w:rsidRPr="007C3060">
              <w:t>fra kr 29 165 000 til kr 84 610 000</w:t>
            </w:r>
          </w:p>
        </w:tc>
        <w:tc>
          <w:tcPr>
            <w:tcW w:w="1717" w:type="dxa"/>
            <w:tcBorders>
              <w:top w:val="nil"/>
              <w:left w:val="nil"/>
              <w:bottom w:val="nil"/>
              <w:right w:val="nil"/>
            </w:tcBorders>
            <w:tcMar>
              <w:top w:w="128" w:type="dxa"/>
              <w:left w:w="43" w:type="dxa"/>
              <w:bottom w:w="43" w:type="dxa"/>
              <w:right w:w="43" w:type="dxa"/>
            </w:tcMar>
            <w:vAlign w:val="bottom"/>
          </w:tcPr>
          <w:p w14:paraId="676ED37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1B45713" w14:textId="77777777" w:rsidR="000A2A2B" w:rsidRPr="007C3060" w:rsidRDefault="000A2A2B" w:rsidP="007C3060"/>
        </w:tc>
      </w:tr>
      <w:tr w:rsidR="004B729E" w:rsidRPr="007C3060" w14:paraId="143CB12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70B2FF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33C9172"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15A46D0D" w14:textId="77777777" w:rsidR="000A2A2B" w:rsidRPr="007C3060" w:rsidRDefault="000A2A2B" w:rsidP="007C3060">
            <w:r w:rsidRPr="007C3060">
              <w:t>Tilskudd, nedsettes med</w:t>
            </w:r>
          </w:p>
        </w:tc>
        <w:tc>
          <w:tcPr>
            <w:tcW w:w="1717" w:type="dxa"/>
            <w:tcBorders>
              <w:top w:val="nil"/>
              <w:left w:val="nil"/>
              <w:bottom w:val="nil"/>
              <w:right w:val="nil"/>
            </w:tcBorders>
            <w:tcMar>
              <w:top w:w="128" w:type="dxa"/>
              <w:left w:w="43" w:type="dxa"/>
              <w:bottom w:w="43" w:type="dxa"/>
              <w:right w:w="43" w:type="dxa"/>
            </w:tcMar>
            <w:vAlign w:val="bottom"/>
          </w:tcPr>
          <w:p w14:paraId="5FF84CC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3A5A1CA" w14:textId="77777777" w:rsidR="000A2A2B" w:rsidRPr="007C3060" w:rsidRDefault="000A2A2B" w:rsidP="007C3060">
            <w:r w:rsidRPr="007C3060">
              <w:t>4 735 000</w:t>
            </w:r>
          </w:p>
        </w:tc>
      </w:tr>
      <w:tr w:rsidR="004B729E" w:rsidRPr="007C3060" w14:paraId="1DE704E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764044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305B21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C8F394A" w14:textId="77777777" w:rsidR="000A2A2B" w:rsidRPr="007C3060" w:rsidRDefault="000A2A2B" w:rsidP="007C3060">
            <w:r w:rsidRPr="007C3060">
              <w:t>fra kr 65 125 000 til kr 60 390 000</w:t>
            </w:r>
          </w:p>
        </w:tc>
        <w:tc>
          <w:tcPr>
            <w:tcW w:w="1717" w:type="dxa"/>
            <w:tcBorders>
              <w:top w:val="nil"/>
              <w:left w:val="nil"/>
              <w:bottom w:val="nil"/>
              <w:right w:val="nil"/>
            </w:tcBorders>
            <w:tcMar>
              <w:top w:w="128" w:type="dxa"/>
              <w:left w:w="43" w:type="dxa"/>
              <w:bottom w:w="43" w:type="dxa"/>
              <w:right w:w="43" w:type="dxa"/>
            </w:tcMar>
            <w:vAlign w:val="bottom"/>
          </w:tcPr>
          <w:p w14:paraId="3D95802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B635CAC" w14:textId="77777777" w:rsidR="000A2A2B" w:rsidRPr="007C3060" w:rsidRDefault="000A2A2B" w:rsidP="007C3060"/>
        </w:tc>
      </w:tr>
      <w:tr w:rsidR="004B729E" w:rsidRPr="007C3060" w14:paraId="437F5D23"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2B40AA1"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10088DDF"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33374D26" w14:textId="3A48B16B" w:rsidR="000A2A2B" w:rsidRPr="007C3060" w:rsidRDefault="000A2A2B" w:rsidP="007C3060">
            <w:r w:rsidRPr="007C3060">
              <w:t xml:space="preserve">Tilskudd til bærekraftig sykmelding, </w:t>
            </w:r>
            <w:r w:rsidRPr="007C3060">
              <w:rPr>
                <w:rStyle w:val="kursiv"/>
              </w:rPr>
              <w:t>kan overføres,</w:t>
            </w:r>
            <w:r w:rsidRPr="007C3060">
              <w:t xml:space="preserve"> bevilges med</w:t>
            </w:r>
          </w:p>
        </w:tc>
        <w:tc>
          <w:tcPr>
            <w:tcW w:w="1717" w:type="dxa"/>
            <w:tcBorders>
              <w:top w:val="nil"/>
              <w:left w:val="nil"/>
              <w:bottom w:val="nil"/>
              <w:right w:val="nil"/>
            </w:tcBorders>
            <w:tcMar>
              <w:top w:w="128" w:type="dxa"/>
              <w:left w:w="43" w:type="dxa"/>
              <w:bottom w:w="43" w:type="dxa"/>
              <w:right w:w="43" w:type="dxa"/>
            </w:tcMar>
            <w:vAlign w:val="bottom"/>
          </w:tcPr>
          <w:p w14:paraId="6B9779E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D2D721C" w14:textId="77777777" w:rsidR="000A2A2B" w:rsidRPr="007C3060" w:rsidRDefault="000A2A2B" w:rsidP="007C3060">
            <w:r w:rsidRPr="007C3060">
              <w:t>8 700 000</w:t>
            </w:r>
          </w:p>
        </w:tc>
      </w:tr>
      <w:tr w:rsidR="004B729E" w:rsidRPr="007C3060" w14:paraId="67CDCB6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824CDB4" w14:textId="77777777" w:rsidR="000A2A2B" w:rsidRPr="007C3060" w:rsidRDefault="000A2A2B" w:rsidP="007C3060">
            <w:r w:rsidRPr="007C3060">
              <w:t>605</w:t>
            </w:r>
          </w:p>
        </w:tc>
        <w:tc>
          <w:tcPr>
            <w:tcW w:w="992" w:type="dxa"/>
            <w:tcBorders>
              <w:top w:val="nil"/>
              <w:left w:val="nil"/>
              <w:bottom w:val="nil"/>
              <w:right w:val="nil"/>
            </w:tcBorders>
            <w:tcMar>
              <w:top w:w="128" w:type="dxa"/>
              <w:left w:w="43" w:type="dxa"/>
              <w:bottom w:w="43" w:type="dxa"/>
              <w:right w:w="123" w:type="dxa"/>
            </w:tcMar>
          </w:tcPr>
          <w:p w14:paraId="06F4188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D5DDE57" w14:textId="77777777" w:rsidR="000A2A2B" w:rsidRPr="007C3060" w:rsidRDefault="000A2A2B" w:rsidP="007C3060">
            <w:r w:rsidRPr="007C3060">
              <w:t>Arbeids- og velferdsetaten:</w:t>
            </w:r>
          </w:p>
        </w:tc>
        <w:tc>
          <w:tcPr>
            <w:tcW w:w="1717" w:type="dxa"/>
            <w:tcBorders>
              <w:top w:val="nil"/>
              <w:left w:val="nil"/>
              <w:bottom w:val="nil"/>
              <w:right w:val="nil"/>
            </w:tcBorders>
            <w:tcMar>
              <w:top w:w="128" w:type="dxa"/>
              <w:left w:w="43" w:type="dxa"/>
              <w:bottom w:w="43" w:type="dxa"/>
              <w:right w:w="43" w:type="dxa"/>
            </w:tcMar>
            <w:vAlign w:val="bottom"/>
          </w:tcPr>
          <w:p w14:paraId="75278DA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971A4D9" w14:textId="77777777" w:rsidR="000A2A2B" w:rsidRPr="007C3060" w:rsidRDefault="000A2A2B" w:rsidP="007C3060"/>
        </w:tc>
      </w:tr>
      <w:tr w:rsidR="004B729E" w:rsidRPr="007C3060" w14:paraId="58FE2A4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D0145E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4E45337"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16592EB6"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7661CBC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0D2FB44" w14:textId="77777777" w:rsidR="000A2A2B" w:rsidRPr="007C3060" w:rsidRDefault="000A2A2B" w:rsidP="007C3060">
            <w:r w:rsidRPr="007C3060">
              <w:t>855 000</w:t>
            </w:r>
          </w:p>
        </w:tc>
      </w:tr>
      <w:tr w:rsidR="004B729E" w:rsidRPr="007C3060" w14:paraId="001582C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9A7F58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B83F85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0DA09F4" w14:textId="77777777" w:rsidR="000A2A2B" w:rsidRPr="007C3060" w:rsidRDefault="000A2A2B" w:rsidP="007C3060">
            <w:r w:rsidRPr="007C3060">
              <w:t>fra kr 15 061 160 000 til kr 15 062 015 000</w:t>
            </w:r>
          </w:p>
        </w:tc>
        <w:tc>
          <w:tcPr>
            <w:tcW w:w="1717" w:type="dxa"/>
            <w:tcBorders>
              <w:top w:val="nil"/>
              <w:left w:val="nil"/>
              <w:bottom w:val="nil"/>
              <w:right w:val="nil"/>
            </w:tcBorders>
            <w:tcMar>
              <w:top w:w="128" w:type="dxa"/>
              <w:left w:w="43" w:type="dxa"/>
              <w:bottom w:w="43" w:type="dxa"/>
              <w:right w:w="43" w:type="dxa"/>
            </w:tcMar>
            <w:vAlign w:val="bottom"/>
          </w:tcPr>
          <w:p w14:paraId="47BC96E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8F5FDC7" w14:textId="77777777" w:rsidR="000A2A2B" w:rsidRPr="007C3060" w:rsidRDefault="000A2A2B" w:rsidP="007C3060"/>
        </w:tc>
      </w:tr>
      <w:tr w:rsidR="004B729E" w:rsidRPr="007C3060" w14:paraId="572957B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446CAB5" w14:textId="77777777" w:rsidR="000A2A2B" w:rsidRPr="007C3060" w:rsidRDefault="000A2A2B" w:rsidP="007C3060">
            <w:r w:rsidRPr="007C3060">
              <w:t>611</w:t>
            </w:r>
          </w:p>
        </w:tc>
        <w:tc>
          <w:tcPr>
            <w:tcW w:w="992" w:type="dxa"/>
            <w:tcBorders>
              <w:top w:val="nil"/>
              <w:left w:val="nil"/>
              <w:bottom w:val="nil"/>
              <w:right w:val="nil"/>
            </w:tcBorders>
            <w:tcMar>
              <w:top w:w="128" w:type="dxa"/>
              <w:left w:w="43" w:type="dxa"/>
              <w:bottom w:w="43" w:type="dxa"/>
              <w:right w:w="123" w:type="dxa"/>
            </w:tcMar>
          </w:tcPr>
          <w:p w14:paraId="3ADB675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E19013A" w14:textId="77777777" w:rsidR="000A2A2B" w:rsidRPr="007C3060" w:rsidRDefault="000A2A2B" w:rsidP="007C3060">
            <w:r w:rsidRPr="007C3060">
              <w:t>Pensjoner av statskassen:</w:t>
            </w:r>
          </w:p>
        </w:tc>
        <w:tc>
          <w:tcPr>
            <w:tcW w:w="1717" w:type="dxa"/>
            <w:tcBorders>
              <w:top w:val="nil"/>
              <w:left w:val="nil"/>
              <w:bottom w:val="nil"/>
              <w:right w:val="nil"/>
            </w:tcBorders>
            <w:tcMar>
              <w:top w:w="128" w:type="dxa"/>
              <w:left w:w="43" w:type="dxa"/>
              <w:bottom w:w="43" w:type="dxa"/>
              <w:right w:w="43" w:type="dxa"/>
            </w:tcMar>
            <w:vAlign w:val="bottom"/>
          </w:tcPr>
          <w:p w14:paraId="7050C88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6293D80" w14:textId="77777777" w:rsidR="000A2A2B" w:rsidRPr="007C3060" w:rsidRDefault="000A2A2B" w:rsidP="007C3060"/>
        </w:tc>
      </w:tr>
      <w:tr w:rsidR="004B729E" w:rsidRPr="007C3060" w14:paraId="46A2D8D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816660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E564D34"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0FDC921E" w14:textId="77777777" w:rsidR="000A2A2B" w:rsidRPr="007C3060" w:rsidRDefault="000A2A2B" w:rsidP="007C3060">
            <w:r w:rsidRPr="007C3060">
              <w:t xml:space="preserve">Driftsutgifter, </w:t>
            </w:r>
            <w:r w:rsidRPr="007C3060">
              <w:rPr>
                <w:rStyle w:val="kursiv"/>
              </w:rPr>
              <w:t>overslagsbevilgning,</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1BDE54A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B6256A5" w14:textId="77777777" w:rsidR="000A2A2B" w:rsidRPr="007C3060" w:rsidRDefault="000A2A2B" w:rsidP="007C3060">
            <w:r w:rsidRPr="007C3060">
              <w:t>400 000</w:t>
            </w:r>
          </w:p>
        </w:tc>
      </w:tr>
      <w:tr w:rsidR="004B729E" w:rsidRPr="007C3060" w14:paraId="6DFEE37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064EB2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A9ECCA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91D07A4" w14:textId="77777777" w:rsidR="000A2A2B" w:rsidRPr="007C3060" w:rsidRDefault="000A2A2B" w:rsidP="007C3060">
            <w:r w:rsidRPr="007C3060">
              <w:t>fra kr 18 800 000 til kr 18 400 000</w:t>
            </w:r>
          </w:p>
        </w:tc>
        <w:tc>
          <w:tcPr>
            <w:tcW w:w="1717" w:type="dxa"/>
            <w:tcBorders>
              <w:top w:val="nil"/>
              <w:left w:val="nil"/>
              <w:bottom w:val="nil"/>
              <w:right w:val="nil"/>
            </w:tcBorders>
            <w:tcMar>
              <w:top w:w="128" w:type="dxa"/>
              <w:left w:w="43" w:type="dxa"/>
              <w:bottom w:w="43" w:type="dxa"/>
              <w:right w:w="43" w:type="dxa"/>
            </w:tcMar>
            <w:vAlign w:val="bottom"/>
          </w:tcPr>
          <w:p w14:paraId="19BAFF8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5EA0642" w14:textId="77777777" w:rsidR="000A2A2B" w:rsidRPr="007C3060" w:rsidRDefault="000A2A2B" w:rsidP="007C3060"/>
        </w:tc>
      </w:tr>
      <w:tr w:rsidR="004B729E" w:rsidRPr="007C3060" w14:paraId="418865E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66A70F3" w14:textId="77777777" w:rsidR="000A2A2B" w:rsidRPr="007C3060" w:rsidRDefault="000A2A2B" w:rsidP="007C3060">
            <w:r w:rsidRPr="007C3060">
              <w:t>612</w:t>
            </w:r>
          </w:p>
        </w:tc>
        <w:tc>
          <w:tcPr>
            <w:tcW w:w="992" w:type="dxa"/>
            <w:tcBorders>
              <w:top w:val="nil"/>
              <w:left w:val="nil"/>
              <w:bottom w:val="nil"/>
              <w:right w:val="nil"/>
            </w:tcBorders>
            <w:tcMar>
              <w:top w:w="128" w:type="dxa"/>
              <w:left w:w="43" w:type="dxa"/>
              <w:bottom w:w="43" w:type="dxa"/>
              <w:right w:w="123" w:type="dxa"/>
            </w:tcMar>
          </w:tcPr>
          <w:p w14:paraId="1C7C172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F92380B" w14:textId="77777777" w:rsidR="000A2A2B" w:rsidRPr="007C3060" w:rsidRDefault="000A2A2B" w:rsidP="007C3060">
            <w:r w:rsidRPr="007C3060">
              <w:t>Tilskudd til Statens pensjonskasse:</w:t>
            </w:r>
          </w:p>
        </w:tc>
        <w:tc>
          <w:tcPr>
            <w:tcW w:w="1717" w:type="dxa"/>
            <w:tcBorders>
              <w:top w:val="nil"/>
              <w:left w:val="nil"/>
              <w:bottom w:val="nil"/>
              <w:right w:val="nil"/>
            </w:tcBorders>
            <w:tcMar>
              <w:top w:w="128" w:type="dxa"/>
              <w:left w:w="43" w:type="dxa"/>
              <w:bottom w:w="43" w:type="dxa"/>
              <w:right w:w="43" w:type="dxa"/>
            </w:tcMar>
            <w:vAlign w:val="bottom"/>
          </w:tcPr>
          <w:p w14:paraId="077CF34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F8D0F14" w14:textId="77777777" w:rsidR="000A2A2B" w:rsidRPr="007C3060" w:rsidRDefault="000A2A2B" w:rsidP="007C3060"/>
        </w:tc>
      </w:tr>
      <w:tr w:rsidR="004B729E" w:rsidRPr="007C3060" w14:paraId="41E19C2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8B94CF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7CB8776"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061895E2" w14:textId="77777777" w:rsidR="000A2A2B" w:rsidRPr="007C3060" w:rsidRDefault="000A2A2B" w:rsidP="007C3060">
            <w:r w:rsidRPr="007C3060">
              <w:t xml:space="preserve">Driftsutgifter, </w:t>
            </w:r>
            <w:r w:rsidRPr="007C3060">
              <w:rPr>
                <w:rStyle w:val="kursiv"/>
              </w:rPr>
              <w:t>overslagsbevilgning,</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83AB4A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F3225D0" w14:textId="77777777" w:rsidR="000A2A2B" w:rsidRPr="007C3060" w:rsidRDefault="000A2A2B" w:rsidP="007C3060">
            <w:r w:rsidRPr="007C3060">
              <w:t>346 700 000</w:t>
            </w:r>
          </w:p>
        </w:tc>
      </w:tr>
      <w:tr w:rsidR="004B729E" w:rsidRPr="007C3060" w14:paraId="6A1542F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730DDF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8C0E78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B7E53B3" w14:textId="77777777" w:rsidR="000A2A2B" w:rsidRPr="007C3060" w:rsidRDefault="000A2A2B" w:rsidP="007C3060">
            <w:r w:rsidRPr="007C3060">
              <w:t>fra kr 12 825 700 000 til kr 12 479 000 000</w:t>
            </w:r>
          </w:p>
        </w:tc>
        <w:tc>
          <w:tcPr>
            <w:tcW w:w="1717" w:type="dxa"/>
            <w:tcBorders>
              <w:top w:val="nil"/>
              <w:left w:val="nil"/>
              <w:bottom w:val="nil"/>
              <w:right w:val="nil"/>
            </w:tcBorders>
            <w:tcMar>
              <w:top w:w="128" w:type="dxa"/>
              <w:left w:w="43" w:type="dxa"/>
              <w:bottom w:w="43" w:type="dxa"/>
              <w:right w:w="43" w:type="dxa"/>
            </w:tcMar>
            <w:vAlign w:val="bottom"/>
          </w:tcPr>
          <w:p w14:paraId="585DBC0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F03A673" w14:textId="77777777" w:rsidR="000A2A2B" w:rsidRPr="007C3060" w:rsidRDefault="000A2A2B" w:rsidP="007C3060"/>
        </w:tc>
      </w:tr>
      <w:tr w:rsidR="004B729E" w:rsidRPr="007C3060" w14:paraId="7298DF5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CB62E75" w14:textId="77777777" w:rsidR="000A2A2B" w:rsidRPr="007C3060" w:rsidRDefault="000A2A2B" w:rsidP="007C3060">
            <w:r w:rsidRPr="007C3060">
              <w:t>634</w:t>
            </w:r>
          </w:p>
        </w:tc>
        <w:tc>
          <w:tcPr>
            <w:tcW w:w="992" w:type="dxa"/>
            <w:tcBorders>
              <w:top w:val="nil"/>
              <w:left w:val="nil"/>
              <w:bottom w:val="nil"/>
              <w:right w:val="nil"/>
            </w:tcBorders>
            <w:tcMar>
              <w:top w:w="128" w:type="dxa"/>
              <w:left w:w="43" w:type="dxa"/>
              <w:bottom w:w="43" w:type="dxa"/>
              <w:right w:w="123" w:type="dxa"/>
            </w:tcMar>
          </w:tcPr>
          <w:p w14:paraId="0421119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3AD0549" w14:textId="77777777" w:rsidR="000A2A2B" w:rsidRPr="007C3060" w:rsidRDefault="000A2A2B" w:rsidP="007C3060">
            <w:r w:rsidRPr="007C3060">
              <w:t>Arbeidsmarkedstiltak:</w:t>
            </w:r>
          </w:p>
        </w:tc>
        <w:tc>
          <w:tcPr>
            <w:tcW w:w="1717" w:type="dxa"/>
            <w:tcBorders>
              <w:top w:val="nil"/>
              <w:left w:val="nil"/>
              <w:bottom w:val="nil"/>
              <w:right w:val="nil"/>
            </w:tcBorders>
            <w:tcMar>
              <w:top w:w="128" w:type="dxa"/>
              <w:left w:w="43" w:type="dxa"/>
              <w:bottom w:w="43" w:type="dxa"/>
              <w:right w:w="43" w:type="dxa"/>
            </w:tcMar>
            <w:vAlign w:val="bottom"/>
          </w:tcPr>
          <w:p w14:paraId="1FB067C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D8B4312" w14:textId="77777777" w:rsidR="000A2A2B" w:rsidRPr="007C3060" w:rsidRDefault="000A2A2B" w:rsidP="007C3060"/>
        </w:tc>
      </w:tr>
      <w:tr w:rsidR="004B729E" w:rsidRPr="007C3060" w14:paraId="7E173E78"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DBC98E4"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77425AEF"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47A7899F" w14:textId="11CB1E54" w:rsidR="000A2A2B" w:rsidRPr="007C3060" w:rsidRDefault="000A2A2B" w:rsidP="007C3060">
            <w:r w:rsidRPr="007C3060">
              <w:t xml:space="preserve">Forsøk med ungdomsprogramytelse, </w:t>
            </w:r>
            <w:r w:rsidRPr="007C3060">
              <w:rPr>
                <w:rStyle w:val="kursiv"/>
              </w:rPr>
              <w:t>kan overføres,</w:t>
            </w:r>
            <w:r w:rsidRPr="007C3060">
              <w:t xml:space="preserve"> bevilges med</w:t>
            </w:r>
          </w:p>
        </w:tc>
        <w:tc>
          <w:tcPr>
            <w:tcW w:w="1717" w:type="dxa"/>
            <w:tcBorders>
              <w:top w:val="nil"/>
              <w:left w:val="nil"/>
              <w:bottom w:val="nil"/>
              <w:right w:val="nil"/>
            </w:tcBorders>
            <w:tcMar>
              <w:top w:w="128" w:type="dxa"/>
              <w:left w:w="43" w:type="dxa"/>
              <w:bottom w:w="43" w:type="dxa"/>
              <w:right w:w="43" w:type="dxa"/>
            </w:tcMar>
            <w:vAlign w:val="bottom"/>
          </w:tcPr>
          <w:p w14:paraId="015769E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186DE9F" w14:textId="77777777" w:rsidR="000A2A2B" w:rsidRPr="007C3060" w:rsidRDefault="000A2A2B" w:rsidP="007C3060">
            <w:r w:rsidRPr="007C3060">
              <w:t>20 000 000</w:t>
            </w:r>
          </w:p>
        </w:tc>
      </w:tr>
      <w:tr w:rsidR="004B729E" w:rsidRPr="007C3060" w14:paraId="4B5C045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CC47C9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8EC79CE" w14:textId="77777777" w:rsidR="000A2A2B" w:rsidRPr="007C3060" w:rsidRDefault="000A2A2B" w:rsidP="007C3060">
            <w:r w:rsidRPr="007C3060">
              <w:t>76</w:t>
            </w:r>
          </w:p>
        </w:tc>
        <w:tc>
          <w:tcPr>
            <w:tcW w:w="4819" w:type="dxa"/>
            <w:tcBorders>
              <w:top w:val="nil"/>
              <w:left w:val="nil"/>
              <w:bottom w:val="nil"/>
              <w:right w:val="nil"/>
            </w:tcBorders>
            <w:tcMar>
              <w:top w:w="128" w:type="dxa"/>
              <w:left w:w="43" w:type="dxa"/>
              <w:bottom w:w="43" w:type="dxa"/>
              <w:right w:w="43" w:type="dxa"/>
            </w:tcMar>
            <w:vAlign w:val="bottom"/>
          </w:tcPr>
          <w:p w14:paraId="2309C295" w14:textId="77777777" w:rsidR="000A2A2B" w:rsidRPr="007C3060" w:rsidRDefault="000A2A2B" w:rsidP="007C3060">
            <w:r w:rsidRPr="007C3060">
              <w:t xml:space="preserve">Tiltak for arbeidssøkere,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487A939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17CC9F2" w14:textId="77777777" w:rsidR="000A2A2B" w:rsidRPr="007C3060" w:rsidRDefault="000A2A2B" w:rsidP="007C3060">
            <w:r w:rsidRPr="007C3060">
              <w:t>117 100 000</w:t>
            </w:r>
          </w:p>
        </w:tc>
      </w:tr>
      <w:tr w:rsidR="004B729E" w:rsidRPr="007C3060" w14:paraId="0B6B7E6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41F0C4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62763C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02C7F0C" w14:textId="77777777" w:rsidR="000A2A2B" w:rsidRPr="007C3060" w:rsidRDefault="000A2A2B" w:rsidP="007C3060">
            <w:r w:rsidRPr="007C3060">
              <w:t>fra kr 8 384 615 000 til kr 8 501 715 000</w:t>
            </w:r>
          </w:p>
        </w:tc>
        <w:tc>
          <w:tcPr>
            <w:tcW w:w="1717" w:type="dxa"/>
            <w:tcBorders>
              <w:top w:val="nil"/>
              <w:left w:val="nil"/>
              <w:bottom w:val="nil"/>
              <w:right w:val="nil"/>
            </w:tcBorders>
            <w:tcMar>
              <w:top w:w="128" w:type="dxa"/>
              <w:left w:w="43" w:type="dxa"/>
              <w:bottom w:w="43" w:type="dxa"/>
              <w:right w:w="43" w:type="dxa"/>
            </w:tcMar>
            <w:vAlign w:val="bottom"/>
          </w:tcPr>
          <w:p w14:paraId="0612C57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92DC1AB" w14:textId="77777777" w:rsidR="000A2A2B" w:rsidRPr="007C3060" w:rsidRDefault="000A2A2B" w:rsidP="007C3060"/>
        </w:tc>
      </w:tr>
      <w:tr w:rsidR="004B729E" w:rsidRPr="007C3060" w14:paraId="7734739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5DC5775" w14:textId="77777777" w:rsidR="000A2A2B" w:rsidRPr="007C3060" w:rsidRDefault="000A2A2B" w:rsidP="007C3060">
            <w:r w:rsidRPr="007C3060">
              <w:t>635</w:t>
            </w:r>
          </w:p>
        </w:tc>
        <w:tc>
          <w:tcPr>
            <w:tcW w:w="992" w:type="dxa"/>
            <w:tcBorders>
              <w:top w:val="nil"/>
              <w:left w:val="nil"/>
              <w:bottom w:val="nil"/>
              <w:right w:val="nil"/>
            </w:tcBorders>
            <w:tcMar>
              <w:top w:w="128" w:type="dxa"/>
              <w:left w:w="43" w:type="dxa"/>
              <w:bottom w:w="43" w:type="dxa"/>
              <w:right w:w="123" w:type="dxa"/>
            </w:tcMar>
          </w:tcPr>
          <w:p w14:paraId="611405E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8329BE5" w14:textId="77777777" w:rsidR="000A2A2B" w:rsidRPr="007C3060" w:rsidRDefault="000A2A2B" w:rsidP="007C3060">
            <w:r w:rsidRPr="007C3060">
              <w:t>Ventelønn:</w:t>
            </w:r>
          </w:p>
        </w:tc>
        <w:tc>
          <w:tcPr>
            <w:tcW w:w="1717" w:type="dxa"/>
            <w:tcBorders>
              <w:top w:val="nil"/>
              <w:left w:val="nil"/>
              <w:bottom w:val="nil"/>
              <w:right w:val="nil"/>
            </w:tcBorders>
            <w:tcMar>
              <w:top w:w="128" w:type="dxa"/>
              <w:left w:w="43" w:type="dxa"/>
              <w:bottom w:w="43" w:type="dxa"/>
              <w:right w:w="43" w:type="dxa"/>
            </w:tcMar>
            <w:vAlign w:val="bottom"/>
          </w:tcPr>
          <w:p w14:paraId="2893968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101A56F" w14:textId="77777777" w:rsidR="000A2A2B" w:rsidRPr="007C3060" w:rsidRDefault="000A2A2B" w:rsidP="007C3060"/>
        </w:tc>
      </w:tr>
      <w:tr w:rsidR="004B729E" w:rsidRPr="007C3060" w14:paraId="4CFB329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243EAC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293D772"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2CBD1EDC" w14:textId="77777777" w:rsidR="000A2A2B" w:rsidRPr="007C3060" w:rsidRDefault="000A2A2B" w:rsidP="007C3060">
            <w:r w:rsidRPr="007C3060">
              <w:t xml:space="preserve">Driftsutgifter,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6E55ADD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7FC1695" w14:textId="77777777" w:rsidR="000A2A2B" w:rsidRPr="007C3060" w:rsidRDefault="000A2A2B" w:rsidP="007C3060">
            <w:r w:rsidRPr="007C3060">
              <w:t>30 000</w:t>
            </w:r>
          </w:p>
        </w:tc>
      </w:tr>
      <w:tr w:rsidR="004B729E" w:rsidRPr="007C3060" w14:paraId="0B0DE10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BCF8F6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4BC90F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112694A" w14:textId="77777777" w:rsidR="000A2A2B" w:rsidRPr="007C3060" w:rsidRDefault="000A2A2B" w:rsidP="007C3060">
            <w:r w:rsidRPr="007C3060">
              <w:t>fra kr 100 000 til kr 130 000</w:t>
            </w:r>
          </w:p>
        </w:tc>
        <w:tc>
          <w:tcPr>
            <w:tcW w:w="1717" w:type="dxa"/>
            <w:tcBorders>
              <w:top w:val="nil"/>
              <w:left w:val="nil"/>
              <w:bottom w:val="nil"/>
              <w:right w:val="nil"/>
            </w:tcBorders>
            <w:tcMar>
              <w:top w:w="128" w:type="dxa"/>
              <w:left w:w="43" w:type="dxa"/>
              <w:bottom w:w="43" w:type="dxa"/>
              <w:right w:w="43" w:type="dxa"/>
            </w:tcMar>
            <w:vAlign w:val="bottom"/>
          </w:tcPr>
          <w:p w14:paraId="0A5E04A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3E4C95D" w14:textId="77777777" w:rsidR="000A2A2B" w:rsidRPr="007C3060" w:rsidRDefault="000A2A2B" w:rsidP="007C3060"/>
        </w:tc>
      </w:tr>
      <w:tr w:rsidR="004B729E" w:rsidRPr="007C3060" w14:paraId="73ABAFA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E7FC1FC" w14:textId="77777777" w:rsidR="000A2A2B" w:rsidRPr="007C3060" w:rsidRDefault="000A2A2B" w:rsidP="007C3060">
            <w:r w:rsidRPr="007C3060">
              <w:t>640</w:t>
            </w:r>
          </w:p>
        </w:tc>
        <w:tc>
          <w:tcPr>
            <w:tcW w:w="992" w:type="dxa"/>
            <w:tcBorders>
              <w:top w:val="nil"/>
              <w:left w:val="nil"/>
              <w:bottom w:val="nil"/>
              <w:right w:val="nil"/>
            </w:tcBorders>
            <w:tcMar>
              <w:top w:w="128" w:type="dxa"/>
              <w:left w:w="43" w:type="dxa"/>
              <w:bottom w:w="43" w:type="dxa"/>
              <w:right w:w="123" w:type="dxa"/>
            </w:tcMar>
          </w:tcPr>
          <w:p w14:paraId="7641A99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014569B" w14:textId="77777777" w:rsidR="000A2A2B" w:rsidRPr="007C3060" w:rsidRDefault="000A2A2B" w:rsidP="007C3060">
            <w:r w:rsidRPr="007C3060">
              <w:t>Arbeidstilsynet:</w:t>
            </w:r>
          </w:p>
        </w:tc>
        <w:tc>
          <w:tcPr>
            <w:tcW w:w="1717" w:type="dxa"/>
            <w:tcBorders>
              <w:top w:val="nil"/>
              <w:left w:val="nil"/>
              <w:bottom w:val="nil"/>
              <w:right w:val="nil"/>
            </w:tcBorders>
            <w:tcMar>
              <w:top w:w="128" w:type="dxa"/>
              <w:left w:w="43" w:type="dxa"/>
              <w:bottom w:w="43" w:type="dxa"/>
              <w:right w:w="43" w:type="dxa"/>
            </w:tcMar>
            <w:vAlign w:val="bottom"/>
          </w:tcPr>
          <w:p w14:paraId="374B543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FEBC9DB" w14:textId="77777777" w:rsidR="000A2A2B" w:rsidRPr="007C3060" w:rsidRDefault="000A2A2B" w:rsidP="007C3060"/>
        </w:tc>
      </w:tr>
      <w:tr w:rsidR="004B729E" w:rsidRPr="007C3060" w14:paraId="1518A0A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C7E4C0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437380E"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456E3B91"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30EFF24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02E8E60" w14:textId="77777777" w:rsidR="000A2A2B" w:rsidRPr="007C3060" w:rsidRDefault="000A2A2B" w:rsidP="007C3060">
            <w:r w:rsidRPr="007C3060">
              <w:t>750 000</w:t>
            </w:r>
          </w:p>
        </w:tc>
      </w:tr>
      <w:tr w:rsidR="004B729E" w:rsidRPr="007C3060" w14:paraId="612E4A1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CD85E8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3AFD8F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C2338F2" w14:textId="77777777" w:rsidR="000A2A2B" w:rsidRPr="007C3060" w:rsidRDefault="000A2A2B" w:rsidP="007C3060">
            <w:r w:rsidRPr="007C3060">
              <w:t>fra kr 901 670 000 til kr 902 420 000</w:t>
            </w:r>
          </w:p>
        </w:tc>
        <w:tc>
          <w:tcPr>
            <w:tcW w:w="1717" w:type="dxa"/>
            <w:tcBorders>
              <w:top w:val="nil"/>
              <w:left w:val="nil"/>
              <w:bottom w:val="nil"/>
              <w:right w:val="nil"/>
            </w:tcBorders>
            <w:tcMar>
              <w:top w:w="128" w:type="dxa"/>
              <w:left w:w="43" w:type="dxa"/>
              <w:bottom w:w="43" w:type="dxa"/>
              <w:right w:w="43" w:type="dxa"/>
            </w:tcMar>
            <w:vAlign w:val="bottom"/>
          </w:tcPr>
          <w:p w14:paraId="7E4C851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89B8446" w14:textId="77777777" w:rsidR="000A2A2B" w:rsidRPr="007C3060" w:rsidRDefault="000A2A2B" w:rsidP="007C3060"/>
        </w:tc>
      </w:tr>
      <w:tr w:rsidR="004B729E" w:rsidRPr="007C3060" w14:paraId="2C104F6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7DC69CF" w14:textId="77777777" w:rsidR="000A2A2B" w:rsidRPr="007C3060" w:rsidRDefault="000A2A2B" w:rsidP="007C3060">
            <w:r w:rsidRPr="007C3060">
              <w:t>646</w:t>
            </w:r>
          </w:p>
        </w:tc>
        <w:tc>
          <w:tcPr>
            <w:tcW w:w="992" w:type="dxa"/>
            <w:tcBorders>
              <w:top w:val="nil"/>
              <w:left w:val="nil"/>
              <w:bottom w:val="nil"/>
              <w:right w:val="nil"/>
            </w:tcBorders>
            <w:tcMar>
              <w:top w:w="128" w:type="dxa"/>
              <w:left w:w="43" w:type="dxa"/>
              <w:bottom w:w="43" w:type="dxa"/>
              <w:right w:w="123" w:type="dxa"/>
            </w:tcMar>
          </w:tcPr>
          <w:p w14:paraId="6DD3F8C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7FC98B3" w14:textId="77777777" w:rsidR="000A2A2B" w:rsidRPr="007C3060" w:rsidRDefault="000A2A2B" w:rsidP="007C3060">
            <w:r w:rsidRPr="007C3060">
              <w:t>Pionerdykkere i Nordsjøen:</w:t>
            </w:r>
          </w:p>
        </w:tc>
        <w:tc>
          <w:tcPr>
            <w:tcW w:w="1717" w:type="dxa"/>
            <w:tcBorders>
              <w:top w:val="nil"/>
              <w:left w:val="nil"/>
              <w:bottom w:val="nil"/>
              <w:right w:val="nil"/>
            </w:tcBorders>
            <w:tcMar>
              <w:top w:w="128" w:type="dxa"/>
              <w:left w:w="43" w:type="dxa"/>
              <w:bottom w:w="43" w:type="dxa"/>
              <w:right w:w="43" w:type="dxa"/>
            </w:tcMar>
            <w:vAlign w:val="bottom"/>
          </w:tcPr>
          <w:p w14:paraId="307B0F2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C002174" w14:textId="77777777" w:rsidR="000A2A2B" w:rsidRPr="007C3060" w:rsidRDefault="000A2A2B" w:rsidP="007C3060"/>
        </w:tc>
      </w:tr>
      <w:tr w:rsidR="004B729E" w:rsidRPr="007C3060" w14:paraId="18247CC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8C2405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F2B0600"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5091F0E9" w14:textId="77777777" w:rsidR="000A2A2B" w:rsidRPr="007C3060" w:rsidRDefault="000A2A2B" w:rsidP="007C3060">
            <w:r w:rsidRPr="007C3060">
              <w:t xml:space="preserve">Tilskudd,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09D3FC5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484DD24" w14:textId="77777777" w:rsidR="000A2A2B" w:rsidRPr="007C3060" w:rsidRDefault="000A2A2B" w:rsidP="007C3060">
            <w:r w:rsidRPr="007C3060">
              <w:t>665 000</w:t>
            </w:r>
          </w:p>
        </w:tc>
      </w:tr>
      <w:tr w:rsidR="004B729E" w:rsidRPr="007C3060" w14:paraId="73DC26E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AD2C75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33521A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859CCFA" w14:textId="77777777" w:rsidR="000A2A2B" w:rsidRPr="007C3060" w:rsidRDefault="000A2A2B" w:rsidP="007C3060">
            <w:r w:rsidRPr="007C3060">
              <w:t>fra kr 1 250 000 til kr 585 000</w:t>
            </w:r>
          </w:p>
        </w:tc>
        <w:tc>
          <w:tcPr>
            <w:tcW w:w="1717" w:type="dxa"/>
            <w:tcBorders>
              <w:top w:val="nil"/>
              <w:left w:val="nil"/>
              <w:bottom w:val="nil"/>
              <w:right w:val="nil"/>
            </w:tcBorders>
            <w:tcMar>
              <w:top w:w="128" w:type="dxa"/>
              <w:left w:w="43" w:type="dxa"/>
              <w:bottom w:w="43" w:type="dxa"/>
              <w:right w:w="43" w:type="dxa"/>
            </w:tcMar>
            <w:vAlign w:val="bottom"/>
          </w:tcPr>
          <w:p w14:paraId="2819789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4336CA7" w14:textId="77777777" w:rsidR="000A2A2B" w:rsidRPr="007C3060" w:rsidRDefault="000A2A2B" w:rsidP="007C3060"/>
        </w:tc>
      </w:tr>
      <w:tr w:rsidR="004B729E" w:rsidRPr="007C3060" w14:paraId="0343F76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FCE0712" w14:textId="77777777" w:rsidR="000A2A2B" w:rsidRPr="007C3060" w:rsidRDefault="000A2A2B" w:rsidP="007C3060">
            <w:r w:rsidRPr="007C3060">
              <w:t>647</w:t>
            </w:r>
          </w:p>
        </w:tc>
        <w:tc>
          <w:tcPr>
            <w:tcW w:w="992" w:type="dxa"/>
            <w:tcBorders>
              <w:top w:val="nil"/>
              <w:left w:val="nil"/>
              <w:bottom w:val="nil"/>
              <w:right w:val="nil"/>
            </w:tcBorders>
            <w:tcMar>
              <w:top w:w="128" w:type="dxa"/>
              <w:left w:w="43" w:type="dxa"/>
              <w:bottom w:w="43" w:type="dxa"/>
              <w:right w:w="123" w:type="dxa"/>
            </w:tcMar>
          </w:tcPr>
          <w:p w14:paraId="7DF2278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DE499FA" w14:textId="77777777" w:rsidR="000A2A2B" w:rsidRPr="007C3060" w:rsidRDefault="000A2A2B" w:rsidP="007C3060">
            <w:r w:rsidRPr="007C3060">
              <w:t xml:space="preserve">Kompensasjonsordning for </w:t>
            </w:r>
            <w:proofErr w:type="spellStart"/>
            <w:r w:rsidRPr="007C3060">
              <w:t>oljepionerene</w:t>
            </w:r>
            <w:proofErr w:type="spellEnd"/>
            <w:r w:rsidRPr="007C3060">
              <w:t>:</w:t>
            </w:r>
          </w:p>
        </w:tc>
        <w:tc>
          <w:tcPr>
            <w:tcW w:w="1717" w:type="dxa"/>
            <w:tcBorders>
              <w:top w:val="nil"/>
              <w:left w:val="nil"/>
              <w:bottom w:val="nil"/>
              <w:right w:val="nil"/>
            </w:tcBorders>
            <w:tcMar>
              <w:top w:w="128" w:type="dxa"/>
              <w:left w:w="43" w:type="dxa"/>
              <w:bottom w:w="43" w:type="dxa"/>
              <w:right w:w="43" w:type="dxa"/>
            </w:tcMar>
            <w:vAlign w:val="bottom"/>
          </w:tcPr>
          <w:p w14:paraId="55F3DD9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787E40A" w14:textId="77777777" w:rsidR="000A2A2B" w:rsidRPr="007C3060" w:rsidRDefault="000A2A2B" w:rsidP="007C3060"/>
        </w:tc>
      </w:tr>
      <w:tr w:rsidR="004B729E" w:rsidRPr="007C3060" w14:paraId="424907C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175EA00"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039EF0D3"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03898B93" w14:textId="77777777" w:rsidR="000A2A2B" w:rsidRPr="007C3060" w:rsidRDefault="000A2A2B" w:rsidP="007C3060">
            <w:r w:rsidRPr="007C3060">
              <w:t>Driftsutgifter, bevilges med</w:t>
            </w:r>
          </w:p>
        </w:tc>
        <w:tc>
          <w:tcPr>
            <w:tcW w:w="1717" w:type="dxa"/>
            <w:tcBorders>
              <w:top w:val="nil"/>
              <w:left w:val="nil"/>
              <w:bottom w:val="nil"/>
              <w:right w:val="nil"/>
            </w:tcBorders>
            <w:tcMar>
              <w:top w:w="128" w:type="dxa"/>
              <w:left w:w="43" w:type="dxa"/>
              <w:bottom w:w="43" w:type="dxa"/>
              <w:right w:w="43" w:type="dxa"/>
            </w:tcMar>
            <w:vAlign w:val="bottom"/>
          </w:tcPr>
          <w:p w14:paraId="4EBC2D5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4253402" w14:textId="77777777" w:rsidR="000A2A2B" w:rsidRPr="007C3060" w:rsidRDefault="000A2A2B" w:rsidP="007C3060">
            <w:r w:rsidRPr="007C3060">
              <w:t>14 000 000</w:t>
            </w:r>
          </w:p>
        </w:tc>
      </w:tr>
      <w:tr w:rsidR="004B729E" w:rsidRPr="007C3060" w14:paraId="3CE01AB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6BCD323" w14:textId="77777777" w:rsidR="000A2A2B" w:rsidRPr="007C3060" w:rsidRDefault="000A2A2B" w:rsidP="007C3060">
            <w:r w:rsidRPr="007C3060">
              <w:t>660</w:t>
            </w:r>
          </w:p>
        </w:tc>
        <w:tc>
          <w:tcPr>
            <w:tcW w:w="992" w:type="dxa"/>
            <w:tcBorders>
              <w:top w:val="nil"/>
              <w:left w:val="nil"/>
              <w:bottom w:val="nil"/>
              <w:right w:val="nil"/>
            </w:tcBorders>
            <w:tcMar>
              <w:top w:w="128" w:type="dxa"/>
              <w:left w:w="43" w:type="dxa"/>
              <w:bottom w:w="43" w:type="dxa"/>
              <w:right w:w="123" w:type="dxa"/>
            </w:tcMar>
          </w:tcPr>
          <w:p w14:paraId="14FC97C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95720EE" w14:textId="77777777" w:rsidR="000A2A2B" w:rsidRPr="007C3060" w:rsidRDefault="000A2A2B" w:rsidP="007C3060">
            <w:r w:rsidRPr="007C3060">
              <w:t>Krigspensjon:</w:t>
            </w:r>
          </w:p>
        </w:tc>
        <w:tc>
          <w:tcPr>
            <w:tcW w:w="1717" w:type="dxa"/>
            <w:tcBorders>
              <w:top w:val="nil"/>
              <w:left w:val="nil"/>
              <w:bottom w:val="nil"/>
              <w:right w:val="nil"/>
            </w:tcBorders>
            <w:tcMar>
              <w:top w:w="128" w:type="dxa"/>
              <w:left w:w="43" w:type="dxa"/>
              <w:bottom w:w="43" w:type="dxa"/>
              <w:right w:w="43" w:type="dxa"/>
            </w:tcMar>
            <w:vAlign w:val="bottom"/>
          </w:tcPr>
          <w:p w14:paraId="5E97256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7838DB4" w14:textId="77777777" w:rsidR="000A2A2B" w:rsidRPr="007C3060" w:rsidRDefault="000A2A2B" w:rsidP="007C3060"/>
        </w:tc>
      </w:tr>
      <w:tr w:rsidR="004B729E" w:rsidRPr="007C3060" w14:paraId="45CF121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C6CCC2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4E08B18"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65450809" w14:textId="77777777" w:rsidR="000A2A2B" w:rsidRPr="007C3060" w:rsidRDefault="000A2A2B" w:rsidP="007C3060">
            <w:r w:rsidRPr="007C3060">
              <w:t xml:space="preserve">Tilskudd, militære, </w:t>
            </w:r>
            <w:r w:rsidRPr="007C3060">
              <w:rPr>
                <w:rStyle w:val="kursiv"/>
              </w:rPr>
              <w:t>overslagsbevilgning,</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245225E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E84C038" w14:textId="77777777" w:rsidR="000A2A2B" w:rsidRPr="007C3060" w:rsidRDefault="000A2A2B" w:rsidP="007C3060">
            <w:r w:rsidRPr="007C3060">
              <w:t>1 000 000</w:t>
            </w:r>
          </w:p>
        </w:tc>
      </w:tr>
      <w:tr w:rsidR="004B729E" w:rsidRPr="007C3060" w14:paraId="59F6B69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3F6C06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C40B99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A1BAA57" w14:textId="77777777" w:rsidR="000A2A2B" w:rsidRPr="007C3060" w:rsidRDefault="000A2A2B" w:rsidP="007C3060">
            <w:r w:rsidRPr="007C3060">
              <w:t>fra kr 19 000 000 til kr 18 000 000</w:t>
            </w:r>
          </w:p>
        </w:tc>
        <w:tc>
          <w:tcPr>
            <w:tcW w:w="1717" w:type="dxa"/>
            <w:tcBorders>
              <w:top w:val="nil"/>
              <w:left w:val="nil"/>
              <w:bottom w:val="nil"/>
              <w:right w:val="nil"/>
            </w:tcBorders>
            <w:tcMar>
              <w:top w:w="128" w:type="dxa"/>
              <w:left w:w="43" w:type="dxa"/>
              <w:bottom w:w="43" w:type="dxa"/>
              <w:right w:w="43" w:type="dxa"/>
            </w:tcMar>
            <w:vAlign w:val="bottom"/>
          </w:tcPr>
          <w:p w14:paraId="1262D46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47C2725" w14:textId="77777777" w:rsidR="000A2A2B" w:rsidRPr="007C3060" w:rsidRDefault="000A2A2B" w:rsidP="007C3060"/>
        </w:tc>
      </w:tr>
      <w:tr w:rsidR="004B729E" w:rsidRPr="007C3060" w14:paraId="5EC1B41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8C6C9E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D3C1B47"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75EF3866" w14:textId="77777777" w:rsidR="000A2A2B" w:rsidRPr="007C3060" w:rsidRDefault="000A2A2B" w:rsidP="007C3060">
            <w:r w:rsidRPr="007C3060">
              <w:t xml:space="preserve">Tilskudd, sivile,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7553977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2E5A398" w14:textId="77777777" w:rsidR="000A2A2B" w:rsidRPr="007C3060" w:rsidRDefault="000A2A2B" w:rsidP="007C3060">
            <w:r w:rsidRPr="007C3060">
              <w:t>1 000 000</w:t>
            </w:r>
          </w:p>
        </w:tc>
      </w:tr>
      <w:tr w:rsidR="004B729E" w:rsidRPr="007C3060" w14:paraId="593007B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826C73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2B4B82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A08CA91" w14:textId="77777777" w:rsidR="000A2A2B" w:rsidRPr="007C3060" w:rsidRDefault="000A2A2B" w:rsidP="007C3060">
            <w:r w:rsidRPr="007C3060">
              <w:t>fra kr 65 000 000 til kr 66 000 000</w:t>
            </w:r>
          </w:p>
        </w:tc>
        <w:tc>
          <w:tcPr>
            <w:tcW w:w="1717" w:type="dxa"/>
            <w:tcBorders>
              <w:top w:val="nil"/>
              <w:left w:val="nil"/>
              <w:bottom w:val="nil"/>
              <w:right w:val="nil"/>
            </w:tcBorders>
            <w:tcMar>
              <w:top w:w="128" w:type="dxa"/>
              <w:left w:w="43" w:type="dxa"/>
              <w:bottom w:w="43" w:type="dxa"/>
              <w:right w:w="43" w:type="dxa"/>
            </w:tcMar>
            <w:vAlign w:val="bottom"/>
          </w:tcPr>
          <w:p w14:paraId="7E4FEAD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AF08BCC" w14:textId="77777777" w:rsidR="000A2A2B" w:rsidRPr="007C3060" w:rsidRDefault="000A2A2B" w:rsidP="007C3060"/>
        </w:tc>
      </w:tr>
      <w:tr w:rsidR="004B729E" w:rsidRPr="007C3060" w14:paraId="23C5B0C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2A50C4A" w14:textId="77777777" w:rsidR="000A2A2B" w:rsidRPr="007C3060" w:rsidRDefault="000A2A2B" w:rsidP="007C3060">
            <w:r w:rsidRPr="007C3060">
              <w:t>665</w:t>
            </w:r>
          </w:p>
        </w:tc>
        <w:tc>
          <w:tcPr>
            <w:tcW w:w="992" w:type="dxa"/>
            <w:tcBorders>
              <w:top w:val="nil"/>
              <w:left w:val="nil"/>
              <w:bottom w:val="nil"/>
              <w:right w:val="nil"/>
            </w:tcBorders>
            <w:tcMar>
              <w:top w:w="128" w:type="dxa"/>
              <w:left w:w="43" w:type="dxa"/>
              <w:bottom w:w="43" w:type="dxa"/>
              <w:right w:w="123" w:type="dxa"/>
            </w:tcMar>
          </w:tcPr>
          <w:p w14:paraId="30D542A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06BF836" w14:textId="77777777" w:rsidR="000A2A2B" w:rsidRPr="007C3060" w:rsidRDefault="000A2A2B" w:rsidP="007C3060">
            <w:r w:rsidRPr="007C3060">
              <w:t>Pensjonstrygden for fiskere:</w:t>
            </w:r>
          </w:p>
        </w:tc>
        <w:tc>
          <w:tcPr>
            <w:tcW w:w="1717" w:type="dxa"/>
            <w:tcBorders>
              <w:top w:val="nil"/>
              <w:left w:val="nil"/>
              <w:bottom w:val="nil"/>
              <w:right w:val="nil"/>
            </w:tcBorders>
            <w:tcMar>
              <w:top w:w="128" w:type="dxa"/>
              <w:left w:w="43" w:type="dxa"/>
              <w:bottom w:w="43" w:type="dxa"/>
              <w:right w:w="43" w:type="dxa"/>
            </w:tcMar>
            <w:vAlign w:val="bottom"/>
          </w:tcPr>
          <w:p w14:paraId="491DF1C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CD1480C" w14:textId="77777777" w:rsidR="000A2A2B" w:rsidRPr="007C3060" w:rsidRDefault="000A2A2B" w:rsidP="007C3060"/>
        </w:tc>
      </w:tr>
      <w:tr w:rsidR="004B729E" w:rsidRPr="007C3060" w14:paraId="36C416D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21A9F0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2538AE4"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5A03FAE8" w14:textId="77777777" w:rsidR="000A2A2B" w:rsidRPr="007C3060" w:rsidRDefault="000A2A2B" w:rsidP="007C3060">
            <w:r w:rsidRPr="007C3060">
              <w:t>Tilskudd, nedsettes med</w:t>
            </w:r>
          </w:p>
        </w:tc>
        <w:tc>
          <w:tcPr>
            <w:tcW w:w="1717" w:type="dxa"/>
            <w:tcBorders>
              <w:top w:val="nil"/>
              <w:left w:val="nil"/>
              <w:bottom w:val="nil"/>
              <w:right w:val="nil"/>
            </w:tcBorders>
            <w:tcMar>
              <w:top w:w="128" w:type="dxa"/>
              <w:left w:w="43" w:type="dxa"/>
              <w:bottom w:w="43" w:type="dxa"/>
              <w:right w:w="43" w:type="dxa"/>
            </w:tcMar>
            <w:vAlign w:val="bottom"/>
          </w:tcPr>
          <w:p w14:paraId="65BD8B5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396AEFE" w14:textId="77777777" w:rsidR="000A2A2B" w:rsidRPr="007C3060" w:rsidRDefault="000A2A2B" w:rsidP="007C3060">
            <w:r w:rsidRPr="007C3060">
              <w:t>4 400 000</w:t>
            </w:r>
          </w:p>
        </w:tc>
      </w:tr>
      <w:tr w:rsidR="004B729E" w:rsidRPr="007C3060" w14:paraId="0C15A7E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BAC5A3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E0EE23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C08AB06" w14:textId="77777777" w:rsidR="000A2A2B" w:rsidRPr="007C3060" w:rsidRDefault="000A2A2B" w:rsidP="007C3060">
            <w:r w:rsidRPr="007C3060">
              <w:t>fra kr 4 400 000 til kr 0</w:t>
            </w:r>
          </w:p>
        </w:tc>
        <w:tc>
          <w:tcPr>
            <w:tcW w:w="1717" w:type="dxa"/>
            <w:tcBorders>
              <w:top w:val="nil"/>
              <w:left w:val="nil"/>
              <w:bottom w:val="nil"/>
              <w:right w:val="nil"/>
            </w:tcBorders>
            <w:tcMar>
              <w:top w:w="128" w:type="dxa"/>
              <w:left w:w="43" w:type="dxa"/>
              <w:bottom w:w="43" w:type="dxa"/>
              <w:right w:w="43" w:type="dxa"/>
            </w:tcMar>
            <w:vAlign w:val="bottom"/>
          </w:tcPr>
          <w:p w14:paraId="5395DF9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7B09374" w14:textId="77777777" w:rsidR="000A2A2B" w:rsidRPr="007C3060" w:rsidRDefault="000A2A2B" w:rsidP="007C3060"/>
        </w:tc>
      </w:tr>
      <w:tr w:rsidR="004B729E" w:rsidRPr="007C3060" w14:paraId="5A1F4CD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5D80052" w14:textId="77777777" w:rsidR="000A2A2B" w:rsidRPr="007C3060" w:rsidRDefault="000A2A2B" w:rsidP="007C3060">
            <w:r w:rsidRPr="007C3060">
              <w:t>666</w:t>
            </w:r>
          </w:p>
        </w:tc>
        <w:tc>
          <w:tcPr>
            <w:tcW w:w="992" w:type="dxa"/>
            <w:tcBorders>
              <w:top w:val="nil"/>
              <w:left w:val="nil"/>
              <w:bottom w:val="nil"/>
              <w:right w:val="nil"/>
            </w:tcBorders>
            <w:tcMar>
              <w:top w:w="128" w:type="dxa"/>
              <w:left w:w="43" w:type="dxa"/>
              <w:bottom w:w="43" w:type="dxa"/>
              <w:right w:w="123" w:type="dxa"/>
            </w:tcMar>
          </w:tcPr>
          <w:p w14:paraId="3A911FB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C7B2FE2" w14:textId="77777777" w:rsidR="000A2A2B" w:rsidRPr="007C3060" w:rsidRDefault="000A2A2B" w:rsidP="007C3060">
            <w:r w:rsidRPr="007C3060">
              <w:t>Avtalefestet pensjon (AFP):</w:t>
            </w:r>
          </w:p>
        </w:tc>
        <w:tc>
          <w:tcPr>
            <w:tcW w:w="1717" w:type="dxa"/>
            <w:tcBorders>
              <w:top w:val="nil"/>
              <w:left w:val="nil"/>
              <w:bottom w:val="nil"/>
              <w:right w:val="nil"/>
            </w:tcBorders>
            <w:tcMar>
              <w:top w:w="128" w:type="dxa"/>
              <w:left w:w="43" w:type="dxa"/>
              <w:bottom w:w="43" w:type="dxa"/>
              <w:right w:w="43" w:type="dxa"/>
            </w:tcMar>
            <w:vAlign w:val="bottom"/>
          </w:tcPr>
          <w:p w14:paraId="4CE8E0F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D0B6B47" w14:textId="77777777" w:rsidR="000A2A2B" w:rsidRPr="007C3060" w:rsidRDefault="000A2A2B" w:rsidP="007C3060"/>
        </w:tc>
      </w:tr>
      <w:tr w:rsidR="004B729E" w:rsidRPr="007C3060" w14:paraId="40CEF3F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DD2FFC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2AC9B24"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52C88021" w14:textId="77777777" w:rsidR="000A2A2B" w:rsidRPr="007C3060" w:rsidRDefault="000A2A2B" w:rsidP="007C3060">
            <w:r w:rsidRPr="007C3060">
              <w:t xml:space="preserve">Tilskudd,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70E859D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CCB5D82" w14:textId="77777777" w:rsidR="000A2A2B" w:rsidRPr="007C3060" w:rsidRDefault="000A2A2B" w:rsidP="007C3060">
            <w:r w:rsidRPr="007C3060">
              <w:t>30 000 000</w:t>
            </w:r>
          </w:p>
        </w:tc>
      </w:tr>
      <w:tr w:rsidR="004B729E" w:rsidRPr="007C3060" w14:paraId="3FC1F11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E71CC8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EC03EA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03107FA" w14:textId="77777777" w:rsidR="000A2A2B" w:rsidRPr="007C3060" w:rsidRDefault="000A2A2B" w:rsidP="007C3060">
            <w:r w:rsidRPr="007C3060">
              <w:t>fra kr 4 340 000 000 til kr 4 370 000 000</w:t>
            </w:r>
          </w:p>
        </w:tc>
        <w:tc>
          <w:tcPr>
            <w:tcW w:w="1717" w:type="dxa"/>
            <w:tcBorders>
              <w:top w:val="nil"/>
              <w:left w:val="nil"/>
              <w:bottom w:val="nil"/>
              <w:right w:val="nil"/>
            </w:tcBorders>
            <w:tcMar>
              <w:top w:w="128" w:type="dxa"/>
              <w:left w:w="43" w:type="dxa"/>
              <w:bottom w:w="43" w:type="dxa"/>
              <w:right w:w="43" w:type="dxa"/>
            </w:tcMar>
            <w:vAlign w:val="bottom"/>
          </w:tcPr>
          <w:p w14:paraId="340BE43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73E6553" w14:textId="77777777" w:rsidR="000A2A2B" w:rsidRPr="007C3060" w:rsidRDefault="000A2A2B" w:rsidP="007C3060"/>
        </w:tc>
      </w:tr>
      <w:tr w:rsidR="004B729E" w:rsidRPr="007C3060" w14:paraId="58F5D6D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E4B4505" w14:textId="77777777" w:rsidR="000A2A2B" w:rsidRPr="007C3060" w:rsidRDefault="000A2A2B" w:rsidP="007C3060">
            <w:r w:rsidRPr="007C3060">
              <w:t>667</w:t>
            </w:r>
          </w:p>
        </w:tc>
        <w:tc>
          <w:tcPr>
            <w:tcW w:w="992" w:type="dxa"/>
            <w:tcBorders>
              <w:top w:val="nil"/>
              <w:left w:val="nil"/>
              <w:bottom w:val="nil"/>
              <w:right w:val="nil"/>
            </w:tcBorders>
            <w:tcMar>
              <w:top w:w="128" w:type="dxa"/>
              <w:left w:w="43" w:type="dxa"/>
              <w:bottom w:w="43" w:type="dxa"/>
              <w:right w:w="123" w:type="dxa"/>
            </w:tcMar>
          </w:tcPr>
          <w:p w14:paraId="78A38AB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50E37CC" w14:textId="77777777" w:rsidR="000A2A2B" w:rsidRPr="007C3060" w:rsidRDefault="000A2A2B" w:rsidP="007C3060">
            <w:r w:rsidRPr="007C3060">
              <w:t>Supplerende stønad:</w:t>
            </w:r>
          </w:p>
        </w:tc>
        <w:tc>
          <w:tcPr>
            <w:tcW w:w="1717" w:type="dxa"/>
            <w:tcBorders>
              <w:top w:val="nil"/>
              <w:left w:val="nil"/>
              <w:bottom w:val="nil"/>
              <w:right w:val="nil"/>
            </w:tcBorders>
            <w:tcMar>
              <w:top w:w="128" w:type="dxa"/>
              <w:left w:w="43" w:type="dxa"/>
              <w:bottom w:w="43" w:type="dxa"/>
              <w:right w:w="43" w:type="dxa"/>
            </w:tcMar>
            <w:vAlign w:val="bottom"/>
          </w:tcPr>
          <w:p w14:paraId="7D7F5D5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A2D5A81" w14:textId="77777777" w:rsidR="000A2A2B" w:rsidRPr="007C3060" w:rsidRDefault="000A2A2B" w:rsidP="007C3060"/>
        </w:tc>
      </w:tr>
      <w:tr w:rsidR="004B729E" w:rsidRPr="007C3060" w14:paraId="5939256F"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A3EBC2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3C444A3"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1B89E45A" w14:textId="77777777" w:rsidR="000A2A2B" w:rsidRPr="007C3060" w:rsidRDefault="000A2A2B" w:rsidP="007C3060">
            <w:r w:rsidRPr="007C3060">
              <w:t xml:space="preserve">Tilskudd til personer over 67 år med kort botid, </w:t>
            </w:r>
            <w:r w:rsidRPr="007C3060">
              <w:rPr>
                <w:rStyle w:val="kursiv"/>
              </w:rPr>
              <w:t xml:space="preserve">-overslagsbevilgning,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140A20F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39EABFE" w14:textId="77777777" w:rsidR="000A2A2B" w:rsidRPr="007C3060" w:rsidRDefault="000A2A2B" w:rsidP="007C3060">
            <w:r w:rsidRPr="007C3060">
              <w:t>10 000 000</w:t>
            </w:r>
          </w:p>
        </w:tc>
      </w:tr>
      <w:tr w:rsidR="004B729E" w:rsidRPr="007C3060" w14:paraId="0350A17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05DFE5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0F2785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0FE7DD0" w14:textId="77777777" w:rsidR="000A2A2B" w:rsidRPr="007C3060" w:rsidRDefault="000A2A2B" w:rsidP="007C3060">
            <w:r w:rsidRPr="007C3060">
              <w:t>fra kr 420 000 000 til kr 410 000 000</w:t>
            </w:r>
          </w:p>
        </w:tc>
        <w:tc>
          <w:tcPr>
            <w:tcW w:w="1717" w:type="dxa"/>
            <w:tcBorders>
              <w:top w:val="nil"/>
              <w:left w:val="nil"/>
              <w:bottom w:val="nil"/>
              <w:right w:val="nil"/>
            </w:tcBorders>
            <w:tcMar>
              <w:top w:w="128" w:type="dxa"/>
              <w:left w:w="43" w:type="dxa"/>
              <w:bottom w:w="43" w:type="dxa"/>
              <w:right w:w="43" w:type="dxa"/>
            </w:tcMar>
            <w:vAlign w:val="bottom"/>
          </w:tcPr>
          <w:p w14:paraId="1E2D7A3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1B762A8" w14:textId="77777777" w:rsidR="000A2A2B" w:rsidRPr="007C3060" w:rsidRDefault="000A2A2B" w:rsidP="007C3060"/>
        </w:tc>
      </w:tr>
      <w:tr w:rsidR="004B729E" w:rsidRPr="007C3060" w14:paraId="166D1D96"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74F5BA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A7BCE17"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0A9E3096" w14:textId="77777777" w:rsidR="000A2A2B" w:rsidRPr="007C3060" w:rsidRDefault="000A2A2B" w:rsidP="007C3060">
            <w:r w:rsidRPr="007C3060">
              <w:t xml:space="preserve">Tilskudd til uføre flyktninger med kort botid, </w:t>
            </w:r>
            <w:r w:rsidRPr="007C3060">
              <w:rPr>
                <w:rStyle w:val="kursiv"/>
              </w:rPr>
              <w:t xml:space="preserve">-overslagsbevilgning, </w:t>
            </w:r>
            <w:r w:rsidRPr="007C3060">
              <w:t>forhøyes med</w:t>
            </w:r>
          </w:p>
        </w:tc>
        <w:tc>
          <w:tcPr>
            <w:tcW w:w="1717" w:type="dxa"/>
            <w:tcBorders>
              <w:top w:val="nil"/>
              <w:left w:val="nil"/>
              <w:bottom w:val="nil"/>
              <w:right w:val="nil"/>
            </w:tcBorders>
            <w:tcMar>
              <w:top w:w="128" w:type="dxa"/>
              <w:left w:w="43" w:type="dxa"/>
              <w:bottom w:w="43" w:type="dxa"/>
              <w:right w:w="43" w:type="dxa"/>
            </w:tcMar>
            <w:vAlign w:val="bottom"/>
          </w:tcPr>
          <w:p w14:paraId="71BA910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D59BB24" w14:textId="77777777" w:rsidR="000A2A2B" w:rsidRPr="007C3060" w:rsidRDefault="000A2A2B" w:rsidP="007C3060">
            <w:r w:rsidRPr="007C3060">
              <w:t>30 000 000</w:t>
            </w:r>
          </w:p>
        </w:tc>
      </w:tr>
      <w:tr w:rsidR="004B729E" w:rsidRPr="007C3060" w14:paraId="52C98CC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314BE3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DD2ED3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FE36D10" w14:textId="77777777" w:rsidR="000A2A2B" w:rsidRPr="007C3060" w:rsidRDefault="000A2A2B" w:rsidP="007C3060">
            <w:r w:rsidRPr="007C3060">
              <w:t>fra kr 260 000 000 til kr 290 000 000</w:t>
            </w:r>
          </w:p>
        </w:tc>
        <w:tc>
          <w:tcPr>
            <w:tcW w:w="1717" w:type="dxa"/>
            <w:tcBorders>
              <w:top w:val="nil"/>
              <w:left w:val="nil"/>
              <w:bottom w:val="nil"/>
              <w:right w:val="nil"/>
            </w:tcBorders>
            <w:tcMar>
              <w:top w:w="128" w:type="dxa"/>
              <w:left w:w="43" w:type="dxa"/>
              <w:bottom w:w="43" w:type="dxa"/>
              <w:right w:w="43" w:type="dxa"/>
            </w:tcMar>
            <w:vAlign w:val="bottom"/>
          </w:tcPr>
          <w:p w14:paraId="72DBD20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6165BB8" w14:textId="77777777" w:rsidR="000A2A2B" w:rsidRPr="007C3060" w:rsidRDefault="000A2A2B" w:rsidP="007C3060"/>
        </w:tc>
      </w:tr>
      <w:tr w:rsidR="004B729E" w:rsidRPr="007C3060" w14:paraId="01111C5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92A1CD6" w14:textId="77777777" w:rsidR="000A2A2B" w:rsidRPr="007C3060" w:rsidRDefault="000A2A2B" w:rsidP="007C3060">
            <w:r w:rsidRPr="007C3060">
              <w:t>671</w:t>
            </w:r>
          </w:p>
        </w:tc>
        <w:tc>
          <w:tcPr>
            <w:tcW w:w="992" w:type="dxa"/>
            <w:tcBorders>
              <w:top w:val="nil"/>
              <w:left w:val="nil"/>
              <w:bottom w:val="nil"/>
              <w:right w:val="nil"/>
            </w:tcBorders>
            <w:tcMar>
              <w:top w:w="128" w:type="dxa"/>
              <w:left w:w="43" w:type="dxa"/>
              <w:bottom w:w="43" w:type="dxa"/>
              <w:right w:w="123" w:type="dxa"/>
            </w:tcMar>
          </w:tcPr>
          <w:p w14:paraId="7FA10B3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0383623" w14:textId="77777777" w:rsidR="000A2A2B" w:rsidRPr="007C3060" w:rsidRDefault="000A2A2B" w:rsidP="007C3060">
            <w:r w:rsidRPr="007C3060">
              <w:t>Bosetting av flyktninger og tiltak for innvandrere:</w:t>
            </w:r>
          </w:p>
        </w:tc>
        <w:tc>
          <w:tcPr>
            <w:tcW w:w="1717" w:type="dxa"/>
            <w:tcBorders>
              <w:top w:val="nil"/>
              <w:left w:val="nil"/>
              <w:bottom w:val="nil"/>
              <w:right w:val="nil"/>
            </w:tcBorders>
            <w:tcMar>
              <w:top w:w="128" w:type="dxa"/>
              <w:left w:w="43" w:type="dxa"/>
              <w:bottom w:w="43" w:type="dxa"/>
              <w:right w:w="43" w:type="dxa"/>
            </w:tcMar>
            <w:vAlign w:val="bottom"/>
          </w:tcPr>
          <w:p w14:paraId="6781D1F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A6147EC" w14:textId="77777777" w:rsidR="000A2A2B" w:rsidRPr="007C3060" w:rsidRDefault="000A2A2B" w:rsidP="007C3060"/>
        </w:tc>
      </w:tr>
      <w:tr w:rsidR="004B729E" w:rsidRPr="007C3060" w14:paraId="797D47C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87966A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464438E" w14:textId="77777777" w:rsidR="000A2A2B" w:rsidRPr="007C3060" w:rsidRDefault="000A2A2B" w:rsidP="007C3060">
            <w:r w:rsidRPr="007C3060">
              <w:t>60</w:t>
            </w:r>
          </w:p>
        </w:tc>
        <w:tc>
          <w:tcPr>
            <w:tcW w:w="4819" w:type="dxa"/>
            <w:tcBorders>
              <w:top w:val="nil"/>
              <w:left w:val="nil"/>
              <w:bottom w:val="nil"/>
              <w:right w:val="nil"/>
            </w:tcBorders>
            <w:tcMar>
              <w:top w:w="128" w:type="dxa"/>
              <w:left w:w="43" w:type="dxa"/>
              <w:bottom w:w="43" w:type="dxa"/>
              <w:right w:w="43" w:type="dxa"/>
            </w:tcMar>
          </w:tcPr>
          <w:p w14:paraId="05805B9E" w14:textId="77777777" w:rsidR="000A2A2B" w:rsidRPr="007C3060" w:rsidRDefault="000A2A2B" w:rsidP="007C3060">
            <w:r w:rsidRPr="007C3060">
              <w:t xml:space="preserve">Integreringstilskudd,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284780F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tcPr>
          <w:p w14:paraId="5A2C887F" w14:textId="77777777" w:rsidR="000A2A2B" w:rsidRPr="007C3060" w:rsidRDefault="000A2A2B" w:rsidP="007C3060">
            <w:r w:rsidRPr="007C3060">
              <w:t>1 804 300 000</w:t>
            </w:r>
          </w:p>
        </w:tc>
      </w:tr>
      <w:tr w:rsidR="004B729E" w:rsidRPr="007C3060" w14:paraId="3639AA4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637014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738909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0104A4B" w14:textId="77777777" w:rsidR="000A2A2B" w:rsidRPr="007C3060" w:rsidRDefault="000A2A2B" w:rsidP="007C3060">
            <w:r w:rsidRPr="007C3060">
              <w:t>fra kr 22 909 550 000 til kr 21 105 250 000</w:t>
            </w:r>
          </w:p>
        </w:tc>
        <w:tc>
          <w:tcPr>
            <w:tcW w:w="1717" w:type="dxa"/>
            <w:tcBorders>
              <w:top w:val="nil"/>
              <w:left w:val="nil"/>
              <w:bottom w:val="nil"/>
              <w:right w:val="nil"/>
            </w:tcBorders>
            <w:tcMar>
              <w:top w:w="128" w:type="dxa"/>
              <w:left w:w="43" w:type="dxa"/>
              <w:bottom w:w="43" w:type="dxa"/>
              <w:right w:w="43" w:type="dxa"/>
            </w:tcMar>
            <w:vAlign w:val="bottom"/>
          </w:tcPr>
          <w:p w14:paraId="3BFF241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6188882" w14:textId="77777777" w:rsidR="000A2A2B" w:rsidRPr="007C3060" w:rsidRDefault="000A2A2B" w:rsidP="007C3060"/>
        </w:tc>
      </w:tr>
      <w:tr w:rsidR="004B729E" w:rsidRPr="007C3060" w14:paraId="7990E822"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D45874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F64B9AA" w14:textId="77777777" w:rsidR="000A2A2B" w:rsidRPr="007C3060" w:rsidRDefault="000A2A2B" w:rsidP="007C3060">
            <w:r w:rsidRPr="007C3060">
              <w:t>61</w:t>
            </w:r>
          </w:p>
        </w:tc>
        <w:tc>
          <w:tcPr>
            <w:tcW w:w="4819" w:type="dxa"/>
            <w:tcBorders>
              <w:top w:val="nil"/>
              <w:left w:val="nil"/>
              <w:bottom w:val="nil"/>
              <w:right w:val="nil"/>
            </w:tcBorders>
            <w:tcMar>
              <w:top w:w="128" w:type="dxa"/>
              <w:left w:w="43" w:type="dxa"/>
              <w:bottom w:w="43" w:type="dxa"/>
              <w:right w:w="43" w:type="dxa"/>
            </w:tcMar>
            <w:vAlign w:val="bottom"/>
          </w:tcPr>
          <w:p w14:paraId="66339209" w14:textId="77777777" w:rsidR="000A2A2B" w:rsidRPr="007C3060" w:rsidRDefault="000A2A2B" w:rsidP="007C3060">
            <w:r w:rsidRPr="007C3060">
              <w:t xml:space="preserve">Særskilt tilskudd ved bosetting av enslige, mindreårige flyktninger, </w:t>
            </w:r>
            <w:r w:rsidRPr="007C3060">
              <w:rPr>
                <w:rStyle w:val="kursiv"/>
              </w:rPr>
              <w:t>overslagsbevilgning,</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637656F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DF2E03A" w14:textId="77777777" w:rsidR="000A2A2B" w:rsidRPr="007C3060" w:rsidRDefault="000A2A2B" w:rsidP="007C3060">
            <w:r w:rsidRPr="007C3060">
              <w:t>181 300 000</w:t>
            </w:r>
          </w:p>
        </w:tc>
      </w:tr>
      <w:tr w:rsidR="004B729E" w:rsidRPr="007C3060" w14:paraId="3D883A8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726631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6B4B4F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D8E2284" w14:textId="77777777" w:rsidR="000A2A2B" w:rsidRPr="007C3060" w:rsidRDefault="000A2A2B" w:rsidP="007C3060">
            <w:r w:rsidRPr="007C3060">
              <w:t>fra kr 2 170 701 000 til kr 1 989 401 000</w:t>
            </w:r>
          </w:p>
        </w:tc>
        <w:tc>
          <w:tcPr>
            <w:tcW w:w="1717" w:type="dxa"/>
            <w:tcBorders>
              <w:top w:val="nil"/>
              <w:left w:val="nil"/>
              <w:bottom w:val="nil"/>
              <w:right w:val="nil"/>
            </w:tcBorders>
            <w:tcMar>
              <w:top w:w="128" w:type="dxa"/>
              <w:left w:w="43" w:type="dxa"/>
              <w:bottom w:w="43" w:type="dxa"/>
              <w:right w:w="43" w:type="dxa"/>
            </w:tcMar>
            <w:vAlign w:val="bottom"/>
          </w:tcPr>
          <w:p w14:paraId="50CF1F2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4EB2F74" w14:textId="77777777" w:rsidR="000A2A2B" w:rsidRPr="007C3060" w:rsidRDefault="000A2A2B" w:rsidP="007C3060"/>
        </w:tc>
      </w:tr>
      <w:tr w:rsidR="004B729E" w:rsidRPr="007C3060" w14:paraId="3994C49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E3A082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357F2CD" w14:textId="77777777" w:rsidR="000A2A2B" w:rsidRPr="007C3060" w:rsidRDefault="000A2A2B" w:rsidP="007C3060">
            <w:r w:rsidRPr="007C3060">
              <w:t>62</w:t>
            </w:r>
          </w:p>
        </w:tc>
        <w:tc>
          <w:tcPr>
            <w:tcW w:w="4819" w:type="dxa"/>
            <w:tcBorders>
              <w:top w:val="nil"/>
              <w:left w:val="nil"/>
              <w:bottom w:val="nil"/>
              <w:right w:val="nil"/>
            </w:tcBorders>
            <w:tcMar>
              <w:top w:w="128" w:type="dxa"/>
              <w:left w:w="43" w:type="dxa"/>
              <w:bottom w:w="43" w:type="dxa"/>
              <w:right w:w="43" w:type="dxa"/>
            </w:tcMar>
            <w:vAlign w:val="bottom"/>
          </w:tcPr>
          <w:p w14:paraId="600A5725" w14:textId="77777777" w:rsidR="000A2A2B" w:rsidRPr="007C3060" w:rsidRDefault="000A2A2B" w:rsidP="007C3060">
            <w:r w:rsidRPr="007C3060">
              <w:t>Kommunale integreringstiltak, forhøyes med</w:t>
            </w:r>
          </w:p>
        </w:tc>
        <w:tc>
          <w:tcPr>
            <w:tcW w:w="1717" w:type="dxa"/>
            <w:tcBorders>
              <w:top w:val="nil"/>
              <w:left w:val="nil"/>
              <w:bottom w:val="nil"/>
              <w:right w:val="nil"/>
            </w:tcBorders>
            <w:tcMar>
              <w:top w:w="128" w:type="dxa"/>
              <w:left w:w="43" w:type="dxa"/>
              <w:bottom w:w="43" w:type="dxa"/>
              <w:right w:w="43" w:type="dxa"/>
            </w:tcMar>
            <w:vAlign w:val="bottom"/>
          </w:tcPr>
          <w:p w14:paraId="07BE1AE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31A0DEB" w14:textId="77777777" w:rsidR="000A2A2B" w:rsidRPr="007C3060" w:rsidRDefault="000A2A2B" w:rsidP="007C3060">
            <w:r w:rsidRPr="007C3060">
              <w:t>1 718 000</w:t>
            </w:r>
          </w:p>
        </w:tc>
      </w:tr>
      <w:tr w:rsidR="004B729E" w:rsidRPr="007C3060" w14:paraId="3A15B41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B46B4F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29A297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F35DF72" w14:textId="77777777" w:rsidR="000A2A2B" w:rsidRPr="007C3060" w:rsidRDefault="000A2A2B" w:rsidP="007C3060">
            <w:r w:rsidRPr="007C3060">
              <w:t>fra kr 337 587 000 til kr 339 305 000</w:t>
            </w:r>
          </w:p>
        </w:tc>
        <w:tc>
          <w:tcPr>
            <w:tcW w:w="1717" w:type="dxa"/>
            <w:tcBorders>
              <w:top w:val="nil"/>
              <w:left w:val="nil"/>
              <w:bottom w:val="nil"/>
              <w:right w:val="nil"/>
            </w:tcBorders>
            <w:tcMar>
              <w:top w:w="128" w:type="dxa"/>
              <w:left w:w="43" w:type="dxa"/>
              <w:bottom w:w="43" w:type="dxa"/>
              <w:right w:w="43" w:type="dxa"/>
            </w:tcMar>
            <w:vAlign w:val="bottom"/>
          </w:tcPr>
          <w:p w14:paraId="00CA061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1594E17" w14:textId="77777777" w:rsidR="000A2A2B" w:rsidRPr="007C3060" w:rsidRDefault="000A2A2B" w:rsidP="007C3060"/>
        </w:tc>
      </w:tr>
      <w:tr w:rsidR="004B729E" w:rsidRPr="007C3060" w14:paraId="387C3102"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DAB3663" w14:textId="77777777" w:rsidR="000A2A2B" w:rsidRPr="007C3060" w:rsidRDefault="000A2A2B" w:rsidP="007C3060">
            <w:r w:rsidRPr="007C3060">
              <w:t>672</w:t>
            </w:r>
          </w:p>
        </w:tc>
        <w:tc>
          <w:tcPr>
            <w:tcW w:w="992" w:type="dxa"/>
            <w:tcBorders>
              <w:top w:val="nil"/>
              <w:left w:val="nil"/>
              <w:bottom w:val="nil"/>
              <w:right w:val="nil"/>
            </w:tcBorders>
            <w:tcMar>
              <w:top w:w="128" w:type="dxa"/>
              <w:left w:w="43" w:type="dxa"/>
              <w:bottom w:w="43" w:type="dxa"/>
              <w:right w:w="123" w:type="dxa"/>
            </w:tcMar>
          </w:tcPr>
          <w:p w14:paraId="5C52783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2DAA062" w14:textId="77777777" w:rsidR="000A2A2B" w:rsidRPr="007C3060" w:rsidRDefault="000A2A2B" w:rsidP="007C3060">
            <w:r w:rsidRPr="007C3060">
              <w:t>Opplæring i norsk og samfunnskunnskap for voksne -innvandrere:</w:t>
            </w:r>
          </w:p>
        </w:tc>
        <w:tc>
          <w:tcPr>
            <w:tcW w:w="1717" w:type="dxa"/>
            <w:tcBorders>
              <w:top w:val="nil"/>
              <w:left w:val="nil"/>
              <w:bottom w:val="nil"/>
              <w:right w:val="nil"/>
            </w:tcBorders>
            <w:tcMar>
              <w:top w:w="128" w:type="dxa"/>
              <w:left w:w="43" w:type="dxa"/>
              <w:bottom w:w="43" w:type="dxa"/>
              <w:right w:w="43" w:type="dxa"/>
            </w:tcMar>
            <w:vAlign w:val="bottom"/>
          </w:tcPr>
          <w:p w14:paraId="7847B79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25B6D47" w14:textId="77777777" w:rsidR="000A2A2B" w:rsidRPr="007C3060" w:rsidRDefault="000A2A2B" w:rsidP="007C3060"/>
        </w:tc>
      </w:tr>
      <w:tr w:rsidR="004B729E" w:rsidRPr="007C3060" w14:paraId="4FB3C13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0F70E91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9AA6573" w14:textId="77777777" w:rsidR="000A2A2B" w:rsidRPr="007C3060" w:rsidRDefault="000A2A2B" w:rsidP="007C3060">
            <w:r w:rsidRPr="007C3060">
              <w:t>60</w:t>
            </w:r>
          </w:p>
        </w:tc>
        <w:tc>
          <w:tcPr>
            <w:tcW w:w="4819" w:type="dxa"/>
            <w:tcBorders>
              <w:top w:val="nil"/>
              <w:left w:val="nil"/>
              <w:bottom w:val="nil"/>
              <w:right w:val="nil"/>
            </w:tcBorders>
            <w:tcMar>
              <w:top w:w="128" w:type="dxa"/>
              <w:left w:w="43" w:type="dxa"/>
              <w:bottom w:w="43" w:type="dxa"/>
              <w:right w:w="43" w:type="dxa"/>
            </w:tcMar>
            <w:vAlign w:val="bottom"/>
          </w:tcPr>
          <w:p w14:paraId="1902EE08" w14:textId="77777777" w:rsidR="000A2A2B" w:rsidRPr="007C3060" w:rsidRDefault="000A2A2B" w:rsidP="007C3060">
            <w:r w:rsidRPr="007C3060">
              <w:t>Tilskudd til opplæring i norsk og samfunnskunnskap for voksne -innvandrere, nedsettes med</w:t>
            </w:r>
          </w:p>
        </w:tc>
        <w:tc>
          <w:tcPr>
            <w:tcW w:w="1717" w:type="dxa"/>
            <w:tcBorders>
              <w:top w:val="nil"/>
              <w:left w:val="nil"/>
              <w:bottom w:val="nil"/>
              <w:right w:val="nil"/>
            </w:tcBorders>
            <w:tcMar>
              <w:top w:w="128" w:type="dxa"/>
              <w:left w:w="43" w:type="dxa"/>
              <w:bottom w:w="43" w:type="dxa"/>
              <w:right w:w="43" w:type="dxa"/>
            </w:tcMar>
            <w:vAlign w:val="bottom"/>
          </w:tcPr>
          <w:p w14:paraId="2072691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379749" w14:textId="77777777" w:rsidR="000A2A2B" w:rsidRPr="007C3060" w:rsidRDefault="000A2A2B" w:rsidP="007C3060">
            <w:r w:rsidRPr="007C3060">
              <w:t>55 300 000</w:t>
            </w:r>
          </w:p>
        </w:tc>
      </w:tr>
      <w:tr w:rsidR="004B729E" w:rsidRPr="007C3060" w14:paraId="7DAC27A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E08DBF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4EC2D6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397E1D4" w14:textId="77777777" w:rsidR="000A2A2B" w:rsidRPr="007C3060" w:rsidRDefault="000A2A2B" w:rsidP="007C3060">
            <w:r w:rsidRPr="007C3060">
              <w:t>fra kr 2 025 416 000 til kr 1 970 116 000</w:t>
            </w:r>
          </w:p>
        </w:tc>
        <w:tc>
          <w:tcPr>
            <w:tcW w:w="1717" w:type="dxa"/>
            <w:tcBorders>
              <w:top w:val="nil"/>
              <w:left w:val="nil"/>
              <w:bottom w:val="nil"/>
              <w:right w:val="nil"/>
            </w:tcBorders>
            <w:tcMar>
              <w:top w:w="128" w:type="dxa"/>
              <w:left w:w="43" w:type="dxa"/>
              <w:bottom w:w="43" w:type="dxa"/>
              <w:right w:w="43" w:type="dxa"/>
            </w:tcMar>
            <w:vAlign w:val="bottom"/>
          </w:tcPr>
          <w:p w14:paraId="14BF481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93CD460" w14:textId="77777777" w:rsidR="000A2A2B" w:rsidRPr="007C3060" w:rsidRDefault="000A2A2B" w:rsidP="007C3060"/>
        </w:tc>
      </w:tr>
      <w:tr w:rsidR="004B729E" w:rsidRPr="007C3060" w14:paraId="443D3679"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07B695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9855014" w14:textId="77777777" w:rsidR="000A2A2B" w:rsidRPr="007C3060" w:rsidRDefault="000A2A2B" w:rsidP="007C3060">
            <w:r w:rsidRPr="007C3060">
              <w:t>61</w:t>
            </w:r>
          </w:p>
        </w:tc>
        <w:tc>
          <w:tcPr>
            <w:tcW w:w="4819" w:type="dxa"/>
            <w:tcBorders>
              <w:top w:val="nil"/>
              <w:left w:val="nil"/>
              <w:bottom w:val="nil"/>
              <w:right w:val="nil"/>
            </w:tcBorders>
            <w:tcMar>
              <w:top w:w="128" w:type="dxa"/>
              <w:left w:w="43" w:type="dxa"/>
              <w:bottom w:w="43" w:type="dxa"/>
              <w:right w:w="43" w:type="dxa"/>
            </w:tcMar>
            <w:vAlign w:val="bottom"/>
          </w:tcPr>
          <w:p w14:paraId="7A5DD372" w14:textId="385748CB" w:rsidR="000A2A2B" w:rsidRPr="007C3060" w:rsidRDefault="000A2A2B" w:rsidP="007C3060">
            <w:r w:rsidRPr="007C3060">
              <w:t>Kompetansekartlegging i mottak før bosetting, nedsettes med</w:t>
            </w:r>
          </w:p>
        </w:tc>
        <w:tc>
          <w:tcPr>
            <w:tcW w:w="1717" w:type="dxa"/>
            <w:tcBorders>
              <w:top w:val="nil"/>
              <w:left w:val="nil"/>
              <w:bottom w:val="nil"/>
              <w:right w:val="nil"/>
            </w:tcBorders>
            <w:tcMar>
              <w:top w:w="128" w:type="dxa"/>
              <w:left w:w="43" w:type="dxa"/>
              <w:bottom w:w="43" w:type="dxa"/>
              <w:right w:w="43" w:type="dxa"/>
            </w:tcMar>
            <w:vAlign w:val="bottom"/>
          </w:tcPr>
          <w:p w14:paraId="7C85C7D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350F7BF" w14:textId="77777777" w:rsidR="000A2A2B" w:rsidRPr="007C3060" w:rsidRDefault="000A2A2B" w:rsidP="007C3060">
            <w:r w:rsidRPr="007C3060">
              <w:t>600 000</w:t>
            </w:r>
          </w:p>
        </w:tc>
      </w:tr>
      <w:tr w:rsidR="004B729E" w:rsidRPr="007C3060" w14:paraId="5A1916B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B5FA2D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EF7C92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2EBF6E5" w14:textId="77777777" w:rsidR="000A2A2B" w:rsidRPr="007C3060" w:rsidRDefault="000A2A2B" w:rsidP="007C3060">
            <w:r w:rsidRPr="007C3060">
              <w:t>fra kr 1 585 000 til kr 985 000</w:t>
            </w:r>
          </w:p>
        </w:tc>
        <w:tc>
          <w:tcPr>
            <w:tcW w:w="1717" w:type="dxa"/>
            <w:tcBorders>
              <w:top w:val="nil"/>
              <w:left w:val="nil"/>
              <w:bottom w:val="nil"/>
              <w:right w:val="nil"/>
            </w:tcBorders>
            <w:tcMar>
              <w:top w:w="128" w:type="dxa"/>
              <w:left w:w="43" w:type="dxa"/>
              <w:bottom w:w="43" w:type="dxa"/>
              <w:right w:w="43" w:type="dxa"/>
            </w:tcMar>
            <w:vAlign w:val="bottom"/>
          </w:tcPr>
          <w:p w14:paraId="516B64F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00E27C9" w14:textId="77777777" w:rsidR="000A2A2B" w:rsidRPr="007C3060" w:rsidRDefault="000A2A2B" w:rsidP="007C3060"/>
        </w:tc>
      </w:tr>
      <w:tr w:rsidR="004B729E" w:rsidRPr="007C3060" w14:paraId="3386EDB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F8A773B" w14:textId="77777777" w:rsidR="000A2A2B" w:rsidRPr="007C3060" w:rsidRDefault="000A2A2B" w:rsidP="007C3060">
            <w:r w:rsidRPr="007C3060">
              <w:t>701</w:t>
            </w:r>
          </w:p>
        </w:tc>
        <w:tc>
          <w:tcPr>
            <w:tcW w:w="992" w:type="dxa"/>
            <w:tcBorders>
              <w:top w:val="nil"/>
              <w:left w:val="nil"/>
              <w:bottom w:val="nil"/>
              <w:right w:val="nil"/>
            </w:tcBorders>
            <w:tcMar>
              <w:top w:w="128" w:type="dxa"/>
              <w:left w:w="43" w:type="dxa"/>
              <w:bottom w:w="43" w:type="dxa"/>
              <w:right w:w="123" w:type="dxa"/>
            </w:tcMar>
          </w:tcPr>
          <w:p w14:paraId="4E0CBDB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9D7FB69" w14:textId="77777777" w:rsidR="000A2A2B" w:rsidRPr="007C3060" w:rsidRDefault="000A2A2B" w:rsidP="007C3060">
            <w:r w:rsidRPr="007C3060">
              <w:t>Digitalisering i helse- og omsorgstjenesten:</w:t>
            </w:r>
          </w:p>
        </w:tc>
        <w:tc>
          <w:tcPr>
            <w:tcW w:w="1717" w:type="dxa"/>
            <w:tcBorders>
              <w:top w:val="nil"/>
              <w:left w:val="nil"/>
              <w:bottom w:val="nil"/>
              <w:right w:val="nil"/>
            </w:tcBorders>
            <w:tcMar>
              <w:top w:w="128" w:type="dxa"/>
              <w:left w:w="43" w:type="dxa"/>
              <w:bottom w:w="43" w:type="dxa"/>
              <w:right w:w="43" w:type="dxa"/>
            </w:tcMar>
            <w:vAlign w:val="bottom"/>
          </w:tcPr>
          <w:p w14:paraId="4DD4DFB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A97FB0C" w14:textId="77777777" w:rsidR="000A2A2B" w:rsidRPr="007C3060" w:rsidRDefault="000A2A2B" w:rsidP="007C3060"/>
        </w:tc>
      </w:tr>
      <w:tr w:rsidR="004B729E" w:rsidRPr="007C3060" w14:paraId="7104429E"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A59CD0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21C9AE8"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5E6F83AE" w14:textId="07906A24" w:rsidR="000A2A2B" w:rsidRPr="007C3060" w:rsidRDefault="000A2A2B" w:rsidP="007C3060">
            <w:r w:rsidRPr="007C3060">
              <w:t xml:space="preserve">Spesielle driftsutgifter, </w:t>
            </w:r>
            <w:r w:rsidRPr="007C3060">
              <w:rPr>
                <w:rStyle w:val="kursiv"/>
              </w:rPr>
              <w:t>kan overføres, kan nyttes under post 70,</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71B9C6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94BEE5C" w14:textId="77777777" w:rsidR="000A2A2B" w:rsidRPr="007C3060" w:rsidRDefault="000A2A2B" w:rsidP="007C3060">
            <w:r w:rsidRPr="007C3060">
              <w:t>24 100 000</w:t>
            </w:r>
          </w:p>
        </w:tc>
      </w:tr>
      <w:tr w:rsidR="004B729E" w:rsidRPr="007C3060" w14:paraId="41545F5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B7CA9B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8870D1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00D4B99" w14:textId="77777777" w:rsidR="000A2A2B" w:rsidRPr="007C3060" w:rsidRDefault="000A2A2B" w:rsidP="007C3060">
            <w:r w:rsidRPr="007C3060">
              <w:t>fra kr 322 597 000 til kr 298 497 000</w:t>
            </w:r>
          </w:p>
        </w:tc>
        <w:tc>
          <w:tcPr>
            <w:tcW w:w="1717" w:type="dxa"/>
            <w:tcBorders>
              <w:top w:val="nil"/>
              <w:left w:val="nil"/>
              <w:bottom w:val="nil"/>
              <w:right w:val="nil"/>
            </w:tcBorders>
            <w:tcMar>
              <w:top w:w="128" w:type="dxa"/>
              <w:left w:w="43" w:type="dxa"/>
              <w:bottom w:w="43" w:type="dxa"/>
              <w:right w:w="43" w:type="dxa"/>
            </w:tcMar>
            <w:vAlign w:val="bottom"/>
          </w:tcPr>
          <w:p w14:paraId="591A012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5ABF7F5" w14:textId="77777777" w:rsidR="000A2A2B" w:rsidRPr="007C3060" w:rsidRDefault="000A2A2B" w:rsidP="007C3060"/>
        </w:tc>
      </w:tr>
      <w:tr w:rsidR="004B729E" w:rsidRPr="007C3060" w14:paraId="12FBF85F"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CD9CD8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AAE1D0B" w14:textId="77777777" w:rsidR="000A2A2B" w:rsidRPr="007C3060" w:rsidRDefault="000A2A2B" w:rsidP="007C3060">
            <w:r w:rsidRPr="007C3060">
              <w:t>60</w:t>
            </w:r>
          </w:p>
        </w:tc>
        <w:tc>
          <w:tcPr>
            <w:tcW w:w="4819" w:type="dxa"/>
            <w:tcBorders>
              <w:top w:val="nil"/>
              <w:left w:val="nil"/>
              <w:bottom w:val="nil"/>
              <w:right w:val="nil"/>
            </w:tcBorders>
            <w:tcMar>
              <w:top w:w="128" w:type="dxa"/>
              <w:left w:w="43" w:type="dxa"/>
              <w:bottom w:w="43" w:type="dxa"/>
              <w:right w:w="43" w:type="dxa"/>
            </w:tcMar>
            <w:vAlign w:val="bottom"/>
          </w:tcPr>
          <w:p w14:paraId="749CEB89" w14:textId="77777777" w:rsidR="000A2A2B" w:rsidRPr="007C3060" w:rsidRDefault="000A2A2B" w:rsidP="007C3060">
            <w:r w:rsidRPr="007C3060">
              <w:t>Tilskudd til helseteknologi i kommunal helse- og -omsorgstjeneste, forhøyes med</w:t>
            </w:r>
          </w:p>
        </w:tc>
        <w:tc>
          <w:tcPr>
            <w:tcW w:w="1717" w:type="dxa"/>
            <w:tcBorders>
              <w:top w:val="nil"/>
              <w:left w:val="nil"/>
              <w:bottom w:val="nil"/>
              <w:right w:val="nil"/>
            </w:tcBorders>
            <w:tcMar>
              <w:top w:w="128" w:type="dxa"/>
              <w:left w:w="43" w:type="dxa"/>
              <w:bottom w:w="43" w:type="dxa"/>
              <w:right w:w="43" w:type="dxa"/>
            </w:tcMar>
            <w:vAlign w:val="bottom"/>
          </w:tcPr>
          <w:p w14:paraId="4304DDF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CC4BFB9" w14:textId="77777777" w:rsidR="000A2A2B" w:rsidRPr="007C3060" w:rsidRDefault="000A2A2B" w:rsidP="007C3060">
            <w:r w:rsidRPr="007C3060">
              <w:t>18 600 000</w:t>
            </w:r>
          </w:p>
        </w:tc>
      </w:tr>
      <w:tr w:rsidR="004B729E" w:rsidRPr="007C3060" w14:paraId="785D7E1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774180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BCA6AE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F74201F" w14:textId="77777777" w:rsidR="000A2A2B" w:rsidRPr="007C3060" w:rsidRDefault="000A2A2B" w:rsidP="007C3060">
            <w:r w:rsidRPr="007C3060">
              <w:t>fra kr 71 211 000 til kr 89 811 000</w:t>
            </w:r>
          </w:p>
        </w:tc>
        <w:tc>
          <w:tcPr>
            <w:tcW w:w="1717" w:type="dxa"/>
            <w:tcBorders>
              <w:top w:val="nil"/>
              <w:left w:val="nil"/>
              <w:bottom w:val="nil"/>
              <w:right w:val="nil"/>
            </w:tcBorders>
            <w:tcMar>
              <w:top w:w="128" w:type="dxa"/>
              <w:left w:w="43" w:type="dxa"/>
              <w:bottom w:w="43" w:type="dxa"/>
              <w:right w:w="43" w:type="dxa"/>
            </w:tcMar>
            <w:vAlign w:val="bottom"/>
          </w:tcPr>
          <w:p w14:paraId="3501170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5DC8817" w14:textId="77777777" w:rsidR="000A2A2B" w:rsidRPr="007C3060" w:rsidRDefault="000A2A2B" w:rsidP="007C3060"/>
        </w:tc>
      </w:tr>
      <w:tr w:rsidR="004B729E" w:rsidRPr="007C3060" w14:paraId="4166054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5BB5136" w14:textId="77777777" w:rsidR="000A2A2B" w:rsidRPr="007C3060" w:rsidRDefault="000A2A2B" w:rsidP="007C3060">
            <w:r w:rsidRPr="007C3060">
              <w:t>703</w:t>
            </w:r>
          </w:p>
        </w:tc>
        <w:tc>
          <w:tcPr>
            <w:tcW w:w="992" w:type="dxa"/>
            <w:tcBorders>
              <w:top w:val="nil"/>
              <w:left w:val="nil"/>
              <w:bottom w:val="nil"/>
              <w:right w:val="nil"/>
            </w:tcBorders>
            <w:tcMar>
              <w:top w:w="128" w:type="dxa"/>
              <w:left w:w="43" w:type="dxa"/>
              <w:bottom w:w="43" w:type="dxa"/>
              <w:right w:w="123" w:type="dxa"/>
            </w:tcMar>
          </w:tcPr>
          <w:p w14:paraId="6E274D1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4C49E2D" w14:textId="77777777" w:rsidR="000A2A2B" w:rsidRPr="007C3060" w:rsidRDefault="000A2A2B" w:rsidP="007C3060">
            <w:r w:rsidRPr="007C3060">
              <w:t>Internasjonalt samarbeid:</w:t>
            </w:r>
          </w:p>
        </w:tc>
        <w:tc>
          <w:tcPr>
            <w:tcW w:w="1717" w:type="dxa"/>
            <w:tcBorders>
              <w:top w:val="nil"/>
              <w:left w:val="nil"/>
              <w:bottom w:val="nil"/>
              <w:right w:val="nil"/>
            </w:tcBorders>
            <w:tcMar>
              <w:top w:w="128" w:type="dxa"/>
              <w:left w:w="43" w:type="dxa"/>
              <w:bottom w:w="43" w:type="dxa"/>
              <w:right w:w="43" w:type="dxa"/>
            </w:tcMar>
            <w:vAlign w:val="bottom"/>
          </w:tcPr>
          <w:p w14:paraId="35F5214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8098CAA" w14:textId="77777777" w:rsidR="000A2A2B" w:rsidRPr="007C3060" w:rsidRDefault="000A2A2B" w:rsidP="007C3060"/>
        </w:tc>
      </w:tr>
      <w:tr w:rsidR="004B729E" w:rsidRPr="007C3060" w14:paraId="559BE35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1E4BB5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EF32CC7"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1209AF08" w14:textId="77777777" w:rsidR="000A2A2B" w:rsidRPr="007C3060" w:rsidRDefault="000A2A2B" w:rsidP="007C3060">
            <w:r w:rsidRPr="007C3060">
              <w:t>Internasjonale organisasjoner, nedsettes med</w:t>
            </w:r>
          </w:p>
        </w:tc>
        <w:tc>
          <w:tcPr>
            <w:tcW w:w="1717" w:type="dxa"/>
            <w:tcBorders>
              <w:top w:val="nil"/>
              <w:left w:val="nil"/>
              <w:bottom w:val="nil"/>
              <w:right w:val="nil"/>
            </w:tcBorders>
            <w:tcMar>
              <w:top w:w="128" w:type="dxa"/>
              <w:left w:w="43" w:type="dxa"/>
              <w:bottom w:w="43" w:type="dxa"/>
              <w:right w:w="43" w:type="dxa"/>
            </w:tcMar>
            <w:vAlign w:val="bottom"/>
          </w:tcPr>
          <w:p w14:paraId="188C7D2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A92FCE" w14:textId="77777777" w:rsidR="000A2A2B" w:rsidRPr="007C3060" w:rsidRDefault="000A2A2B" w:rsidP="007C3060">
            <w:r w:rsidRPr="007C3060">
              <w:t>29 300 000</w:t>
            </w:r>
          </w:p>
        </w:tc>
      </w:tr>
      <w:tr w:rsidR="004B729E" w:rsidRPr="007C3060" w14:paraId="3804ACF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86DD4A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883E62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7215E0E" w14:textId="77777777" w:rsidR="000A2A2B" w:rsidRPr="007C3060" w:rsidRDefault="000A2A2B" w:rsidP="007C3060">
            <w:r w:rsidRPr="007C3060">
              <w:t>fra kr 262 417 000 til kr 233 117 000</w:t>
            </w:r>
          </w:p>
        </w:tc>
        <w:tc>
          <w:tcPr>
            <w:tcW w:w="1717" w:type="dxa"/>
            <w:tcBorders>
              <w:top w:val="nil"/>
              <w:left w:val="nil"/>
              <w:bottom w:val="nil"/>
              <w:right w:val="nil"/>
            </w:tcBorders>
            <w:tcMar>
              <w:top w:w="128" w:type="dxa"/>
              <w:left w:w="43" w:type="dxa"/>
              <w:bottom w:w="43" w:type="dxa"/>
              <w:right w:w="43" w:type="dxa"/>
            </w:tcMar>
            <w:vAlign w:val="bottom"/>
          </w:tcPr>
          <w:p w14:paraId="66220A8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2FB269A" w14:textId="77777777" w:rsidR="000A2A2B" w:rsidRPr="007C3060" w:rsidRDefault="000A2A2B" w:rsidP="007C3060"/>
        </w:tc>
      </w:tr>
      <w:tr w:rsidR="004B729E" w:rsidRPr="007C3060" w14:paraId="063D104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66BB94D" w14:textId="77777777" w:rsidR="000A2A2B" w:rsidRPr="007C3060" w:rsidRDefault="000A2A2B" w:rsidP="007C3060">
            <w:r w:rsidRPr="007C3060">
              <w:t>710</w:t>
            </w:r>
          </w:p>
        </w:tc>
        <w:tc>
          <w:tcPr>
            <w:tcW w:w="992" w:type="dxa"/>
            <w:tcBorders>
              <w:top w:val="nil"/>
              <w:left w:val="nil"/>
              <w:bottom w:val="nil"/>
              <w:right w:val="nil"/>
            </w:tcBorders>
            <w:tcMar>
              <w:top w:w="128" w:type="dxa"/>
              <w:left w:w="43" w:type="dxa"/>
              <w:bottom w:w="43" w:type="dxa"/>
              <w:right w:w="123" w:type="dxa"/>
            </w:tcMar>
          </w:tcPr>
          <w:p w14:paraId="0DB07C5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69EE661" w14:textId="77777777" w:rsidR="000A2A2B" w:rsidRPr="007C3060" w:rsidRDefault="000A2A2B" w:rsidP="007C3060">
            <w:r w:rsidRPr="007C3060">
              <w:t>Vaksiner mv.:</w:t>
            </w:r>
          </w:p>
        </w:tc>
        <w:tc>
          <w:tcPr>
            <w:tcW w:w="1717" w:type="dxa"/>
            <w:tcBorders>
              <w:top w:val="nil"/>
              <w:left w:val="nil"/>
              <w:bottom w:val="nil"/>
              <w:right w:val="nil"/>
            </w:tcBorders>
            <w:tcMar>
              <w:top w:w="128" w:type="dxa"/>
              <w:left w:w="43" w:type="dxa"/>
              <w:bottom w:w="43" w:type="dxa"/>
              <w:right w:w="43" w:type="dxa"/>
            </w:tcMar>
            <w:vAlign w:val="bottom"/>
          </w:tcPr>
          <w:p w14:paraId="58F8E9B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2BAA9C" w14:textId="77777777" w:rsidR="000A2A2B" w:rsidRPr="007C3060" w:rsidRDefault="000A2A2B" w:rsidP="007C3060"/>
        </w:tc>
      </w:tr>
      <w:tr w:rsidR="004B729E" w:rsidRPr="007C3060" w14:paraId="47FA03E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FA6DD1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F7DB9DD"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455037C4" w14:textId="77777777" w:rsidR="000A2A2B" w:rsidRPr="007C3060" w:rsidRDefault="000A2A2B" w:rsidP="007C3060">
            <w:r w:rsidRPr="007C3060">
              <w:t xml:space="preserve">Spesielle driftsutgifter,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3178240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90A3757" w14:textId="77777777" w:rsidR="000A2A2B" w:rsidRPr="007C3060" w:rsidRDefault="000A2A2B" w:rsidP="007C3060">
            <w:r w:rsidRPr="007C3060">
              <w:t>5 000 000</w:t>
            </w:r>
          </w:p>
        </w:tc>
      </w:tr>
      <w:tr w:rsidR="004B729E" w:rsidRPr="007C3060" w14:paraId="05B7AE9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D74CC6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4D32FB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4DA4936" w14:textId="77777777" w:rsidR="000A2A2B" w:rsidRPr="007C3060" w:rsidRDefault="000A2A2B" w:rsidP="007C3060">
            <w:r w:rsidRPr="007C3060">
              <w:t>fra kr 298 753 000 til kr 303 753 000</w:t>
            </w:r>
          </w:p>
        </w:tc>
        <w:tc>
          <w:tcPr>
            <w:tcW w:w="1717" w:type="dxa"/>
            <w:tcBorders>
              <w:top w:val="nil"/>
              <w:left w:val="nil"/>
              <w:bottom w:val="nil"/>
              <w:right w:val="nil"/>
            </w:tcBorders>
            <w:tcMar>
              <w:top w:w="128" w:type="dxa"/>
              <w:left w:w="43" w:type="dxa"/>
              <w:bottom w:w="43" w:type="dxa"/>
              <w:right w:w="43" w:type="dxa"/>
            </w:tcMar>
            <w:vAlign w:val="bottom"/>
          </w:tcPr>
          <w:p w14:paraId="15376C4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A4149C5" w14:textId="77777777" w:rsidR="000A2A2B" w:rsidRPr="007C3060" w:rsidRDefault="000A2A2B" w:rsidP="007C3060"/>
        </w:tc>
      </w:tr>
      <w:tr w:rsidR="004B729E" w:rsidRPr="007C3060" w14:paraId="7D83F771"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72B2584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EF2AD09"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7EE5001E" w14:textId="77777777" w:rsidR="000A2A2B" w:rsidRPr="007C3060" w:rsidRDefault="000A2A2B" w:rsidP="007C3060">
            <w:r w:rsidRPr="007C3060">
              <w:t xml:space="preserve">Salgs- og beredskapsprodukter m.m.,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3242748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A7D8C81" w14:textId="77777777" w:rsidR="000A2A2B" w:rsidRPr="007C3060" w:rsidRDefault="000A2A2B" w:rsidP="007C3060">
            <w:r w:rsidRPr="007C3060">
              <w:t>16 402 000</w:t>
            </w:r>
          </w:p>
        </w:tc>
      </w:tr>
      <w:tr w:rsidR="004B729E" w:rsidRPr="007C3060" w14:paraId="2CBA438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AB8AE4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A038A6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4E06CE0" w14:textId="77777777" w:rsidR="000A2A2B" w:rsidRPr="007C3060" w:rsidRDefault="000A2A2B" w:rsidP="007C3060">
            <w:r w:rsidRPr="007C3060">
              <w:t>fra kr 138 551 000 til kr 154 953 000</w:t>
            </w:r>
          </w:p>
        </w:tc>
        <w:tc>
          <w:tcPr>
            <w:tcW w:w="1717" w:type="dxa"/>
            <w:tcBorders>
              <w:top w:val="nil"/>
              <w:left w:val="nil"/>
              <w:bottom w:val="nil"/>
              <w:right w:val="nil"/>
            </w:tcBorders>
            <w:tcMar>
              <w:top w:w="128" w:type="dxa"/>
              <w:left w:w="43" w:type="dxa"/>
              <w:bottom w:w="43" w:type="dxa"/>
              <w:right w:w="43" w:type="dxa"/>
            </w:tcMar>
            <w:vAlign w:val="bottom"/>
          </w:tcPr>
          <w:p w14:paraId="10BDABB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77132E4" w14:textId="77777777" w:rsidR="000A2A2B" w:rsidRPr="007C3060" w:rsidRDefault="000A2A2B" w:rsidP="007C3060"/>
        </w:tc>
      </w:tr>
      <w:tr w:rsidR="004B729E" w:rsidRPr="007C3060" w14:paraId="63617B3A"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00BC43D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1836DBD" w14:textId="77777777" w:rsidR="000A2A2B" w:rsidRPr="007C3060" w:rsidRDefault="000A2A2B" w:rsidP="007C3060">
            <w:r w:rsidRPr="007C3060">
              <w:t>23</w:t>
            </w:r>
          </w:p>
        </w:tc>
        <w:tc>
          <w:tcPr>
            <w:tcW w:w="4819" w:type="dxa"/>
            <w:tcBorders>
              <w:top w:val="nil"/>
              <w:left w:val="nil"/>
              <w:bottom w:val="nil"/>
              <w:right w:val="nil"/>
            </w:tcBorders>
            <w:tcMar>
              <w:top w:w="128" w:type="dxa"/>
              <w:left w:w="43" w:type="dxa"/>
              <w:bottom w:w="43" w:type="dxa"/>
              <w:right w:w="43" w:type="dxa"/>
            </w:tcMar>
            <w:vAlign w:val="bottom"/>
          </w:tcPr>
          <w:p w14:paraId="3A15D550" w14:textId="4A44AB1D" w:rsidR="000A2A2B" w:rsidRPr="007C3060" w:rsidRDefault="000A2A2B" w:rsidP="007C3060">
            <w:r w:rsidRPr="007C3060">
              <w:t xml:space="preserve">Vaksinasjonsprogram for voksne og risikogrupper, </w:t>
            </w:r>
            <w:r w:rsidRPr="007C3060">
              <w:rPr>
                <w:rStyle w:val="kursiv"/>
              </w:rPr>
              <w:t xml:space="preserve">kan overføres,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72A5215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FD3184" w14:textId="77777777" w:rsidR="000A2A2B" w:rsidRPr="007C3060" w:rsidRDefault="000A2A2B" w:rsidP="007C3060">
            <w:r w:rsidRPr="007C3060">
              <w:t>5 925 000</w:t>
            </w:r>
          </w:p>
        </w:tc>
      </w:tr>
      <w:tr w:rsidR="004B729E" w:rsidRPr="007C3060" w14:paraId="09D4377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DC15DF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E3E131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E6FFF39" w14:textId="77777777" w:rsidR="000A2A2B" w:rsidRPr="007C3060" w:rsidRDefault="000A2A2B" w:rsidP="007C3060">
            <w:r w:rsidRPr="007C3060">
              <w:t>fra kr 111 819 000 til kr 105 894 000</w:t>
            </w:r>
          </w:p>
        </w:tc>
        <w:tc>
          <w:tcPr>
            <w:tcW w:w="1717" w:type="dxa"/>
            <w:tcBorders>
              <w:top w:val="nil"/>
              <w:left w:val="nil"/>
              <w:bottom w:val="nil"/>
              <w:right w:val="nil"/>
            </w:tcBorders>
            <w:tcMar>
              <w:top w:w="128" w:type="dxa"/>
              <w:left w:w="43" w:type="dxa"/>
              <w:bottom w:w="43" w:type="dxa"/>
              <w:right w:w="43" w:type="dxa"/>
            </w:tcMar>
            <w:vAlign w:val="bottom"/>
          </w:tcPr>
          <w:p w14:paraId="099F16D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73BBD26" w14:textId="77777777" w:rsidR="000A2A2B" w:rsidRPr="007C3060" w:rsidRDefault="000A2A2B" w:rsidP="007C3060"/>
        </w:tc>
      </w:tr>
      <w:tr w:rsidR="004B729E" w:rsidRPr="007C3060" w14:paraId="2722A21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D61AAB3" w14:textId="77777777" w:rsidR="000A2A2B" w:rsidRPr="007C3060" w:rsidRDefault="000A2A2B" w:rsidP="007C3060">
            <w:r w:rsidRPr="007C3060">
              <w:t>714</w:t>
            </w:r>
          </w:p>
        </w:tc>
        <w:tc>
          <w:tcPr>
            <w:tcW w:w="992" w:type="dxa"/>
            <w:tcBorders>
              <w:top w:val="nil"/>
              <w:left w:val="nil"/>
              <w:bottom w:val="nil"/>
              <w:right w:val="nil"/>
            </w:tcBorders>
            <w:tcMar>
              <w:top w:w="128" w:type="dxa"/>
              <w:left w:w="43" w:type="dxa"/>
              <w:bottom w:w="43" w:type="dxa"/>
              <w:right w:w="123" w:type="dxa"/>
            </w:tcMar>
          </w:tcPr>
          <w:p w14:paraId="16DE6B4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DC61287" w14:textId="77777777" w:rsidR="000A2A2B" w:rsidRPr="007C3060" w:rsidRDefault="000A2A2B" w:rsidP="007C3060">
            <w:r w:rsidRPr="007C3060">
              <w:t>Folkehelse:</w:t>
            </w:r>
          </w:p>
        </w:tc>
        <w:tc>
          <w:tcPr>
            <w:tcW w:w="1717" w:type="dxa"/>
            <w:tcBorders>
              <w:top w:val="nil"/>
              <w:left w:val="nil"/>
              <w:bottom w:val="nil"/>
              <w:right w:val="nil"/>
            </w:tcBorders>
            <w:tcMar>
              <w:top w:w="128" w:type="dxa"/>
              <w:left w:w="43" w:type="dxa"/>
              <w:bottom w:w="43" w:type="dxa"/>
              <w:right w:w="43" w:type="dxa"/>
            </w:tcMar>
            <w:vAlign w:val="bottom"/>
          </w:tcPr>
          <w:p w14:paraId="62C1A46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9CDCC47" w14:textId="77777777" w:rsidR="000A2A2B" w:rsidRPr="007C3060" w:rsidRDefault="000A2A2B" w:rsidP="007C3060"/>
        </w:tc>
      </w:tr>
      <w:tr w:rsidR="004B729E" w:rsidRPr="007C3060" w14:paraId="5EF31AE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6B17EE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25E84B8"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4F1632D3" w14:textId="77777777" w:rsidR="000A2A2B" w:rsidRPr="007C3060" w:rsidRDefault="000A2A2B" w:rsidP="007C3060">
            <w:r w:rsidRPr="007C3060">
              <w:t xml:space="preserve">Spesielle driftsutgifter,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21A8BA6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1038430" w14:textId="77777777" w:rsidR="000A2A2B" w:rsidRPr="007C3060" w:rsidRDefault="000A2A2B" w:rsidP="007C3060">
            <w:r w:rsidRPr="007C3060">
              <w:t>16 000 000</w:t>
            </w:r>
          </w:p>
        </w:tc>
      </w:tr>
      <w:tr w:rsidR="004B729E" w:rsidRPr="007C3060" w14:paraId="7DC39F2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F5CC8B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58E084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4E04AD0" w14:textId="77777777" w:rsidR="000A2A2B" w:rsidRPr="007C3060" w:rsidRDefault="000A2A2B" w:rsidP="007C3060">
            <w:r w:rsidRPr="007C3060">
              <w:t>fra kr 147 697 000 til kr 131 697 000</w:t>
            </w:r>
          </w:p>
        </w:tc>
        <w:tc>
          <w:tcPr>
            <w:tcW w:w="1717" w:type="dxa"/>
            <w:tcBorders>
              <w:top w:val="nil"/>
              <w:left w:val="nil"/>
              <w:bottom w:val="nil"/>
              <w:right w:val="nil"/>
            </w:tcBorders>
            <w:tcMar>
              <w:top w:w="128" w:type="dxa"/>
              <w:left w:w="43" w:type="dxa"/>
              <w:bottom w:w="43" w:type="dxa"/>
              <w:right w:w="43" w:type="dxa"/>
            </w:tcMar>
            <w:vAlign w:val="bottom"/>
          </w:tcPr>
          <w:p w14:paraId="2BA2B7D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C72DE37" w14:textId="77777777" w:rsidR="000A2A2B" w:rsidRPr="007C3060" w:rsidRDefault="000A2A2B" w:rsidP="007C3060"/>
        </w:tc>
      </w:tr>
      <w:tr w:rsidR="004B729E" w:rsidRPr="007C3060" w14:paraId="56BF09F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4BE47DB" w14:textId="77777777" w:rsidR="000A2A2B" w:rsidRPr="007C3060" w:rsidRDefault="000A2A2B" w:rsidP="007C3060">
            <w:r w:rsidRPr="007C3060">
              <w:t>732</w:t>
            </w:r>
          </w:p>
        </w:tc>
        <w:tc>
          <w:tcPr>
            <w:tcW w:w="992" w:type="dxa"/>
            <w:tcBorders>
              <w:top w:val="nil"/>
              <w:left w:val="nil"/>
              <w:bottom w:val="nil"/>
              <w:right w:val="nil"/>
            </w:tcBorders>
            <w:tcMar>
              <w:top w:w="128" w:type="dxa"/>
              <w:left w:w="43" w:type="dxa"/>
              <w:bottom w:w="43" w:type="dxa"/>
              <w:right w:w="123" w:type="dxa"/>
            </w:tcMar>
          </w:tcPr>
          <w:p w14:paraId="22D7738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E78BDA4" w14:textId="77777777" w:rsidR="000A2A2B" w:rsidRPr="007C3060" w:rsidRDefault="000A2A2B" w:rsidP="007C3060">
            <w:r w:rsidRPr="007C3060">
              <w:t>Regionale helseforetak:</w:t>
            </w:r>
          </w:p>
        </w:tc>
        <w:tc>
          <w:tcPr>
            <w:tcW w:w="1717" w:type="dxa"/>
            <w:tcBorders>
              <w:top w:val="nil"/>
              <w:left w:val="nil"/>
              <w:bottom w:val="nil"/>
              <w:right w:val="nil"/>
            </w:tcBorders>
            <w:tcMar>
              <w:top w:w="128" w:type="dxa"/>
              <w:left w:w="43" w:type="dxa"/>
              <w:bottom w:w="43" w:type="dxa"/>
              <w:right w:w="43" w:type="dxa"/>
            </w:tcMar>
            <w:vAlign w:val="bottom"/>
          </w:tcPr>
          <w:p w14:paraId="3910191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9A053E3" w14:textId="77777777" w:rsidR="000A2A2B" w:rsidRPr="007C3060" w:rsidRDefault="000A2A2B" w:rsidP="007C3060"/>
        </w:tc>
      </w:tr>
      <w:tr w:rsidR="004B729E" w:rsidRPr="007C3060" w14:paraId="14A2C6A5"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79ED8AF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8F9F257"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17D2B2C6" w14:textId="77777777" w:rsidR="000A2A2B" w:rsidRPr="007C3060" w:rsidRDefault="000A2A2B" w:rsidP="007C3060">
            <w:r w:rsidRPr="007C3060">
              <w:t xml:space="preserve">Særskilte tilskudd, kan overføres, </w:t>
            </w:r>
            <w:r w:rsidRPr="007C3060">
              <w:rPr>
                <w:rStyle w:val="kursiv"/>
              </w:rPr>
              <w:t>kan nyttes under postene 72, 73, 74 og 75</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09210E2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427C44E" w14:textId="77777777" w:rsidR="000A2A2B" w:rsidRPr="007C3060" w:rsidRDefault="000A2A2B" w:rsidP="007C3060">
            <w:r w:rsidRPr="007C3060">
              <w:t>14 550 000</w:t>
            </w:r>
          </w:p>
        </w:tc>
      </w:tr>
      <w:tr w:rsidR="004B729E" w:rsidRPr="007C3060" w14:paraId="67C5FC2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3AB676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1AAD4D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1B48165" w14:textId="77777777" w:rsidR="000A2A2B" w:rsidRPr="007C3060" w:rsidRDefault="000A2A2B" w:rsidP="007C3060">
            <w:r w:rsidRPr="007C3060">
              <w:t>fra kr 2 669 897 000 til kr 2 684 447 000</w:t>
            </w:r>
          </w:p>
        </w:tc>
        <w:tc>
          <w:tcPr>
            <w:tcW w:w="1717" w:type="dxa"/>
            <w:tcBorders>
              <w:top w:val="nil"/>
              <w:left w:val="nil"/>
              <w:bottom w:val="nil"/>
              <w:right w:val="nil"/>
            </w:tcBorders>
            <w:tcMar>
              <w:top w:w="128" w:type="dxa"/>
              <w:left w:w="43" w:type="dxa"/>
              <w:bottom w:w="43" w:type="dxa"/>
              <w:right w:w="43" w:type="dxa"/>
            </w:tcMar>
            <w:vAlign w:val="bottom"/>
          </w:tcPr>
          <w:p w14:paraId="74D4BD2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0689918" w14:textId="77777777" w:rsidR="000A2A2B" w:rsidRPr="007C3060" w:rsidRDefault="000A2A2B" w:rsidP="007C3060"/>
        </w:tc>
      </w:tr>
      <w:tr w:rsidR="004B729E" w:rsidRPr="007C3060" w14:paraId="0146DDB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167DE4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8C72FC4"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0C807A93" w14:textId="77777777" w:rsidR="000A2A2B" w:rsidRPr="007C3060" w:rsidRDefault="000A2A2B" w:rsidP="007C3060">
            <w:r w:rsidRPr="007C3060">
              <w:t>Basisbevilgning Helse Sør-Øst RHF, nedsettes med</w:t>
            </w:r>
          </w:p>
        </w:tc>
        <w:tc>
          <w:tcPr>
            <w:tcW w:w="1717" w:type="dxa"/>
            <w:tcBorders>
              <w:top w:val="nil"/>
              <w:left w:val="nil"/>
              <w:bottom w:val="nil"/>
              <w:right w:val="nil"/>
            </w:tcBorders>
            <w:tcMar>
              <w:top w:w="128" w:type="dxa"/>
              <w:left w:w="43" w:type="dxa"/>
              <w:bottom w:w="43" w:type="dxa"/>
              <w:right w:w="43" w:type="dxa"/>
            </w:tcMar>
            <w:vAlign w:val="bottom"/>
          </w:tcPr>
          <w:p w14:paraId="37EB235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2B83E9D" w14:textId="77777777" w:rsidR="000A2A2B" w:rsidRPr="007C3060" w:rsidRDefault="000A2A2B" w:rsidP="007C3060">
            <w:r w:rsidRPr="007C3060">
              <w:t>7 100 000</w:t>
            </w:r>
          </w:p>
        </w:tc>
      </w:tr>
      <w:tr w:rsidR="004B729E" w:rsidRPr="007C3060" w14:paraId="34F0E37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6B540D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284BC1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93090BC" w14:textId="77777777" w:rsidR="000A2A2B" w:rsidRPr="007C3060" w:rsidRDefault="000A2A2B" w:rsidP="007C3060">
            <w:r w:rsidRPr="007C3060">
              <w:t>fra kr 88 215 193 000 til kr 88 208 093 000</w:t>
            </w:r>
          </w:p>
        </w:tc>
        <w:tc>
          <w:tcPr>
            <w:tcW w:w="1717" w:type="dxa"/>
            <w:tcBorders>
              <w:top w:val="nil"/>
              <w:left w:val="nil"/>
              <w:bottom w:val="nil"/>
              <w:right w:val="nil"/>
            </w:tcBorders>
            <w:tcMar>
              <w:top w:w="128" w:type="dxa"/>
              <w:left w:w="43" w:type="dxa"/>
              <w:bottom w:w="43" w:type="dxa"/>
              <w:right w:w="43" w:type="dxa"/>
            </w:tcMar>
            <w:vAlign w:val="bottom"/>
          </w:tcPr>
          <w:p w14:paraId="572D84A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8475E14" w14:textId="77777777" w:rsidR="000A2A2B" w:rsidRPr="007C3060" w:rsidRDefault="000A2A2B" w:rsidP="007C3060"/>
        </w:tc>
      </w:tr>
      <w:tr w:rsidR="004B729E" w:rsidRPr="007C3060" w14:paraId="4AC5A8A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852D03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C0A266B"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6C70B44E" w14:textId="77777777" w:rsidR="000A2A2B" w:rsidRPr="007C3060" w:rsidRDefault="000A2A2B" w:rsidP="007C3060">
            <w:r w:rsidRPr="007C3060">
              <w:t>Basisbevilgning Helse Vest RHF, nedsettes med</w:t>
            </w:r>
          </w:p>
        </w:tc>
        <w:tc>
          <w:tcPr>
            <w:tcW w:w="1717" w:type="dxa"/>
            <w:tcBorders>
              <w:top w:val="nil"/>
              <w:left w:val="nil"/>
              <w:bottom w:val="nil"/>
              <w:right w:val="nil"/>
            </w:tcBorders>
            <w:tcMar>
              <w:top w:w="128" w:type="dxa"/>
              <w:left w:w="43" w:type="dxa"/>
              <w:bottom w:w="43" w:type="dxa"/>
              <w:right w:w="43" w:type="dxa"/>
            </w:tcMar>
            <w:vAlign w:val="bottom"/>
          </w:tcPr>
          <w:p w14:paraId="3AC2019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FC384AD" w14:textId="77777777" w:rsidR="000A2A2B" w:rsidRPr="007C3060" w:rsidRDefault="000A2A2B" w:rsidP="007C3060">
            <w:r w:rsidRPr="007C3060">
              <w:t>2 600 000</w:t>
            </w:r>
          </w:p>
        </w:tc>
      </w:tr>
      <w:tr w:rsidR="004B729E" w:rsidRPr="007C3060" w14:paraId="6DFEC81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BE302C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EEE616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A1BE02C" w14:textId="77777777" w:rsidR="000A2A2B" w:rsidRPr="007C3060" w:rsidRDefault="000A2A2B" w:rsidP="007C3060">
            <w:r w:rsidRPr="007C3060">
              <w:t>fra kr 31 097 884 000 til kr 31 095 284 000</w:t>
            </w:r>
          </w:p>
        </w:tc>
        <w:tc>
          <w:tcPr>
            <w:tcW w:w="1717" w:type="dxa"/>
            <w:tcBorders>
              <w:top w:val="nil"/>
              <w:left w:val="nil"/>
              <w:bottom w:val="nil"/>
              <w:right w:val="nil"/>
            </w:tcBorders>
            <w:tcMar>
              <w:top w:w="128" w:type="dxa"/>
              <w:left w:w="43" w:type="dxa"/>
              <w:bottom w:w="43" w:type="dxa"/>
              <w:right w:w="43" w:type="dxa"/>
            </w:tcMar>
            <w:vAlign w:val="bottom"/>
          </w:tcPr>
          <w:p w14:paraId="2A73C88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6E0ED5D" w14:textId="77777777" w:rsidR="000A2A2B" w:rsidRPr="007C3060" w:rsidRDefault="000A2A2B" w:rsidP="007C3060"/>
        </w:tc>
      </w:tr>
      <w:tr w:rsidR="004B729E" w:rsidRPr="007C3060" w14:paraId="0C47733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24F539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8462F35" w14:textId="77777777" w:rsidR="000A2A2B" w:rsidRPr="007C3060" w:rsidRDefault="000A2A2B" w:rsidP="007C3060">
            <w:r w:rsidRPr="007C3060">
              <w:t>74</w:t>
            </w:r>
          </w:p>
        </w:tc>
        <w:tc>
          <w:tcPr>
            <w:tcW w:w="4819" w:type="dxa"/>
            <w:tcBorders>
              <w:top w:val="nil"/>
              <w:left w:val="nil"/>
              <w:bottom w:val="nil"/>
              <w:right w:val="nil"/>
            </w:tcBorders>
            <w:tcMar>
              <w:top w:w="128" w:type="dxa"/>
              <w:left w:w="43" w:type="dxa"/>
              <w:bottom w:w="43" w:type="dxa"/>
              <w:right w:w="43" w:type="dxa"/>
            </w:tcMar>
            <w:vAlign w:val="bottom"/>
          </w:tcPr>
          <w:p w14:paraId="578DC0F2" w14:textId="77777777" w:rsidR="000A2A2B" w:rsidRPr="007C3060" w:rsidRDefault="000A2A2B" w:rsidP="007C3060">
            <w:r w:rsidRPr="007C3060">
              <w:t>Basisbevilgning Helse Midt-Norge RHF, nedsettes med</w:t>
            </w:r>
          </w:p>
        </w:tc>
        <w:tc>
          <w:tcPr>
            <w:tcW w:w="1717" w:type="dxa"/>
            <w:tcBorders>
              <w:top w:val="nil"/>
              <w:left w:val="nil"/>
              <w:bottom w:val="nil"/>
              <w:right w:val="nil"/>
            </w:tcBorders>
            <w:tcMar>
              <w:top w:w="128" w:type="dxa"/>
              <w:left w:w="43" w:type="dxa"/>
              <w:bottom w:w="43" w:type="dxa"/>
              <w:right w:w="43" w:type="dxa"/>
            </w:tcMar>
            <w:vAlign w:val="bottom"/>
          </w:tcPr>
          <w:p w14:paraId="742FE2B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C18BE3F" w14:textId="77777777" w:rsidR="000A2A2B" w:rsidRPr="007C3060" w:rsidRDefault="000A2A2B" w:rsidP="007C3060">
            <w:r w:rsidRPr="007C3060">
              <w:t>1 900 000</w:t>
            </w:r>
          </w:p>
        </w:tc>
      </w:tr>
      <w:tr w:rsidR="004B729E" w:rsidRPr="007C3060" w14:paraId="6AB2945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C1B05D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3BB667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757A665" w14:textId="77777777" w:rsidR="000A2A2B" w:rsidRPr="007C3060" w:rsidRDefault="000A2A2B" w:rsidP="007C3060">
            <w:r w:rsidRPr="007C3060">
              <w:t>fra kr 22 965 665 000 til kr 22 963 765 000</w:t>
            </w:r>
          </w:p>
        </w:tc>
        <w:tc>
          <w:tcPr>
            <w:tcW w:w="1717" w:type="dxa"/>
            <w:tcBorders>
              <w:top w:val="nil"/>
              <w:left w:val="nil"/>
              <w:bottom w:val="nil"/>
              <w:right w:val="nil"/>
            </w:tcBorders>
            <w:tcMar>
              <w:top w:w="128" w:type="dxa"/>
              <w:left w:w="43" w:type="dxa"/>
              <w:bottom w:w="43" w:type="dxa"/>
              <w:right w:w="43" w:type="dxa"/>
            </w:tcMar>
            <w:vAlign w:val="bottom"/>
          </w:tcPr>
          <w:p w14:paraId="28975A7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1775988" w14:textId="77777777" w:rsidR="000A2A2B" w:rsidRPr="007C3060" w:rsidRDefault="000A2A2B" w:rsidP="007C3060"/>
        </w:tc>
      </w:tr>
      <w:tr w:rsidR="004B729E" w:rsidRPr="007C3060" w14:paraId="30EFE0A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FF2AB7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BA81152"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79AD7FFB" w14:textId="77777777" w:rsidR="000A2A2B" w:rsidRPr="007C3060" w:rsidRDefault="000A2A2B" w:rsidP="007C3060">
            <w:r w:rsidRPr="007C3060">
              <w:t>Basisbevilgning Helse Nord RHF, nedsettes med</w:t>
            </w:r>
          </w:p>
        </w:tc>
        <w:tc>
          <w:tcPr>
            <w:tcW w:w="1717" w:type="dxa"/>
            <w:tcBorders>
              <w:top w:val="nil"/>
              <w:left w:val="nil"/>
              <w:bottom w:val="nil"/>
              <w:right w:val="nil"/>
            </w:tcBorders>
            <w:tcMar>
              <w:top w:w="128" w:type="dxa"/>
              <w:left w:w="43" w:type="dxa"/>
              <w:bottom w:w="43" w:type="dxa"/>
              <w:right w:w="43" w:type="dxa"/>
            </w:tcMar>
            <w:vAlign w:val="bottom"/>
          </w:tcPr>
          <w:p w14:paraId="1013B08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E670321" w14:textId="77777777" w:rsidR="000A2A2B" w:rsidRPr="007C3060" w:rsidRDefault="000A2A2B" w:rsidP="007C3060">
            <w:r w:rsidRPr="007C3060">
              <w:t>1 600 000</w:t>
            </w:r>
          </w:p>
        </w:tc>
      </w:tr>
      <w:tr w:rsidR="004B729E" w:rsidRPr="007C3060" w14:paraId="3256AA8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D8A546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ED62A8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92933DC" w14:textId="77777777" w:rsidR="000A2A2B" w:rsidRPr="007C3060" w:rsidRDefault="000A2A2B" w:rsidP="007C3060">
            <w:r w:rsidRPr="007C3060">
              <w:t>fra kr 19 508 851 000 til kr 19 507 251 000</w:t>
            </w:r>
          </w:p>
        </w:tc>
        <w:tc>
          <w:tcPr>
            <w:tcW w:w="1717" w:type="dxa"/>
            <w:tcBorders>
              <w:top w:val="nil"/>
              <w:left w:val="nil"/>
              <w:bottom w:val="nil"/>
              <w:right w:val="nil"/>
            </w:tcBorders>
            <w:tcMar>
              <w:top w:w="128" w:type="dxa"/>
              <w:left w:w="43" w:type="dxa"/>
              <w:bottom w:w="43" w:type="dxa"/>
              <w:right w:w="43" w:type="dxa"/>
            </w:tcMar>
            <w:vAlign w:val="bottom"/>
          </w:tcPr>
          <w:p w14:paraId="7CB7641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2870EFC" w14:textId="77777777" w:rsidR="000A2A2B" w:rsidRPr="007C3060" w:rsidRDefault="000A2A2B" w:rsidP="007C3060"/>
        </w:tc>
      </w:tr>
      <w:tr w:rsidR="004B729E" w:rsidRPr="007C3060" w14:paraId="62E96AB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1D97DE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FBFAD81" w14:textId="77777777" w:rsidR="000A2A2B" w:rsidRPr="007C3060" w:rsidRDefault="000A2A2B" w:rsidP="007C3060">
            <w:r w:rsidRPr="007C3060">
              <w:t>76</w:t>
            </w:r>
          </w:p>
        </w:tc>
        <w:tc>
          <w:tcPr>
            <w:tcW w:w="4819" w:type="dxa"/>
            <w:tcBorders>
              <w:top w:val="nil"/>
              <w:left w:val="nil"/>
              <w:bottom w:val="nil"/>
              <w:right w:val="nil"/>
            </w:tcBorders>
            <w:tcMar>
              <w:top w:w="128" w:type="dxa"/>
              <w:left w:w="43" w:type="dxa"/>
              <w:bottom w:w="43" w:type="dxa"/>
              <w:right w:w="43" w:type="dxa"/>
            </w:tcMar>
            <w:vAlign w:val="bottom"/>
          </w:tcPr>
          <w:p w14:paraId="07701C9C" w14:textId="77777777" w:rsidR="000A2A2B" w:rsidRPr="007C3060" w:rsidRDefault="000A2A2B" w:rsidP="007C3060">
            <w:r w:rsidRPr="007C3060">
              <w:t xml:space="preserve">Innsatsstyrt finansiering,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730651F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483E4B2" w14:textId="77777777" w:rsidR="000A2A2B" w:rsidRPr="007C3060" w:rsidRDefault="000A2A2B" w:rsidP="007C3060">
            <w:r w:rsidRPr="007C3060">
              <w:t>5 000 000</w:t>
            </w:r>
          </w:p>
        </w:tc>
      </w:tr>
      <w:tr w:rsidR="004B729E" w:rsidRPr="007C3060" w14:paraId="18ACDE9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FAEBC9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D86318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02773EC" w14:textId="77777777" w:rsidR="000A2A2B" w:rsidRPr="007C3060" w:rsidRDefault="000A2A2B" w:rsidP="007C3060">
            <w:r w:rsidRPr="007C3060">
              <w:t>fra kr 32 080 562 000 til kr 32 085 562 000</w:t>
            </w:r>
          </w:p>
        </w:tc>
        <w:tc>
          <w:tcPr>
            <w:tcW w:w="1717" w:type="dxa"/>
            <w:tcBorders>
              <w:top w:val="nil"/>
              <w:left w:val="nil"/>
              <w:bottom w:val="nil"/>
              <w:right w:val="nil"/>
            </w:tcBorders>
            <w:tcMar>
              <w:top w:w="128" w:type="dxa"/>
              <w:left w:w="43" w:type="dxa"/>
              <w:bottom w:w="43" w:type="dxa"/>
              <w:right w:w="43" w:type="dxa"/>
            </w:tcMar>
            <w:vAlign w:val="bottom"/>
          </w:tcPr>
          <w:p w14:paraId="0496D0B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8D1EE3A" w14:textId="77777777" w:rsidR="000A2A2B" w:rsidRPr="007C3060" w:rsidRDefault="000A2A2B" w:rsidP="007C3060"/>
        </w:tc>
      </w:tr>
      <w:tr w:rsidR="004B729E" w:rsidRPr="007C3060" w14:paraId="0A224656"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AE3AD9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B86750B" w14:textId="77777777" w:rsidR="000A2A2B" w:rsidRPr="007C3060" w:rsidRDefault="000A2A2B" w:rsidP="007C3060">
            <w:r w:rsidRPr="007C3060">
              <w:t>77</w:t>
            </w:r>
          </w:p>
        </w:tc>
        <w:tc>
          <w:tcPr>
            <w:tcW w:w="4819" w:type="dxa"/>
            <w:tcBorders>
              <w:top w:val="nil"/>
              <w:left w:val="nil"/>
              <w:bottom w:val="nil"/>
              <w:right w:val="nil"/>
            </w:tcBorders>
            <w:tcMar>
              <w:top w:w="128" w:type="dxa"/>
              <w:left w:w="43" w:type="dxa"/>
              <w:bottom w:w="43" w:type="dxa"/>
              <w:right w:w="43" w:type="dxa"/>
            </w:tcMar>
            <w:vAlign w:val="bottom"/>
          </w:tcPr>
          <w:p w14:paraId="00451598" w14:textId="77777777" w:rsidR="000A2A2B" w:rsidRPr="007C3060" w:rsidRDefault="000A2A2B" w:rsidP="007C3060">
            <w:r w:rsidRPr="007C3060">
              <w:t>Laboratorie- og radiologiske undersøkelser, -</w:t>
            </w:r>
            <w:r w:rsidRPr="007C3060">
              <w:rPr>
                <w:rStyle w:val="kursiv"/>
              </w:rPr>
              <w:t>overslagsbevilgning,</w:t>
            </w:r>
            <w:r w:rsidRPr="007C3060">
              <w:t xml:space="preserve"> forhøyes med </w:t>
            </w:r>
          </w:p>
        </w:tc>
        <w:tc>
          <w:tcPr>
            <w:tcW w:w="1717" w:type="dxa"/>
            <w:tcBorders>
              <w:top w:val="nil"/>
              <w:left w:val="nil"/>
              <w:bottom w:val="nil"/>
              <w:right w:val="nil"/>
            </w:tcBorders>
            <w:tcMar>
              <w:top w:w="128" w:type="dxa"/>
              <w:left w:w="43" w:type="dxa"/>
              <w:bottom w:w="43" w:type="dxa"/>
              <w:right w:w="43" w:type="dxa"/>
            </w:tcMar>
            <w:vAlign w:val="bottom"/>
          </w:tcPr>
          <w:p w14:paraId="755A1F9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D7AC69D" w14:textId="77777777" w:rsidR="000A2A2B" w:rsidRPr="007C3060" w:rsidRDefault="000A2A2B" w:rsidP="007C3060">
            <w:r w:rsidRPr="007C3060">
              <w:t>867 000 000</w:t>
            </w:r>
          </w:p>
        </w:tc>
      </w:tr>
      <w:tr w:rsidR="004B729E" w:rsidRPr="007C3060" w14:paraId="34652A8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FF107C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CC4B33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11C0EDC" w14:textId="77777777" w:rsidR="000A2A2B" w:rsidRPr="007C3060" w:rsidRDefault="000A2A2B" w:rsidP="007C3060">
            <w:r w:rsidRPr="007C3060">
              <w:t>fra kr 4 462 863 000 til kr 5 329 863 000</w:t>
            </w:r>
          </w:p>
        </w:tc>
        <w:tc>
          <w:tcPr>
            <w:tcW w:w="1717" w:type="dxa"/>
            <w:tcBorders>
              <w:top w:val="nil"/>
              <w:left w:val="nil"/>
              <w:bottom w:val="nil"/>
              <w:right w:val="nil"/>
            </w:tcBorders>
            <w:tcMar>
              <w:top w:w="128" w:type="dxa"/>
              <w:left w:w="43" w:type="dxa"/>
              <w:bottom w:w="43" w:type="dxa"/>
              <w:right w:w="43" w:type="dxa"/>
            </w:tcMar>
            <w:vAlign w:val="bottom"/>
          </w:tcPr>
          <w:p w14:paraId="0C72EB8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FC1AF0C" w14:textId="77777777" w:rsidR="000A2A2B" w:rsidRPr="007C3060" w:rsidRDefault="000A2A2B" w:rsidP="007C3060"/>
        </w:tc>
      </w:tr>
      <w:tr w:rsidR="004B729E" w:rsidRPr="007C3060" w14:paraId="27CDCFD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81CC48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2AD0A58" w14:textId="77777777" w:rsidR="000A2A2B" w:rsidRPr="007C3060" w:rsidRDefault="000A2A2B" w:rsidP="007C3060">
            <w:r w:rsidRPr="007C3060">
              <w:t>86</w:t>
            </w:r>
          </w:p>
        </w:tc>
        <w:tc>
          <w:tcPr>
            <w:tcW w:w="4819" w:type="dxa"/>
            <w:tcBorders>
              <w:top w:val="nil"/>
              <w:left w:val="nil"/>
              <w:bottom w:val="nil"/>
              <w:right w:val="nil"/>
            </w:tcBorders>
            <w:tcMar>
              <w:top w:w="128" w:type="dxa"/>
              <w:left w:w="43" w:type="dxa"/>
              <w:bottom w:w="43" w:type="dxa"/>
              <w:right w:w="43" w:type="dxa"/>
            </w:tcMar>
            <w:vAlign w:val="bottom"/>
          </w:tcPr>
          <w:p w14:paraId="7372C9DA" w14:textId="77777777" w:rsidR="000A2A2B" w:rsidRPr="007C3060" w:rsidRDefault="000A2A2B" w:rsidP="007C3060">
            <w:r w:rsidRPr="007C3060">
              <w:t>Driftskreditter, nedsettes med</w:t>
            </w:r>
          </w:p>
        </w:tc>
        <w:tc>
          <w:tcPr>
            <w:tcW w:w="1717" w:type="dxa"/>
            <w:tcBorders>
              <w:top w:val="nil"/>
              <w:left w:val="nil"/>
              <w:bottom w:val="nil"/>
              <w:right w:val="nil"/>
            </w:tcBorders>
            <w:tcMar>
              <w:top w:w="128" w:type="dxa"/>
              <w:left w:w="43" w:type="dxa"/>
              <w:bottom w:w="43" w:type="dxa"/>
              <w:right w:w="43" w:type="dxa"/>
            </w:tcMar>
            <w:vAlign w:val="bottom"/>
          </w:tcPr>
          <w:p w14:paraId="15B6A20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A7223A2" w14:textId="77777777" w:rsidR="000A2A2B" w:rsidRPr="007C3060" w:rsidRDefault="000A2A2B" w:rsidP="007C3060">
            <w:r w:rsidRPr="007C3060">
              <w:t>6 390 000 000</w:t>
            </w:r>
          </w:p>
        </w:tc>
      </w:tr>
      <w:tr w:rsidR="004B729E" w:rsidRPr="007C3060" w14:paraId="6D9F184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DAAA08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5DE255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64AD4C5" w14:textId="77777777" w:rsidR="000A2A2B" w:rsidRPr="007C3060" w:rsidRDefault="000A2A2B" w:rsidP="007C3060">
            <w:r w:rsidRPr="007C3060">
              <w:t>fra kr 6 468 000 000 til kr 78 000 000</w:t>
            </w:r>
          </w:p>
        </w:tc>
        <w:tc>
          <w:tcPr>
            <w:tcW w:w="1717" w:type="dxa"/>
            <w:tcBorders>
              <w:top w:val="nil"/>
              <w:left w:val="nil"/>
              <w:bottom w:val="nil"/>
              <w:right w:val="nil"/>
            </w:tcBorders>
            <w:tcMar>
              <w:top w:w="128" w:type="dxa"/>
              <w:left w:w="43" w:type="dxa"/>
              <w:bottom w:w="43" w:type="dxa"/>
              <w:right w:w="43" w:type="dxa"/>
            </w:tcMar>
            <w:vAlign w:val="bottom"/>
          </w:tcPr>
          <w:p w14:paraId="1FD1477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AAF2EB1" w14:textId="77777777" w:rsidR="000A2A2B" w:rsidRPr="007C3060" w:rsidRDefault="000A2A2B" w:rsidP="007C3060"/>
        </w:tc>
      </w:tr>
      <w:tr w:rsidR="004B729E" w:rsidRPr="007C3060" w14:paraId="4B080D9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B749101" w14:textId="77777777" w:rsidR="000A2A2B" w:rsidRPr="007C3060" w:rsidRDefault="000A2A2B" w:rsidP="007C3060">
            <w:r w:rsidRPr="007C3060">
              <w:t>740</w:t>
            </w:r>
          </w:p>
        </w:tc>
        <w:tc>
          <w:tcPr>
            <w:tcW w:w="992" w:type="dxa"/>
            <w:tcBorders>
              <w:top w:val="nil"/>
              <w:left w:val="nil"/>
              <w:bottom w:val="nil"/>
              <w:right w:val="nil"/>
            </w:tcBorders>
            <w:tcMar>
              <w:top w:w="128" w:type="dxa"/>
              <w:left w:w="43" w:type="dxa"/>
              <w:bottom w:w="43" w:type="dxa"/>
              <w:right w:w="123" w:type="dxa"/>
            </w:tcMar>
          </w:tcPr>
          <w:p w14:paraId="11EB820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2E8C00F" w14:textId="77777777" w:rsidR="000A2A2B" w:rsidRPr="007C3060" w:rsidRDefault="000A2A2B" w:rsidP="007C3060">
            <w:r w:rsidRPr="007C3060">
              <w:t>Helsedirektoratet:</w:t>
            </w:r>
          </w:p>
        </w:tc>
        <w:tc>
          <w:tcPr>
            <w:tcW w:w="1717" w:type="dxa"/>
            <w:tcBorders>
              <w:top w:val="nil"/>
              <w:left w:val="nil"/>
              <w:bottom w:val="nil"/>
              <w:right w:val="nil"/>
            </w:tcBorders>
            <w:tcMar>
              <w:top w:w="128" w:type="dxa"/>
              <w:left w:w="43" w:type="dxa"/>
              <w:bottom w:w="43" w:type="dxa"/>
              <w:right w:w="43" w:type="dxa"/>
            </w:tcMar>
            <w:vAlign w:val="bottom"/>
          </w:tcPr>
          <w:p w14:paraId="061CADA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53FC8D3" w14:textId="77777777" w:rsidR="000A2A2B" w:rsidRPr="007C3060" w:rsidRDefault="000A2A2B" w:rsidP="007C3060"/>
        </w:tc>
      </w:tr>
      <w:tr w:rsidR="004B729E" w:rsidRPr="007C3060" w14:paraId="3B0D6DA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EFEF40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5E4D95B"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17735AF7"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3F75869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AB8B53C" w14:textId="77777777" w:rsidR="000A2A2B" w:rsidRPr="007C3060" w:rsidRDefault="000A2A2B" w:rsidP="007C3060">
            <w:r w:rsidRPr="007C3060">
              <w:t>1 000 000</w:t>
            </w:r>
          </w:p>
        </w:tc>
      </w:tr>
      <w:tr w:rsidR="004B729E" w:rsidRPr="007C3060" w14:paraId="3453878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D33812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BED4E9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9EDBA66" w14:textId="77777777" w:rsidR="000A2A2B" w:rsidRPr="007C3060" w:rsidRDefault="000A2A2B" w:rsidP="007C3060">
            <w:r w:rsidRPr="007C3060">
              <w:t>fra kr 1 591 294 000 til kr 1 592 294 000</w:t>
            </w:r>
          </w:p>
        </w:tc>
        <w:tc>
          <w:tcPr>
            <w:tcW w:w="1717" w:type="dxa"/>
            <w:tcBorders>
              <w:top w:val="nil"/>
              <w:left w:val="nil"/>
              <w:bottom w:val="nil"/>
              <w:right w:val="nil"/>
            </w:tcBorders>
            <w:tcMar>
              <w:top w:w="128" w:type="dxa"/>
              <w:left w:w="43" w:type="dxa"/>
              <w:bottom w:w="43" w:type="dxa"/>
              <w:right w:w="43" w:type="dxa"/>
            </w:tcMar>
            <w:vAlign w:val="bottom"/>
          </w:tcPr>
          <w:p w14:paraId="20149AF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189F39C" w14:textId="77777777" w:rsidR="000A2A2B" w:rsidRPr="007C3060" w:rsidRDefault="000A2A2B" w:rsidP="007C3060"/>
        </w:tc>
      </w:tr>
      <w:tr w:rsidR="004B729E" w:rsidRPr="007C3060" w14:paraId="44C02A6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38245EB" w14:textId="77777777" w:rsidR="000A2A2B" w:rsidRPr="007C3060" w:rsidRDefault="000A2A2B" w:rsidP="007C3060">
            <w:r w:rsidRPr="007C3060">
              <w:t>745</w:t>
            </w:r>
          </w:p>
        </w:tc>
        <w:tc>
          <w:tcPr>
            <w:tcW w:w="992" w:type="dxa"/>
            <w:tcBorders>
              <w:top w:val="nil"/>
              <w:left w:val="nil"/>
              <w:bottom w:val="nil"/>
              <w:right w:val="nil"/>
            </w:tcBorders>
            <w:tcMar>
              <w:top w:w="128" w:type="dxa"/>
              <w:left w:w="43" w:type="dxa"/>
              <w:bottom w:w="43" w:type="dxa"/>
              <w:right w:w="123" w:type="dxa"/>
            </w:tcMar>
          </w:tcPr>
          <w:p w14:paraId="37C10AF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3CF2B62" w14:textId="77777777" w:rsidR="000A2A2B" w:rsidRPr="007C3060" w:rsidRDefault="000A2A2B" w:rsidP="007C3060">
            <w:r w:rsidRPr="007C3060">
              <w:t>Folkehelseinstituttet:</w:t>
            </w:r>
          </w:p>
        </w:tc>
        <w:tc>
          <w:tcPr>
            <w:tcW w:w="1717" w:type="dxa"/>
            <w:tcBorders>
              <w:top w:val="nil"/>
              <w:left w:val="nil"/>
              <w:bottom w:val="nil"/>
              <w:right w:val="nil"/>
            </w:tcBorders>
            <w:tcMar>
              <w:top w:w="128" w:type="dxa"/>
              <w:left w:w="43" w:type="dxa"/>
              <w:bottom w:w="43" w:type="dxa"/>
              <w:right w:w="43" w:type="dxa"/>
            </w:tcMar>
            <w:vAlign w:val="bottom"/>
          </w:tcPr>
          <w:p w14:paraId="3DC00D2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BC5F7CD" w14:textId="77777777" w:rsidR="000A2A2B" w:rsidRPr="007C3060" w:rsidRDefault="000A2A2B" w:rsidP="007C3060"/>
        </w:tc>
      </w:tr>
      <w:tr w:rsidR="004B729E" w:rsidRPr="007C3060" w14:paraId="0035CD1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B27440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C688FA3"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625B3FAC" w14:textId="77777777" w:rsidR="000A2A2B" w:rsidRPr="007C3060" w:rsidRDefault="000A2A2B" w:rsidP="007C3060">
            <w:r w:rsidRPr="007C3060">
              <w:t>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61A6930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E647DAA" w14:textId="77777777" w:rsidR="000A2A2B" w:rsidRPr="007C3060" w:rsidRDefault="000A2A2B" w:rsidP="007C3060">
            <w:r w:rsidRPr="007C3060">
              <w:t>56 800 000</w:t>
            </w:r>
          </w:p>
        </w:tc>
      </w:tr>
      <w:tr w:rsidR="004B729E" w:rsidRPr="007C3060" w14:paraId="00DD0C1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B096EC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3EC95F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6416D95" w14:textId="77777777" w:rsidR="000A2A2B" w:rsidRPr="007C3060" w:rsidRDefault="000A2A2B" w:rsidP="007C3060">
            <w:r w:rsidRPr="007C3060">
              <w:t>fra kr 1 604 933 000 til kr 1 548 133 000</w:t>
            </w:r>
          </w:p>
        </w:tc>
        <w:tc>
          <w:tcPr>
            <w:tcW w:w="1717" w:type="dxa"/>
            <w:tcBorders>
              <w:top w:val="nil"/>
              <w:left w:val="nil"/>
              <w:bottom w:val="nil"/>
              <w:right w:val="nil"/>
            </w:tcBorders>
            <w:tcMar>
              <w:top w:w="128" w:type="dxa"/>
              <w:left w:w="43" w:type="dxa"/>
              <w:bottom w:w="43" w:type="dxa"/>
              <w:right w:w="43" w:type="dxa"/>
            </w:tcMar>
            <w:vAlign w:val="bottom"/>
          </w:tcPr>
          <w:p w14:paraId="5715D2F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B4AD512" w14:textId="77777777" w:rsidR="000A2A2B" w:rsidRPr="007C3060" w:rsidRDefault="000A2A2B" w:rsidP="007C3060"/>
        </w:tc>
      </w:tr>
      <w:tr w:rsidR="004B729E" w:rsidRPr="007C3060" w14:paraId="41E7F7F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B25FEF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BB30214"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5D638EFB" w14:textId="77777777" w:rsidR="000A2A2B" w:rsidRPr="007C3060" w:rsidRDefault="000A2A2B" w:rsidP="007C3060">
            <w:r w:rsidRPr="007C3060">
              <w:t xml:space="preserve">Spesielle driftsutgifter,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4F712B9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A23C16" w14:textId="77777777" w:rsidR="000A2A2B" w:rsidRPr="007C3060" w:rsidRDefault="000A2A2B" w:rsidP="007C3060">
            <w:r w:rsidRPr="007C3060">
              <w:t>102 800 000</w:t>
            </w:r>
          </w:p>
        </w:tc>
      </w:tr>
      <w:tr w:rsidR="004B729E" w:rsidRPr="007C3060" w14:paraId="5F9192F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B20FF7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BF4992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1A40D77" w14:textId="77777777" w:rsidR="000A2A2B" w:rsidRPr="007C3060" w:rsidRDefault="000A2A2B" w:rsidP="007C3060">
            <w:r w:rsidRPr="007C3060">
              <w:t>fra kr 182 219 000 til kr 285 019 000</w:t>
            </w:r>
          </w:p>
        </w:tc>
        <w:tc>
          <w:tcPr>
            <w:tcW w:w="1717" w:type="dxa"/>
            <w:tcBorders>
              <w:top w:val="nil"/>
              <w:left w:val="nil"/>
              <w:bottom w:val="nil"/>
              <w:right w:val="nil"/>
            </w:tcBorders>
            <w:tcMar>
              <w:top w:w="128" w:type="dxa"/>
              <w:left w:w="43" w:type="dxa"/>
              <w:bottom w:w="43" w:type="dxa"/>
              <w:right w:w="43" w:type="dxa"/>
            </w:tcMar>
            <w:vAlign w:val="bottom"/>
          </w:tcPr>
          <w:p w14:paraId="7DA54CB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97D1B6A" w14:textId="77777777" w:rsidR="000A2A2B" w:rsidRPr="007C3060" w:rsidRDefault="000A2A2B" w:rsidP="007C3060"/>
        </w:tc>
      </w:tr>
      <w:tr w:rsidR="004B729E" w:rsidRPr="007C3060" w14:paraId="0F563DC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EC0D9CF" w14:textId="77777777" w:rsidR="000A2A2B" w:rsidRPr="007C3060" w:rsidRDefault="000A2A2B" w:rsidP="007C3060">
            <w:r w:rsidRPr="007C3060">
              <w:t>747</w:t>
            </w:r>
          </w:p>
        </w:tc>
        <w:tc>
          <w:tcPr>
            <w:tcW w:w="992" w:type="dxa"/>
            <w:tcBorders>
              <w:top w:val="nil"/>
              <w:left w:val="nil"/>
              <w:bottom w:val="nil"/>
              <w:right w:val="nil"/>
            </w:tcBorders>
            <w:tcMar>
              <w:top w:w="128" w:type="dxa"/>
              <w:left w:w="43" w:type="dxa"/>
              <w:bottom w:w="43" w:type="dxa"/>
              <w:right w:w="123" w:type="dxa"/>
            </w:tcMar>
          </w:tcPr>
          <w:p w14:paraId="7770DB9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FA57119" w14:textId="77777777" w:rsidR="000A2A2B" w:rsidRPr="007C3060" w:rsidRDefault="000A2A2B" w:rsidP="007C3060">
            <w:r w:rsidRPr="007C3060">
              <w:t>Direktoratet for strålevern og atomsikkerhet:</w:t>
            </w:r>
          </w:p>
        </w:tc>
        <w:tc>
          <w:tcPr>
            <w:tcW w:w="1717" w:type="dxa"/>
            <w:tcBorders>
              <w:top w:val="nil"/>
              <w:left w:val="nil"/>
              <w:bottom w:val="nil"/>
              <w:right w:val="nil"/>
            </w:tcBorders>
            <w:tcMar>
              <w:top w:w="128" w:type="dxa"/>
              <w:left w:w="43" w:type="dxa"/>
              <w:bottom w:w="43" w:type="dxa"/>
              <w:right w:w="43" w:type="dxa"/>
            </w:tcMar>
            <w:vAlign w:val="bottom"/>
          </w:tcPr>
          <w:p w14:paraId="48F090F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FF5449E" w14:textId="77777777" w:rsidR="000A2A2B" w:rsidRPr="007C3060" w:rsidRDefault="000A2A2B" w:rsidP="007C3060"/>
        </w:tc>
      </w:tr>
      <w:tr w:rsidR="004B729E" w:rsidRPr="007C3060" w14:paraId="7A1F36B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A8D206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322290E"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208DB2C3"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770FB0E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002E530" w14:textId="77777777" w:rsidR="000A2A2B" w:rsidRPr="007C3060" w:rsidRDefault="000A2A2B" w:rsidP="007C3060">
            <w:r w:rsidRPr="007C3060">
              <w:t>3 000 000</w:t>
            </w:r>
          </w:p>
        </w:tc>
      </w:tr>
      <w:tr w:rsidR="004B729E" w:rsidRPr="007C3060" w14:paraId="4ABD0FC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A838B0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379AFB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E56B1FC" w14:textId="77777777" w:rsidR="000A2A2B" w:rsidRPr="007C3060" w:rsidRDefault="000A2A2B" w:rsidP="007C3060">
            <w:r w:rsidRPr="007C3060">
              <w:t>fra kr 204 085 000 til kr 207 085 000</w:t>
            </w:r>
          </w:p>
        </w:tc>
        <w:tc>
          <w:tcPr>
            <w:tcW w:w="1717" w:type="dxa"/>
            <w:tcBorders>
              <w:top w:val="nil"/>
              <w:left w:val="nil"/>
              <w:bottom w:val="nil"/>
              <w:right w:val="nil"/>
            </w:tcBorders>
            <w:tcMar>
              <w:top w:w="128" w:type="dxa"/>
              <w:left w:w="43" w:type="dxa"/>
              <w:bottom w:w="43" w:type="dxa"/>
              <w:right w:w="43" w:type="dxa"/>
            </w:tcMar>
            <w:vAlign w:val="bottom"/>
          </w:tcPr>
          <w:p w14:paraId="4EF6D45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E3D8FA8" w14:textId="77777777" w:rsidR="000A2A2B" w:rsidRPr="007C3060" w:rsidRDefault="000A2A2B" w:rsidP="007C3060"/>
        </w:tc>
      </w:tr>
      <w:tr w:rsidR="004B729E" w:rsidRPr="007C3060" w14:paraId="34390F0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2120BFF" w14:textId="77777777" w:rsidR="000A2A2B" w:rsidRPr="007C3060" w:rsidRDefault="000A2A2B" w:rsidP="007C3060">
            <w:r w:rsidRPr="007C3060">
              <w:t>748</w:t>
            </w:r>
          </w:p>
        </w:tc>
        <w:tc>
          <w:tcPr>
            <w:tcW w:w="992" w:type="dxa"/>
            <w:tcBorders>
              <w:top w:val="nil"/>
              <w:left w:val="nil"/>
              <w:bottom w:val="nil"/>
              <w:right w:val="nil"/>
            </w:tcBorders>
            <w:tcMar>
              <w:top w:w="128" w:type="dxa"/>
              <w:left w:w="43" w:type="dxa"/>
              <w:bottom w:w="43" w:type="dxa"/>
              <w:right w:w="123" w:type="dxa"/>
            </w:tcMar>
          </w:tcPr>
          <w:p w14:paraId="196307E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7333A0F" w14:textId="77777777" w:rsidR="000A2A2B" w:rsidRPr="007C3060" w:rsidRDefault="000A2A2B" w:rsidP="007C3060">
            <w:r w:rsidRPr="007C3060">
              <w:t>Statens helsetilsyn:</w:t>
            </w:r>
          </w:p>
        </w:tc>
        <w:tc>
          <w:tcPr>
            <w:tcW w:w="1717" w:type="dxa"/>
            <w:tcBorders>
              <w:top w:val="nil"/>
              <w:left w:val="nil"/>
              <w:bottom w:val="nil"/>
              <w:right w:val="nil"/>
            </w:tcBorders>
            <w:tcMar>
              <w:top w:w="128" w:type="dxa"/>
              <w:left w:w="43" w:type="dxa"/>
              <w:bottom w:w="43" w:type="dxa"/>
              <w:right w:w="43" w:type="dxa"/>
            </w:tcMar>
            <w:vAlign w:val="bottom"/>
          </w:tcPr>
          <w:p w14:paraId="5346FEB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5A63480" w14:textId="77777777" w:rsidR="000A2A2B" w:rsidRPr="007C3060" w:rsidRDefault="000A2A2B" w:rsidP="007C3060"/>
        </w:tc>
      </w:tr>
      <w:tr w:rsidR="004B729E" w:rsidRPr="007C3060" w14:paraId="3D23544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C027B6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644DB8F"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2AA7DF2F" w14:textId="77777777" w:rsidR="000A2A2B" w:rsidRPr="007C3060" w:rsidRDefault="000A2A2B" w:rsidP="007C3060">
            <w:r w:rsidRPr="007C3060">
              <w:t xml:space="preserve">Spesielle driftsutgifter,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0529C69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EB3A73B" w14:textId="77777777" w:rsidR="000A2A2B" w:rsidRPr="007C3060" w:rsidRDefault="000A2A2B" w:rsidP="007C3060">
            <w:r w:rsidRPr="007C3060">
              <w:t>7 500 000</w:t>
            </w:r>
          </w:p>
        </w:tc>
      </w:tr>
      <w:tr w:rsidR="004B729E" w:rsidRPr="007C3060" w14:paraId="25F19A8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F6428F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0836B8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CC13346" w14:textId="77777777" w:rsidR="000A2A2B" w:rsidRPr="007C3060" w:rsidRDefault="000A2A2B" w:rsidP="007C3060">
            <w:r w:rsidRPr="007C3060">
              <w:t>fra kr 11 000 000 til kr 18 500 000</w:t>
            </w:r>
          </w:p>
        </w:tc>
        <w:tc>
          <w:tcPr>
            <w:tcW w:w="1717" w:type="dxa"/>
            <w:tcBorders>
              <w:top w:val="nil"/>
              <w:left w:val="nil"/>
              <w:bottom w:val="nil"/>
              <w:right w:val="nil"/>
            </w:tcBorders>
            <w:tcMar>
              <w:top w:w="128" w:type="dxa"/>
              <w:left w:w="43" w:type="dxa"/>
              <w:bottom w:w="43" w:type="dxa"/>
              <w:right w:w="43" w:type="dxa"/>
            </w:tcMar>
            <w:vAlign w:val="bottom"/>
          </w:tcPr>
          <w:p w14:paraId="3AD8C95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9B1D2D2" w14:textId="77777777" w:rsidR="000A2A2B" w:rsidRPr="007C3060" w:rsidRDefault="000A2A2B" w:rsidP="007C3060"/>
        </w:tc>
      </w:tr>
      <w:tr w:rsidR="004B729E" w:rsidRPr="007C3060" w14:paraId="7FB7544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0C31260" w14:textId="77777777" w:rsidR="000A2A2B" w:rsidRPr="007C3060" w:rsidRDefault="000A2A2B" w:rsidP="007C3060">
            <w:r w:rsidRPr="007C3060">
              <w:t>760</w:t>
            </w:r>
          </w:p>
        </w:tc>
        <w:tc>
          <w:tcPr>
            <w:tcW w:w="992" w:type="dxa"/>
            <w:tcBorders>
              <w:top w:val="nil"/>
              <w:left w:val="nil"/>
              <w:bottom w:val="nil"/>
              <w:right w:val="nil"/>
            </w:tcBorders>
            <w:tcMar>
              <w:top w:w="128" w:type="dxa"/>
              <w:left w:w="43" w:type="dxa"/>
              <w:bottom w:w="43" w:type="dxa"/>
              <w:right w:w="123" w:type="dxa"/>
            </w:tcMar>
          </w:tcPr>
          <w:p w14:paraId="16A4D01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BCF7BFC" w14:textId="77777777" w:rsidR="000A2A2B" w:rsidRPr="007C3060" w:rsidRDefault="000A2A2B" w:rsidP="007C3060">
            <w:r w:rsidRPr="007C3060">
              <w:t>Kommunale helse- og omsorgstjenester:</w:t>
            </w:r>
          </w:p>
        </w:tc>
        <w:tc>
          <w:tcPr>
            <w:tcW w:w="1717" w:type="dxa"/>
            <w:tcBorders>
              <w:top w:val="nil"/>
              <w:left w:val="nil"/>
              <w:bottom w:val="nil"/>
              <w:right w:val="nil"/>
            </w:tcBorders>
            <w:tcMar>
              <w:top w:w="128" w:type="dxa"/>
              <w:left w:w="43" w:type="dxa"/>
              <w:bottom w:w="43" w:type="dxa"/>
              <w:right w:w="43" w:type="dxa"/>
            </w:tcMar>
            <w:vAlign w:val="bottom"/>
          </w:tcPr>
          <w:p w14:paraId="71D461E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BBC3E84" w14:textId="77777777" w:rsidR="000A2A2B" w:rsidRPr="007C3060" w:rsidRDefault="000A2A2B" w:rsidP="007C3060"/>
        </w:tc>
      </w:tr>
      <w:tr w:rsidR="004B729E" w:rsidRPr="007C3060" w14:paraId="4AAED118"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729DBA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BDD3D42"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5183FCC5" w14:textId="77777777" w:rsidR="000A2A2B" w:rsidRPr="007C3060" w:rsidRDefault="000A2A2B" w:rsidP="007C3060">
            <w:r w:rsidRPr="007C3060">
              <w:t xml:space="preserve">Spesielle driftsutgifter, </w:t>
            </w:r>
            <w:r w:rsidRPr="007C3060">
              <w:rPr>
                <w:rStyle w:val="kursiv"/>
              </w:rPr>
              <w:t>kan nyttes under postene 70 og 71,</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4F84EBB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95345F0" w14:textId="77777777" w:rsidR="000A2A2B" w:rsidRPr="007C3060" w:rsidRDefault="000A2A2B" w:rsidP="007C3060">
            <w:r w:rsidRPr="007C3060">
              <w:t>20 000 000</w:t>
            </w:r>
          </w:p>
        </w:tc>
      </w:tr>
      <w:tr w:rsidR="004B729E" w:rsidRPr="007C3060" w14:paraId="6B50A05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F98557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212B41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2934FEA" w14:textId="77777777" w:rsidR="000A2A2B" w:rsidRPr="007C3060" w:rsidRDefault="000A2A2B" w:rsidP="007C3060">
            <w:r w:rsidRPr="007C3060">
              <w:t>fra kr 419 911 000 til kr 439 911 000</w:t>
            </w:r>
          </w:p>
        </w:tc>
        <w:tc>
          <w:tcPr>
            <w:tcW w:w="1717" w:type="dxa"/>
            <w:tcBorders>
              <w:top w:val="nil"/>
              <w:left w:val="nil"/>
              <w:bottom w:val="nil"/>
              <w:right w:val="nil"/>
            </w:tcBorders>
            <w:tcMar>
              <w:top w:w="128" w:type="dxa"/>
              <w:left w:w="43" w:type="dxa"/>
              <w:bottom w:w="43" w:type="dxa"/>
              <w:right w:w="43" w:type="dxa"/>
            </w:tcMar>
            <w:vAlign w:val="bottom"/>
          </w:tcPr>
          <w:p w14:paraId="086D860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CBB5FA1" w14:textId="77777777" w:rsidR="000A2A2B" w:rsidRPr="007C3060" w:rsidRDefault="000A2A2B" w:rsidP="007C3060"/>
        </w:tc>
      </w:tr>
      <w:tr w:rsidR="004B729E" w:rsidRPr="007C3060" w14:paraId="37724AA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F2334F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4B2E295" w14:textId="77777777" w:rsidR="000A2A2B" w:rsidRPr="007C3060" w:rsidRDefault="000A2A2B" w:rsidP="007C3060">
            <w:r w:rsidRPr="007C3060">
              <w:t>60</w:t>
            </w:r>
          </w:p>
        </w:tc>
        <w:tc>
          <w:tcPr>
            <w:tcW w:w="4819" w:type="dxa"/>
            <w:tcBorders>
              <w:top w:val="nil"/>
              <w:left w:val="nil"/>
              <w:bottom w:val="nil"/>
              <w:right w:val="nil"/>
            </w:tcBorders>
            <w:tcMar>
              <w:top w:w="128" w:type="dxa"/>
              <w:left w:w="43" w:type="dxa"/>
              <w:bottom w:w="43" w:type="dxa"/>
              <w:right w:w="43" w:type="dxa"/>
            </w:tcMar>
            <w:vAlign w:val="bottom"/>
          </w:tcPr>
          <w:p w14:paraId="6DAB5095" w14:textId="77777777" w:rsidR="000A2A2B" w:rsidRPr="007C3060" w:rsidRDefault="000A2A2B" w:rsidP="007C3060">
            <w:r w:rsidRPr="007C3060">
              <w:t>Kompetanse, rekruttering og innovasjon, forhøyes med</w:t>
            </w:r>
          </w:p>
        </w:tc>
        <w:tc>
          <w:tcPr>
            <w:tcW w:w="1717" w:type="dxa"/>
            <w:tcBorders>
              <w:top w:val="nil"/>
              <w:left w:val="nil"/>
              <w:bottom w:val="nil"/>
              <w:right w:val="nil"/>
            </w:tcBorders>
            <w:tcMar>
              <w:top w:w="128" w:type="dxa"/>
              <w:left w:w="43" w:type="dxa"/>
              <w:bottom w:w="43" w:type="dxa"/>
              <w:right w:w="43" w:type="dxa"/>
            </w:tcMar>
            <w:vAlign w:val="bottom"/>
          </w:tcPr>
          <w:p w14:paraId="603F57E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91BB817" w14:textId="77777777" w:rsidR="000A2A2B" w:rsidRPr="007C3060" w:rsidRDefault="000A2A2B" w:rsidP="007C3060">
            <w:r w:rsidRPr="007C3060">
              <w:t>17 000 000</w:t>
            </w:r>
          </w:p>
        </w:tc>
      </w:tr>
      <w:tr w:rsidR="004B729E" w:rsidRPr="007C3060" w14:paraId="1DF0405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6A6017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994140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0D1B898" w14:textId="77777777" w:rsidR="000A2A2B" w:rsidRPr="007C3060" w:rsidRDefault="000A2A2B" w:rsidP="007C3060">
            <w:r w:rsidRPr="007C3060">
              <w:t>fra kr 1 267 302 000 til kr 1 284 302 000</w:t>
            </w:r>
          </w:p>
        </w:tc>
        <w:tc>
          <w:tcPr>
            <w:tcW w:w="1717" w:type="dxa"/>
            <w:tcBorders>
              <w:top w:val="nil"/>
              <w:left w:val="nil"/>
              <w:bottom w:val="nil"/>
              <w:right w:val="nil"/>
            </w:tcBorders>
            <w:tcMar>
              <w:top w:w="128" w:type="dxa"/>
              <w:left w:w="43" w:type="dxa"/>
              <w:bottom w:w="43" w:type="dxa"/>
              <w:right w:w="43" w:type="dxa"/>
            </w:tcMar>
            <w:vAlign w:val="bottom"/>
          </w:tcPr>
          <w:p w14:paraId="68A38DD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584424C" w14:textId="77777777" w:rsidR="000A2A2B" w:rsidRPr="007C3060" w:rsidRDefault="000A2A2B" w:rsidP="007C3060"/>
        </w:tc>
      </w:tr>
      <w:tr w:rsidR="004B729E" w:rsidRPr="007C3060" w14:paraId="6EBA34D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4E2191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0E83629" w14:textId="77777777" w:rsidR="000A2A2B" w:rsidRPr="007C3060" w:rsidRDefault="000A2A2B" w:rsidP="007C3060">
            <w:r w:rsidRPr="007C3060">
              <w:t>63</w:t>
            </w:r>
          </w:p>
        </w:tc>
        <w:tc>
          <w:tcPr>
            <w:tcW w:w="4819" w:type="dxa"/>
            <w:tcBorders>
              <w:top w:val="nil"/>
              <w:left w:val="nil"/>
              <w:bottom w:val="nil"/>
              <w:right w:val="nil"/>
            </w:tcBorders>
            <w:tcMar>
              <w:top w:w="128" w:type="dxa"/>
              <w:left w:w="43" w:type="dxa"/>
              <w:bottom w:w="43" w:type="dxa"/>
              <w:right w:w="43" w:type="dxa"/>
            </w:tcMar>
            <w:vAlign w:val="bottom"/>
          </w:tcPr>
          <w:p w14:paraId="377270FA" w14:textId="14882635" w:rsidR="000A2A2B" w:rsidRPr="007C3060" w:rsidRDefault="000A2A2B" w:rsidP="007C3060">
            <w:r w:rsidRPr="007C3060">
              <w:t xml:space="preserve">Investeringstilskudd til heldøgns omsorgsplasser, </w:t>
            </w:r>
            <w:r w:rsidRPr="007C3060">
              <w:rPr>
                <w:rStyle w:val="kursiv"/>
              </w:rPr>
              <w:t xml:space="preserve">kan </w:t>
            </w:r>
            <w:proofErr w:type="gramStart"/>
            <w:r w:rsidRPr="007C3060">
              <w:rPr>
                <w:rStyle w:val="kursiv"/>
              </w:rPr>
              <w:t>overføres,-</w:t>
            </w:r>
            <w:proofErr w:type="gramEnd"/>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3C64F57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82AD857" w14:textId="77777777" w:rsidR="000A2A2B" w:rsidRPr="007C3060" w:rsidRDefault="000A2A2B" w:rsidP="007C3060">
            <w:r w:rsidRPr="007C3060">
              <w:t>194 000 000</w:t>
            </w:r>
          </w:p>
        </w:tc>
      </w:tr>
      <w:tr w:rsidR="004B729E" w:rsidRPr="007C3060" w14:paraId="1E01987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88A98B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8107DC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BB59C59" w14:textId="77777777" w:rsidR="000A2A2B" w:rsidRPr="007C3060" w:rsidRDefault="000A2A2B" w:rsidP="007C3060">
            <w:r w:rsidRPr="007C3060">
              <w:t>fra kr 2 323 970 000 til kr 2 129 970 000</w:t>
            </w:r>
          </w:p>
        </w:tc>
        <w:tc>
          <w:tcPr>
            <w:tcW w:w="1717" w:type="dxa"/>
            <w:tcBorders>
              <w:top w:val="nil"/>
              <w:left w:val="nil"/>
              <w:bottom w:val="nil"/>
              <w:right w:val="nil"/>
            </w:tcBorders>
            <w:tcMar>
              <w:top w:w="128" w:type="dxa"/>
              <w:left w:w="43" w:type="dxa"/>
              <w:bottom w:w="43" w:type="dxa"/>
              <w:right w:w="43" w:type="dxa"/>
            </w:tcMar>
            <w:vAlign w:val="bottom"/>
          </w:tcPr>
          <w:p w14:paraId="713BDB9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06356B1" w14:textId="77777777" w:rsidR="000A2A2B" w:rsidRPr="007C3060" w:rsidRDefault="000A2A2B" w:rsidP="007C3060"/>
        </w:tc>
      </w:tr>
      <w:tr w:rsidR="004B729E" w:rsidRPr="007C3060" w14:paraId="3903AE0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E42269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ACEDB74"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3CC5A2E5" w14:textId="77777777" w:rsidR="000A2A2B" w:rsidRPr="007C3060" w:rsidRDefault="000A2A2B" w:rsidP="007C3060">
            <w:r w:rsidRPr="007C3060">
              <w:t xml:space="preserve">Tilskudd, </w:t>
            </w:r>
            <w:r w:rsidRPr="007C3060">
              <w:rPr>
                <w:rStyle w:val="kursiv"/>
              </w:rPr>
              <w:t>kan nyttes under post 21,</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0506F60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719EF71" w14:textId="77777777" w:rsidR="000A2A2B" w:rsidRPr="007C3060" w:rsidRDefault="000A2A2B" w:rsidP="007C3060">
            <w:r w:rsidRPr="007C3060">
              <w:t>8 800 000</w:t>
            </w:r>
          </w:p>
        </w:tc>
      </w:tr>
      <w:tr w:rsidR="004B729E" w:rsidRPr="007C3060" w14:paraId="7B54298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D37EC4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570404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E5FA203" w14:textId="77777777" w:rsidR="000A2A2B" w:rsidRPr="007C3060" w:rsidRDefault="000A2A2B" w:rsidP="007C3060">
            <w:r w:rsidRPr="007C3060">
              <w:t>fra kr 378 705 000 til kr 369 905 000</w:t>
            </w:r>
          </w:p>
        </w:tc>
        <w:tc>
          <w:tcPr>
            <w:tcW w:w="1717" w:type="dxa"/>
            <w:tcBorders>
              <w:top w:val="nil"/>
              <w:left w:val="nil"/>
              <w:bottom w:val="nil"/>
              <w:right w:val="nil"/>
            </w:tcBorders>
            <w:tcMar>
              <w:top w:w="128" w:type="dxa"/>
              <w:left w:w="43" w:type="dxa"/>
              <w:bottom w:w="43" w:type="dxa"/>
              <w:right w:w="43" w:type="dxa"/>
            </w:tcMar>
            <w:vAlign w:val="bottom"/>
          </w:tcPr>
          <w:p w14:paraId="35D7375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C72CDF6" w14:textId="77777777" w:rsidR="000A2A2B" w:rsidRPr="007C3060" w:rsidRDefault="000A2A2B" w:rsidP="007C3060"/>
        </w:tc>
      </w:tr>
      <w:tr w:rsidR="004B729E" w:rsidRPr="007C3060" w14:paraId="2229D70C"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6CA5E6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C95B74A"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16A59276" w14:textId="462E6D2F" w:rsidR="000A2A2B" w:rsidRPr="007C3060" w:rsidRDefault="000A2A2B" w:rsidP="007C3060">
            <w:r w:rsidRPr="007C3060">
              <w:t xml:space="preserve">Kompetanse-, forsknings- og rekrutteringstiltak, </w:t>
            </w:r>
            <w:r w:rsidRPr="007C3060">
              <w:rPr>
                <w:rStyle w:val="kursiv"/>
              </w:rPr>
              <w:t xml:space="preserve">kan nyttes under post 21, </w:t>
            </w:r>
            <w:r w:rsidRPr="007C3060">
              <w:t>forhøyes med</w:t>
            </w:r>
          </w:p>
        </w:tc>
        <w:tc>
          <w:tcPr>
            <w:tcW w:w="1717" w:type="dxa"/>
            <w:tcBorders>
              <w:top w:val="nil"/>
              <w:left w:val="nil"/>
              <w:bottom w:val="nil"/>
              <w:right w:val="nil"/>
            </w:tcBorders>
            <w:tcMar>
              <w:top w:w="128" w:type="dxa"/>
              <w:left w:w="43" w:type="dxa"/>
              <w:bottom w:w="43" w:type="dxa"/>
              <w:right w:w="43" w:type="dxa"/>
            </w:tcMar>
            <w:vAlign w:val="bottom"/>
          </w:tcPr>
          <w:p w14:paraId="68F0870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E788F99" w14:textId="77777777" w:rsidR="000A2A2B" w:rsidRPr="007C3060" w:rsidRDefault="000A2A2B" w:rsidP="007C3060">
            <w:r w:rsidRPr="007C3060">
              <w:t>10 000 000</w:t>
            </w:r>
          </w:p>
        </w:tc>
      </w:tr>
      <w:tr w:rsidR="004B729E" w:rsidRPr="007C3060" w14:paraId="44D6FAB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A2BA19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6E289C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BCC570F" w14:textId="77777777" w:rsidR="000A2A2B" w:rsidRPr="007C3060" w:rsidRDefault="000A2A2B" w:rsidP="007C3060">
            <w:r w:rsidRPr="007C3060">
              <w:t>fra kr 224 368 000 til kr 234 368 000</w:t>
            </w:r>
          </w:p>
        </w:tc>
        <w:tc>
          <w:tcPr>
            <w:tcW w:w="1717" w:type="dxa"/>
            <w:tcBorders>
              <w:top w:val="nil"/>
              <w:left w:val="nil"/>
              <w:bottom w:val="nil"/>
              <w:right w:val="nil"/>
            </w:tcBorders>
            <w:tcMar>
              <w:top w:w="128" w:type="dxa"/>
              <w:left w:w="43" w:type="dxa"/>
              <w:bottom w:w="43" w:type="dxa"/>
              <w:right w:w="43" w:type="dxa"/>
            </w:tcMar>
            <w:vAlign w:val="bottom"/>
          </w:tcPr>
          <w:p w14:paraId="5934A40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385889E" w14:textId="77777777" w:rsidR="000A2A2B" w:rsidRPr="007C3060" w:rsidRDefault="000A2A2B" w:rsidP="007C3060"/>
        </w:tc>
      </w:tr>
      <w:tr w:rsidR="004B729E" w:rsidRPr="007C3060" w14:paraId="7D49CCD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65C950D" w14:textId="77777777" w:rsidR="000A2A2B" w:rsidRPr="007C3060" w:rsidRDefault="000A2A2B" w:rsidP="007C3060">
            <w:r w:rsidRPr="007C3060">
              <w:t>765</w:t>
            </w:r>
          </w:p>
        </w:tc>
        <w:tc>
          <w:tcPr>
            <w:tcW w:w="992" w:type="dxa"/>
            <w:tcBorders>
              <w:top w:val="nil"/>
              <w:left w:val="nil"/>
              <w:bottom w:val="nil"/>
              <w:right w:val="nil"/>
            </w:tcBorders>
            <w:tcMar>
              <w:top w:w="128" w:type="dxa"/>
              <w:left w:w="43" w:type="dxa"/>
              <w:bottom w:w="43" w:type="dxa"/>
              <w:right w:w="123" w:type="dxa"/>
            </w:tcMar>
          </w:tcPr>
          <w:p w14:paraId="28CEB60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D2A7ED1" w14:textId="77777777" w:rsidR="000A2A2B" w:rsidRPr="007C3060" w:rsidRDefault="000A2A2B" w:rsidP="007C3060">
            <w:r w:rsidRPr="007C3060">
              <w:t>Psykisk helse, rus og vold:</w:t>
            </w:r>
          </w:p>
        </w:tc>
        <w:tc>
          <w:tcPr>
            <w:tcW w:w="1717" w:type="dxa"/>
            <w:tcBorders>
              <w:top w:val="nil"/>
              <w:left w:val="nil"/>
              <w:bottom w:val="nil"/>
              <w:right w:val="nil"/>
            </w:tcBorders>
            <w:tcMar>
              <w:top w:w="128" w:type="dxa"/>
              <w:left w:w="43" w:type="dxa"/>
              <w:bottom w:w="43" w:type="dxa"/>
              <w:right w:w="43" w:type="dxa"/>
            </w:tcMar>
            <w:vAlign w:val="bottom"/>
          </w:tcPr>
          <w:p w14:paraId="024FE1F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D9C392A" w14:textId="77777777" w:rsidR="000A2A2B" w:rsidRPr="007C3060" w:rsidRDefault="000A2A2B" w:rsidP="007C3060"/>
        </w:tc>
      </w:tr>
      <w:tr w:rsidR="004B729E" w:rsidRPr="007C3060" w14:paraId="5D8405A0"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34410A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53F8127"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604A8EA1" w14:textId="7E1F8B2C" w:rsidR="000A2A2B" w:rsidRPr="007C3060" w:rsidRDefault="000A2A2B" w:rsidP="007C3060">
            <w:r w:rsidRPr="007C3060">
              <w:t xml:space="preserve">Spesielle driftsutgifter, </w:t>
            </w:r>
            <w:r w:rsidRPr="007C3060">
              <w:rPr>
                <w:rStyle w:val="kursiv"/>
              </w:rPr>
              <w:t>kan overføres, kan nyttes under post 72,</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274EB20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1113DFE" w14:textId="77777777" w:rsidR="000A2A2B" w:rsidRPr="007C3060" w:rsidRDefault="000A2A2B" w:rsidP="007C3060">
            <w:r w:rsidRPr="007C3060">
              <w:t>9 000 000</w:t>
            </w:r>
          </w:p>
        </w:tc>
      </w:tr>
      <w:tr w:rsidR="004B729E" w:rsidRPr="007C3060" w14:paraId="1CBA5A4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CD8A87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EC4835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3EEDEAC" w14:textId="77777777" w:rsidR="000A2A2B" w:rsidRPr="007C3060" w:rsidRDefault="000A2A2B" w:rsidP="007C3060">
            <w:r w:rsidRPr="007C3060">
              <w:t>fra kr 193 147 000 til kr 184 147 000</w:t>
            </w:r>
          </w:p>
        </w:tc>
        <w:tc>
          <w:tcPr>
            <w:tcW w:w="1717" w:type="dxa"/>
            <w:tcBorders>
              <w:top w:val="nil"/>
              <w:left w:val="nil"/>
              <w:bottom w:val="nil"/>
              <w:right w:val="nil"/>
            </w:tcBorders>
            <w:tcMar>
              <w:top w:w="128" w:type="dxa"/>
              <w:left w:w="43" w:type="dxa"/>
              <w:bottom w:w="43" w:type="dxa"/>
              <w:right w:w="43" w:type="dxa"/>
            </w:tcMar>
            <w:vAlign w:val="bottom"/>
          </w:tcPr>
          <w:p w14:paraId="1DE125F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179E7B1" w14:textId="77777777" w:rsidR="000A2A2B" w:rsidRPr="007C3060" w:rsidRDefault="000A2A2B" w:rsidP="007C3060"/>
        </w:tc>
      </w:tr>
      <w:tr w:rsidR="004B729E" w:rsidRPr="007C3060" w14:paraId="2F253DF6"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4261BA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4FEAE0E"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29681C44" w14:textId="1B2B14CB" w:rsidR="000A2A2B" w:rsidRPr="007C3060" w:rsidRDefault="000A2A2B" w:rsidP="007C3060">
            <w:r w:rsidRPr="007C3060">
              <w:t xml:space="preserve">Frivillig arbeid mv., </w:t>
            </w:r>
            <w:r w:rsidRPr="007C3060">
              <w:rPr>
                <w:rStyle w:val="kursiv"/>
              </w:rPr>
              <w:t>kan overføres, kan nyttes under post 21,</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1A1113A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C2AC070" w14:textId="77777777" w:rsidR="000A2A2B" w:rsidRPr="007C3060" w:rsidRDefault="000A2A2B" w:rsidP="007C3060">
            <w:r w:rsidRPr="007C3060">
              <w:t>3 000 000</w:t>
            </w:r>
          </w:p>
        </w:tc>
      </w:tr>
      <w:tr w:rsidR="004B729E" w:rsidRPr="007C3060" w14:paraId="4B1C0C0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2C6E5D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36BB93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6ADBD4A" w14:textId="77777777" w:rsidR="000A2A2B" w:rsidRPr="007C3060" w:rsidRDefault="000A2A2B" w:rsidP="007C3060">
            <w:r w:rsidRPr="007C3060">
              <w:t>fra kr 612 737 000 til kr 609 737 000</w:t>
            </w:r>
          </w:p>
        </w:tc>
        <w:tc>
          <w:tcPr>
            <w:tcW w:w="1717" w:type="dxa"/>
            <w:tcBorders>
              <w:top w:val="nil"/>
              <w:left w:val="nil"/>
              <w:bottom w:val="nil"/>
              <w:right w:val="nil"/>
            </w:tcBorders>
            <w:tcMar>
              <w:top w:w="128" w:type="dxa"/>
              <w:left w:w="43" w:type="dxa"/>
              <w:bottom w:w="43" w:type="dxa"/>
              <w:right w:w="43" w:type="dxa"/>
            </w:tcMar>
            <w:vAlign w:val="bottom"/>
          </w:tcPr>
          <w:p w14:paraId="424383D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325C5A5" w14:textId="77777777" w:rsidR="000A2A2B" w:rsidRPr="007C3060" w:rsidRDefault="000A2A2B" w:rsidP="007C3060"/>
        </w:tc>
      </w:tr>
      <w:tr w:rsidR="004B729E" w:rsidRPr="007C3060" w14:paraId="329D6CC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E07490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88895FC" w14:textId="77777777" w:rsidR="000A2A2B" w:rsidRPr="007C3060" w:rsidRDefault="000A2A2B" w:rsidP="007C3060">
            <w:r w:rsidRPr="007C3060">
              <w:t>74</w:t>
            </w:r>
          </w:p>
        </w:tc>
        <w:tc>
          <w:tcPr>
            <w:tcW w:w="4819" w:type="dxa"/>
            <w:tcBorders>
              <w:top w:val="nil"/>
              <w:left w:val="nil"/>
              <w:bottom w:val="nil"/>
              <w:right w:val="nil"/>
            </w:tcBorders>
            <w:tcMar>
              <w:top w:w="128" w:type="dxa"/>
              <w:left w:w="43" w:type="dxa"/>
              <w:bottom w:w="43" w:type="dxa"/>
              <w:right w:w="43" w:type="dxa"/>
            </w:tcMar>
            <w:vAlign w:val="bottom"/>
          </w:tcPr>
          <w:p w14:paraId="3AEED098" w14:textId="77777777" w:rsidR="000A2A2B" w:rsidRPr="007C3060" w:rsidRDefault="000A2A2B" w:rsidP="007C3060">
            <w:r w:rsidRPr="007C3060">
              <w:t xml:space="preserve">Kompetansesentre,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76C52E3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58AA30A" w14:textId="77777777" w:rsidR="000A2A2B" w:rsidRPr="007C3060" w:rsidRDefault="000A2A2B" w:rsidP="007C3060">
            <w:r w:rsidRPr="007C3060">
              <w:t>2 500 000</w:t>
            </w:r>
          </w:p>
        </w:tc>
      </w:tr>
      <w:tr w:rsidR="004B729E" w:rsidRPr="007C3060" w14:paraId="42E02A8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C64013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38E6CE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9F57573" w14:textId="77777777" w:rsidR="000A2A2B" w:rsidRPr="007C3060" w:rsidRDefault="000A2A2B" w:rsidP="007C3060">
            <w:r w:rsidRPr="007C3060">
              <w:t>fra kr 404 875 000 til kr 407 375 000</w:t>
            </w:r>
          </w:p>
        </w:tc>
        <w:tc>
          <w:tcPr>
            <w:tcW w:w="1717" w:type="dxa"/>
            <w:tcBorders>
              <w:top w:val="nil"/>
              <w:left w:val="nil"/>
              <w:bottom w:val="nil"/>
              <w:right w:val="nil"/>
            </w:tcBorders>
            <w:tcMar>
              <w:top w:w="128" w:type="dxa"/>
              <w:left w:w="43" w:type="dxa"/>
              <w:bottom w:w="43" w:type="dxa"/>
              <w:right w:w="43" w:type="dxa"/>
            </w:tcMar>
            <w:vAlign w:val="bottom"/>
          </w:tcPr>
          <w:p w14:paraId="28A77CD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C6D298F" w14:textId="77777777" w:rsidR="000A2A2B" w:rsidRPr="007C3060" w:rsidRDefault="000A2A2B" w:rsidP="007C3060"/>
        </w:tc>
      </w:tr>
      <w:tr w:rsidR="004B729E" w:rsidRPr="007C3060" w14:paraId="289F035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CCCD6F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95E70C1"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47188576" w14:textId="77777777" w:rsidR="000A2A2B" w:rsidRPr="007C3060" w:rsidRDefault="000A2A2B" w:rsidP="007C3060">
            <w:r w:rsidRPr="007C3060">
              <w:t xml:space="preserve">Vold og traumatisk stress,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12C4E88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719ECD2" w14:textId="77777777" w:rsidR="000A2A2B" w:rsidRPr="007C3060" w:rsidRDefault="000A2A2B" w:rsidP="007C3060">
            <w:r w:rsidRPr="007C3060">
              <w:t>1 500 000</w:t>
            </w:r>
          </w:p>
        </w:tc>
      </w:tr>
      <w:tr w:rsidR="004B729E" w:rsidRPr="007C3060" w14:paraId="499B738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74FEC4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028718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A982D1F" w14:textId="77777777" w:rsidR="000A2A2B" w:rsidRPr="007C3060" w:rsidRDefault="000A2A2B" w:rsidP="007C3060">
            <w:r w:rsidRPr="007C3060">
              <w:t>fra kr 308 459 000 til kr 309 959 000</w:t>
            </w:r>
          </w:p>
        </w:tc>
        <w:tc>
          <w:tcPr>
            <w:tcW w:w="1717" w:type="dxa"/>
            <w:tcBorders>
              <w:top w:val="nil"/>
              <w:left w:val="nil"/>
              <w:bottom w:val="nil"/>
              <w:right w:val="nil"/>
            </w:tcBorders>
            <w:tcMar>
              <w:top w:w="128" w:type="dxa"/>
              <w:left w:w="43" w:type="dxa"/>
              <w:bottom w:w="43" w:type="dxa"/>
              <w:right w:w="43" w:type="dxa"/>
            </w:tcMar>
            <w:vAlign w:val="bottom"/>
          </w:tcPr>
          <w:p w14:paraId="7B07D95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72B0CEA" w14:textId="77777777" w:rsidR="000A2A2B" w:rsidRPr="007C3060" w:rsidRDefault="000A2A2B" w:rsidP="007C3060"/>
        </w:tc>
      </w:tr>
      <w:tr w:rsidR="004B729E" w:rsidRPr="007C3060" w14:paraId="1B9882C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BAAF780" w14:textId="77777777" w:rsidR="000A2A2B" w:rsidRPr="007C3060" w:rsidRDefault="000A2A2B" w:rsidP="007C3060">
            <w:r w:rsidRPr="007C3060">
              <w:t>770</w:t>
            </w:r>
          </w:p>
        </w:tc>
        <w:tc>
          <w:tcPr>
            <w:tcW w:w="992" w:type="dxa"/>
            <w:tcBorders>
              <w:top w:val="nil"/>
              <w:left w:val="nil"/>
              <w:bottom w:val="nil"/>
              <w:right w:val="nil"/>
            </w:tcBorders>
            <w:tcMar>
              <w:top w:w="128" w:type="dxa"/>
              <w:left w:w="43" w:type="dxa"/>
              <w:bottom w:w="43" w:type="dxa"/>
              <w:right w:w="123" w:type="dxa"/>
            </w:tcMar>
          </w:tcPr>
          <w:p w14:paraId="18E5C8F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25B48BA" w14:textId="77777777" w:rsidR="000A2A2B" w:rsidRPr="007C3060" w:rsidRDefault="000A2A2B" w:rsidP="007C3060">
            <w:r w:rsidRPr="007C3060">
              <w:t>Tannhelsetjenester:</w:t>
            </w:r>
          </w:p>
        </w:tc>
        <w:tc>
          <w:tcPr>
            <w:tcW w:w="1717" w:type="dxa"/>
            <w:tcBorders>
              <w:top w:val="nil"/>
              <w:left w:val="nil"/>
              <w:bottom w:val="nil"/>
              <w:right w:val="nil"/>
            </w:tcBorders>
            <w:tcMar>
              <w:top w:w="128" w:type="dxa"/>
              <w:left w:w="43" w:type="dxa"/>
              <w:bottom w:w="43" w:type="dxa"/>
              <w:right w:w="43" w:type="dxa"/>
            </w:tcMar>
            <w:vAlign w:val="bottom"/>
          </w:tcPr>
          <w:p w14:paraId="4301ECB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BE3574A" w14:textId="77777777" w:rsidR="000A2A2B" w:rsidRPr="007C3060" w:rsidRDefault="000A2A2B" w:rsidP="007C3060"/>
        </w:tc>
      </w:tr>
      <w:tr w:rsidR="004B729E" w:rsidRPr="007C3060" w14:paraId="1BB6AAEF"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4DEF94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90D9D24"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5A523615" w14:textId="5EC96252" w:rsidR="000A2A2B" w:rsidRPr="007C3060" w:rsidRDefault="000A2A2B" w:rsidP="007C3060">
            <w:r w:rsidRPr="007C3060">
              <w:t xml:space="preserve">Spesielle driftsutgifter, </w:t>
            </w:r>
            <w:r w:rsidRPr="007C3060">
              <w:rPr>
                <w:rStyle w:val="kursiv"/>
              </w:rPr>
              <w:t>kan overføres, kan nyttes under post 70,</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1EF1B2D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9661169" w14:textId="77777777" w:rsidR="000A2A2B" w:rsidRPr="007C3060" w:rsidRDefault="000A2A2B" w:rsidP="007C3060">
            <w:r w:rsidRPr="007C3060">
              <w:t>2 500 000</w:t>
            </w:r>
          </w:p>
        </w:tc>
      </w:tr>
      <w:tr w:rsidR="004B729E" w:rsidRPr="007C3060" w14:paraId="26FFE15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9C858B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600E9D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C175970" w14:textId="77777777" w:rsidR="000A2A2B" w:rsidRPr="007C3060" w:rsidRDefault="000A2A2B" w:rsidP="007C3060">
            <w:r w:rsidRPr="007C3060">
              <w:t>fra kr 6 255 000 til kr 3 755 000</w:t>
            </w:r>
          </w:p>
        </w:tc>
        <w:tc>
          <w:tcPr>
            <w:tcW w:w="1717" w:type="dxa"/>
            <w:tcBorders>
              <w:top w:val="nil"/>
              <w:left w:val="nil"/>
              <w:bottom w:val="nil"/>
              <w:right w:val="nil"/>
            </w:tcBorders>
            <w:tcMar>
              <w:top w:w="128" w:type="dxa"/>
              <w:left w:w="43" w:type="dxa"/>
              <w:bottom w:w="43" w:type="dxa"/>
              <w:right w:w="43" w:type="dxa"/>
            </w:tcMar>
            <w:vAlign w:val="bottom"/>
          </w:tcPr>
          <w:p w14:paraId="76CED4F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7CDA355" w14:textId="77777777" w:rsidR="000A2A2B" w:rsidRPr="007C3060" w:rsidRDefault="000A2A2B" w:rsidP="007C3060"/>
        </w:tc>
      </w:tr>
      <w:tr w:rsidR="004B729E" w:rsidRPr="007C3060" w14:paraId="12344A5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174FBB5" w14:textId="77777777" w:rsidR="000A2A2B" w:rsidRPr="007C3060" w:rsidRDefault="000A2A2B" w:rsidP="007C3060">
            <w:r w:rsidRPr="007C3060">
              <w:t>780</w:t>
            </w:r>
          </w:p>
        </w:tc>
        <w:tc>
          <w:tcPr>
            <w:tcW w:w="992" w:type="dxa"/>
            <w:tcBorders>
              <w:top w:val="nil"/>
              <w:left w:val="nil"/>
              <w:bottom w:val="nil"/>
              <w:right w:val="nil"/>
            </w:tcBorders>
            <w:tcMar>
              <w:top w:w="128" w:type="dxa"/>
              <w:left w:w="43" w:type="dxa"/>
              <w:bottom w:w="43" w:type="dxa"/>
              <w:right w:w="123" w:type="dxa"/>
            </w:tcMar>
          </w:tcPr>
          <w:p w14:paraId="3FE9299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EEC7F35" w14:textId="77777777" w:rsidR="000A2A2B" w:rsidRPr="007C3060" w:rsidRDefault="000A2A2B" w:rsidP="007C3060">
            <w:r w:rsidRPr="007C3060">
              <w:t>Forskning:</w:t>
            </w:r>
          </w:p>
        </w:tc>
        <w:tc>
          <w:tcPr>
            <w:tcW w:w="1717" w:type="dxa"/>
            <w:tcBorders>
              <w:top w:val="nil"/>
              <w:left w:val="nil"/>
              <w:bottom w:val="nil"/>
              <w:right w:val="nil"/>
            </w:tcBorders>
            <w:tcMar>
              <w:top w:w="128" w:type="dxa"/>
              <w:left w:w="43" w:type="dxa"/>
              <w:bottom w:w="43" w:type="dxa"/>
              <w:right w:w="43" w:type="dxa"/>
            </w:tcMar>
            <w:vAlign w:val="bottom"/>
          </w:tcPr>
          <w:p w14:paraId="01D904C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D99D95A" w14:textId="77777777" w:rsidR="000A2A2B" w:rsidRPr="007C3060" w:rsidRDefault="000A2A2B" w:rsidP="007C3060"/>
        </w:tc>
      </w:tr>
      <w:tr w:rsidR="004B729E" w:rsidRPr="007C3060" w14:paraId="55D0974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B147A5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BA739AB"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395C46F0" w14:textId="77777777" w:rsidR="000A2A2B" w:rsidRPr="007C3060" w:rsidRDefault="000A2A2B" w:rsidP="007C3060">
            <w:r w:rsidRPr="007C3060">
              <w:t xml:space="preserve">Norges forskningsråd,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241A3BA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D6F6709" w14:textId="77777777" w:rsidR="000A2A2B" w:rsidRPr="007C3060" w:rsidRDefault="000A2A2B" w:rsidP="007C3060">
            <w:r w:rsidRPr="007C3060">
              <w:t>35 700 000</w:t>
            </w:r>
          </w:p>
        </w:tc>
      </w:tr>
      <w:tr w:rsidR="004B729E" w:rsidRPr="007C3060" w14:paraId="41D4EAE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E48D59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B37B8D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3B9AFB1" w14:textId="77777777" w:rsidR="000A2A2B" w:rsidRPr="007C3060" w:rsidRDefault="000A2A2B" w:rsidP="007C3060">
            <w:r w:rsidRPr="007C3060">
              <w:t>fra kr 428 812 000 til kr 464 512 000</w:t>
            </w:r>
          </w:p>
        </w:tc>
        <w:tc>
          <w:tcPr>
            <w:tcW w:w="1717" w:type="dxa"/>
            <w:tcBorders>
              <w:top w:val="nil"/>
              <w:left w:val="nil"/>
              <w:bottom w:val="nil"/>
              <w:right w:val="nil"/>
            </w:tcBorders>
            <w:tcMar>
              <w:top w:w="128" w:type="dxa"/>
              <w:left w:w="43" w:type="dxa"/>
              <w:bottom w:w="43" w:type="dxa"/>
              <w:right w:w="43" w:type="dxa"/>
            </w:tcMar>
            <w:vAlign w:val="bottom"/>
          </w:tcPr>
          <w:p w14:paraId="359618F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A491C70" w14:textId="77777777" w:rsidR="000A2A2B" w:rsidRPr="007C3060" w:rsidRDefault="000A2A2B" w:rsidP="007C3060"/>
        </w:tc>
      </w:tr>
      <w:tr w:rsidR="004B729E" w:rsidRPr="007C3060" w14:paraId="19445DF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04551B4" w14:textId="77777777" w:rsidR="000A2A2B" w:rsidRPr="007C3060" w:rsidRDefault="000A2A2B" w:rsidP="007C3060">
            <w:r w:rsidRPr="007C3060">
              <w:t>781</w:t>
            </w:r>
          </w:p>
        </w:tc>
        <w:tc>
          <w:tcPr>
            <w:tcW w:w="992" w:type="dxa"/>
            <w:tcBorders>
              <w:top w:val="nil"/>
              <w:left w:val="nil"/>
              <w:bottom w:val="nil"/>
              <w:right w:val="nil"/>
            </w:tcBorders>
            <w:tcMar>
              <w:top w:w="128" w:type="dxa"/>
              <w:left w:w="43" w:type="dxa"/>
              <w:bottom w:w="43" w:type="dxa"/>
              <w:right w:w="123" w:type="dxa"/>
            </w:tcMar>
          </w:tcPr>
          <w:p w14:paraId="1E5C246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FEE7916" w14:textId="77777777" w:rsidR="000A2A2B" w:rsidRPr="007C3060" w:rsidRDefault="000A2A2B" w:rsidP="007C3060">
            <w:r w:rsidRPr="007C3060">
              <w:t>Forsøk og utvikling mv.:</w:t>
            </w:r>
          </w:p>
        </w:tc>
        <w:tc>
          <w:tcPr>
            <w:tcW w:w="1717" w:type="dxa"/>
            <w:tcBorders>
              <w:top w:val="nil"/>
              <w:left w:val="nil"/>
              <w:bottom w:val="nil"/>
              <w:right w:val="nil"/>
            </w:tcBorders>
            <w:tcMar>
              <w:top w:w="128" w:type="dxa"/>
              <w:left w:w="43" w:type="dxa"/>
              <w:bottom w:w="43" w:type="dxa"/>
              <w:right w:w="43" w:type="dxa"/>
            </w:tcMar>
            <w:vAlign w:val="bottom"/>
          </w:tcPr>
          <w:p w14:paraId="0AA814C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D315986" w14:textId="77777777" w:rsidR="000A2A2B" w:rsidRPr="007C3060" w:rsidRDefault="000A2A2B" w:rsidP="007C3060"/>
        </w:tc>
      </w:tr>
      <w:tr w:rsidR="004B729E" w:rsidRPr="007C3060" w14:paraId="68A84729"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ED5C95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A99C4B5"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181C0CED" w14:textId="6ECDD4EE" w:rsidR="000A2A2B" w:rsidRPr="007C3060" w:rsidRDefault="000A2A2B" w:rsidP="007C3060">
            <w:r w:rsidRPr="007C3060">
              <w:t xml:space="preserve">Spesielle driftsutgifter, </w:t>
            </w:r>
            <w:r w:rsidRPr="007C3060">
              <w:rPr>
                <w:rStyle w:val="kursiv"/>
              </w:rPr>
              <w:t>kan nyttes under post 79,</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0728AA4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E1938E4" w14:textId="77777777" w:rsidR="000A2A2B" w:rsidRPr="007C3060" w:rsidRDefault="000A2A2B" w:rsidP="007C3060">
            <w:r w:rsidRPr="007C3060">
              <w:t>350 000</w:t>
            </w:r>
          </w:p>
        </w:tc>
      </w:tr>
      <w:tr w:rsidR="004B729E" w:rsidRPr="007C3060" w14:paraId="1C22989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ABEE2E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813D78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C3FB8C0" w14:textId="77777777" w:rsidR="000A2A2B" w:rsidRPr="007C3060" w:rsidRDefault="000A2A2B" w:rsidP="007C3060">
            <w:r w:rsidRPr="007C3060">
              <w:t>fra kr 17 988 000 til kr 17 638 000</w:t>
            </w:r>
          </w:p>
        </w:tc>
        <w:tc>
          <w:tcPr>
            <w:tcW w:w="1717" w:type="dxa"/>
            <w:tcBorders>
              <w:top w:val="nil"/>
              <w:left w:val="nil"/>
              <w:bottom w:val="nil"/>
              <w:right w:val="nil"/>
            </w:tcBorders>
            <w:tcMar>
              <w:top w:w="128" w:type="dxa"/>
              <w:left w:w="43" w:type="dxa"/>
              <w:bottom w:w="43" w:type="dxa"/>
              <w:right w:w="43" w:type="dxa"/>
            </w:tcMar>
            <w:vAlign w:val="bottom"/>
          </w:tcPr>
          <w:p w14:paraId="539F506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1DC512B" w14:textId="77777777" w:rsidR="000A2A2B" w:rsidRPr="007C3060" w:rsidRDefault="000A2A2B" w:rsidP="007C3060"/>
        </w:tc>
      </w:tr>
      <w:tr w:rsidR="004B729E" w:rsidRPr="007C3060" w14:paraId="28F1EA2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645AF80" w14:textId="77777777" w:rsidR="000A2A2B" w:rsidRPr="007C3060" w:rsidRDefault="000A2A2B" w:rsidP="007C3060">
            <w:r w:rsidRPr="007C3060">
              <w:t>843</w:t>
            </w:r>
          </w:p>
        </w:tc>
        <w:tc>
          <w:tcPr>
            <w:tcW w:w="992" w:type="dxa"/>
            <w:tcBorders>
              <w:top w:val="nil"/>
              <w:left w:val="nil"/>
              <w:bottom w:val="nil"/>
              <w:right w:val="nil"/>
            </w:tcBorders>
            <w:tcMar>
              <w:top w:w="128" w:type="dxa"/>
              <w:left w:w="43" w:type="dxa"/>
              <w:bottom w:w="43" w:type="dxa"/>
              <w:right w:w="123" w:type="dxa"/>
            </w:tcMar>
          </w:tcPr>
          <w:p w14:paraId="6A6AB3F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A87DFBB" w14:textId="77777777" w:rsidR="000A2A2B" w:rsidRPr="007C3060" w:rsidRDefault="000A2A2B" w:rsidP="007C3060">
            <w:r w:rsidRPr="007C3060">
              <w:t>Adopsjonsstøtte:</w:t>
            </w:r>
          </w:p>
        </w:tc>
        <w:tc>
          <w:tcPr>
            <w:tcW w:w="1717" w:type="dxa"/>
            <w:tcBorders>
              <w:top w:val="nil"/>
              <w:left w:val="nil"/>
              <w:bottom w:val="nil"/>
              <w:right w:val="nil"/>
            </w:tcBorders>
            <w:tcMar>
              <w:top w:w="128" w:type="dxa"/>
              <w:left w:w="43" w:type="dxa"/>
              <w:bottom w:w="43" w:type="dxa"/>
              <w:right w:w="43" w:type="dxa"/>
            </w:tcMar>
            <w:vAlign w:val="bottom"/>
          </w:tcPr>
          <w:p w14:paraId="699ED53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D664F03" w14:textId="77777777" w:rsidR="000A2A2B" w:rsidRPr="007C3060" w:rsidRDefault="000A2A2B" w:rsidP="007C3060"/>
        </w:tc>
      </w:tr>
      <w:tr w:rsidR="004B729E" w:rsidRPr="007C3060" w14:paraId="0175F98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3AFA4C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450D68E"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0C44003F" w14:textId="77777777" w:rsidR="000A2A2B" w:rsidRPr="007C3060" w:rsidRDefault="000A2A2B" w:rsidP="007C3060">
            <w:r w:rsidRPr="007C3060">
              <w:t xml:space="preserve">Tilskudd til foreldre som adopterer barn fra utlandet, </w:t>
            </w:r>
            <w:r w:rsidRPr="007C3060">
              <w:rPr>
                <w:rStyle w:val="kursiv"/>
              </w:rPr>
              <w:t xml:space="preserve">-overslagsbevilgning, </w:t>
            </w:r>
            <w:r w:rsidRPr="007C3060">
              <w:t xml:space="preserve">nedsettes med </w:t>
            </w:r>
          </w:p>
        </w:tc>
        <w:tc>
          <w:tcPr>
            <w:tcW w:w="1717" w:type="dxa"/>
            <w:tcBorders>
              <w:top w:val="nil"/>
              <w:left w:val="nil"/>
              <w:bottom w:val="nil"/>
              <w:right w:val="nil"/>
            </w:tcBorders>
            <w:tcMar>
              <w:top w:w="128" w:type="dxa"/>
              <w:left w:w="43" w:type="dxa"/>
              <w:bottom w:w="43" w:type="dxa"/>
              <w:right w:w="43" w:type="dxa"/>
            </w:tcMar>
            <w:vAlign w:val="bottom"/>
          </w:tcPr>
          <w:p w14:paraId="27CA31A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2DE9E92" w14:textId="77777777" w:rsidR="000A2A2B" w:rsidRPr="007C3060" w:rsidRDefault="000A2A2B" w:rsidP="007C3060">
            <w:r w:rsidRPr="007C3060">
              <w:t>1 228 000</w:t>
            </w:r>
          </w:p>
        </w:tc>
      </w:tr>
      <w:tr w:rsidR="004B729E" w:rsidRPr="007C3060" w14:paraId="2215B31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5F30D4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85251E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91E390C" w14:textId="77777777" w:rsidR="000A2A2B" w:rsidRPr="007C3060" w:rsidRDefault="000A2A2B" w:rsidP="007C3060">
            <w:r w:rsidRPr="007C3060">
              <w:t>fra kr 6 228 000 til kr 5 000 000</w:t>
            </w:r>
          </w:p>
        </w:tc>
        <w:tc>
          <w:tcPr>
            <w:tcW w:w="1717" w:type="dxa"/>
            <w:tcBorders>
              <w:top w:val="nil"/>
              <w:left w:val="nil"/>
              <w:bottom w:val="nil"/>
              <w:right w:val="nil"/>
            </w:tcBorders>
            <w:tcMar>
              <w:top w:w="128" w:type="dxa"/>
              <w:left w:w="43" w:type="dxa"/>
              <w:bottom w:w="43" w:type="dxa"/>
              <w:right w:w="43" w:type="dxa"/>
            </w:tcMar>
            <w:vAlign w:val="bottom"/>
          </w:tcPr>
          <w:p w14:paraId="677F3CE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7513973" w14:textId="77777777" w:rsidR="000A2A2B" w:rsidRPr="007C3060" w:rsidRDefault="000A2A2B" w:rsidP="007C3060"/>
        </w:tc>
      </w:tr>
      <w:tr w:rsidR="004B729E" w:rsidRPr="007C3060" w14:paraId="6936812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58449AE" w14:textId="77777777" w:rsidR="000A2A2B" w:rsidRPr="007C3060" w:rsidRDefault="000A2A2B" w:rsidP="007C3060">
            <w:r w:rsidRPr="007C3060">
              <w:t>844</w:t>
            </w:r>
          </w:p>
        </w:tc>
        <w:tc>
          <w:tcPr>
            <w:tcW w:w="992" w:type="dxa"/>
            <w:tcBorders>
              <w:top w:val="nil"/>
              <w:left w:val="nil"/>
              <w:bottom w:val="nil"/>
              <w:right w:val="nil"/>
            </w:tcBorders>
            <w:tcMar>
              <w:top w:w="128" w:type="dxa"/>
              <w:left w:w="43" w:type="dxa"/>
              <w:bottom w:w="43" w:type="dxa"/>
              <w:right w:w="123" w:type="dxa"/>
            </w:tcMar>
          </w:tcPr>
          <w:p w14:paraId="2F0B674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3854104" w14:textId="77777777" w:rsidR="000A2A2B" w:rsidRPr="007C3060" w:rsidRDefault="000A2A2B" w:rsidP="007C3060">
            <w:r w:rsidRPr="007C3060">
              <w:t>Kontantstøtte:</w:t>
            </w:r>
          </w:p>
        </w:tc>
        <w:tc>
          <w:tcPr>
            <w:tcW w:w="1717" w:type="dxa"/>
            <w:tcBorders>
              <w:top w:val="nil"/>
              <w:left w:val="nil"/>
              <w:bottom w:val="nil"/>
              <w:right w:val="nil"/>
            </w:tcBorders>
            <w:tcMar>
              <w:top w:w="128" w:type="dxa"/>
              <w:left w:w="43" w:type="dxa"/>
              <w:bottom w:w="43" w:type="dxa"/>
              <w:right w:w="43" w:type="dxa"/>
            </w:tcMar>
            <w:vAlign w:val="bottom"/>
          </w:tcPr>
          <w:p w14:paraId="0A1C21D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44A80A7" w14:textId="77777777" w:rsidR="000A2A2B" w:rsidRPr="007C3060" w:rsidRDefault="000A2A2B" w:rsidP="007C3060"/>
        </w:tc>
      </w:tr>
      <w:tr w:rsidR="004B729E" w:rsidRPr="007C3060" w14:paraId="38B2A57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B06749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1B38524"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0F07B097" w14:textId="77777777" w:rsidR="000A2A2B" w:rsidRPr="007C3060" w:rsidRDefault="000A2A2B" w:rsidP="007C3060">
            <w:r w:rsidRPr="007C3060">
              <w:t xml:space="preserve">Tilskudd,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350E43B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F494395" w14:textId="77777777" w:rsidR="000A2A2B" w:rsidRPr="007C3060" w:rsidRDefault="000A2A2B" w:rsidP="007C3060">
            <w:r w:rsidRPr="007C3060">
              <w:t>20 900 000</w:t>
            </w:r>
          </w:p>
        </w:tc>
      </w:tr>
      <w:tr w:rsidR="004B729E" w:rsidRPr="007C3060" w14:paraId="67B78A6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88377B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694700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799F656" w14:textId="77777777" w:rsidR="000A2A2B" w:rsidRPr="007C3060" w:rsidRDefault="000A2A2B" w:rsidP="007C3060">
            <w:r w:rsidRPr="007C3060">
              <w:t>fra kr 719 100 000 til kr 740 000 000</w:t>
            </w:r>
          </w:p>
        </w:tc>
        <w:tc>
          <w:tcPr>
            <w:tcW w:w="1717" w:type="dxa"/>
            <w:tcBorders>
              <w:top w:val="nil"/>
              <w:left w:val="nil"/>
              <w:bottom w:val="nil"/>
              <w:right w:val="nil"/>
            </w:tcBorders>
            <w:tcMar>
              <w:top w:w="128" w:type="dxa"/>
              <w:left w:w="43" w:type="dxa"/>
              <w:bottom w:w="43" w:type="dxa"/>
              <w:right w:w="43" w:type="dxa"/>
            </w:tcMar>
            <w:vAlign w:val="bottom"/>
          </w:tcPr>
          <w:p w14:paraId="588C138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0D5735E" w14:textId="77777777" w:rsidR="000A2A2B" w:rsidRPr="007C3060" w:rsidRDefault="000A2A2B" w:rsidP="007C3060"/>
        </w:tc>
      </w:tr>
      <w:tr w:rsidR="004B729E" w:rsidRPr="007C3060" w14:paraId="2DA7DB0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7458689" w14:textId="77777777" w:rsidR="000A2A2B" w:rsidRPr="007C3060" w:rsidRDefault="000A2A2B" w:rsidP="007C3060">
            <w:r w:rsidRPr="007C3060">
              <w:t>845</w:t>
            </w:r>
          </w:p>
        </w:tc>
        <w:tc>
          <w:tcPr>
            <w:tcW w:w="992" w:type="dxa"/>
            <w:tcBorders>
              <w:top w:val="nil"/>
              <w:left w:val="nil"/>
              <w:bottom w:val="nil"/>
              <w:right w:val="nil"/>
            </w:tcBorders>
            <w:tcMar>
              <w:top w:w="128" w:type="dxa"/>
              <w:left w:w="43" w:type="dxa"/>
              <w:bottom w:w="43" w:type="dxa"/>
              <w:right w:w="123" w:type="dxa"/>
            </w:tcMar>
          </w:tcPr>
          <w:p w14:paraId="1146E59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7E20DE5" w14:textId="77777777" w:rsidR="000A2A2B" w:rsidRPr="007C3060" w:rsidRDefault="000A2A2B" w:rsidP="007C3060">
            <w:r w:rsidRPr="007C3060">
              <w:t>Barnetrygd:</w:t>
            </w:r>
          </w:p>
        </w:tc>
        <w:tc>
          <w:tcPr>
            <w:tcW w:w="1717" w:type="dxa"/>
            <w:tcBorders>
              <w:top w:val="nil"/>
              <w:left w:val="nil"/>
              <w:bottom w:val="nil"/>
              <w:right w:val="nil"/>
            </w:tcBorders>
            <w:tcMar>
              <w:top w:w="128" w:type="dxa"/>
              <w:left w:w="43" w:type="dxa"/>
              <w:bottom w:w="43" w:type="dxa"/>
              <w:right w:w="43" w:type="dxa"/>
            </w:tcMar>
            <w:vAlign w:val="bottom"/>
          </w:tcPr>
          <w:p w14:paraId="663BEDB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41AA7E6" w14:textId="77777777" w:rsidR="000A2A2B" w:rsidRPr="007C3060" w:rsidRDefault="000A2A2B" w:rsidP="007C3060"/>
        </w:tc>
      </w:tr>
      <w:tr w:rsidR="004B729E" w:rsidRPr="007C3060" w14:paraId="47B9791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B8B59E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C0537D4"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7F3BA757" w14:textId="77777777" w:rsidR="000A2A2B" w:rsidRPr="007C3060" w:rsidRDefault="000A2A2B" w:rsidP="007C3060">
            <w:r w:rsidRPr="007C3060">
              <w:t xml:space="preserve">Tilskudd,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2E8FA0F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71E7D4B" w14:textId="77777777" w:rsidR="000A2A2B" w:rsidRPr="007C3060" w:rsidRDefault="000A2A2B" w:rsidP="007C3060">
            <w:r w:rsidRPr="007C3060">
              <w:t>83 000 000</w:t>
            </w:r>
          </w:p>
        </w:tc>
      </w:tr>
      <w:tr w:rsidR="004B729E" w:rsidRPr="007C3060" w14:paraId="41E69C0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16849B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8DFE45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046C92D" w14:textId="77777777" w:rsidR="000A2A2B" w:rsidRPr="007C3060" w:rsidRDefault="000A2A2B" w:rsidP="007C3060">
            <w:r w:rsidRPr="007C3060">
              <w:t>fra kr 28 687 000 000 til kr 28 770 000 000</w:t>
            </w:r>
          </w:p>
        </w:tc>
        <w:tc>
          <w:tcPr>
            <w:tcW w:w="1717" w:type="dxa"/>
            <w:tcBorders>
              <w:top w:val="nil"/>
              <w:left w:val="nil"/>
              <w:bottom w:val="nil"/>
              <w:right w:val="nil"/>
            </w:tcBorders>
            <w:tcMar>
              <w:top w:w="128" w:type="dxa"/>
              <w:left w:w="43" w:type="dxa"/>
              <w:bottom w:w="43" w:type="dxa"/>
              <w:right w:w="43" w:type="dxa"/>
            </w:tcMar>
            <w:vAlign w:val="bottom"/>
          </w:tcPr>
          <w:p w14:paraId="06A07D5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5F56312" w14:textId="77777777" w:rsidR="000A2A2B" w:rsidRPr="007C3060" w:rsidRDefault="000A2A2B" w:rsidP="007C3060"/>
        </w:tc>
      </w:tr>
      <w:tr w:rsidR="004B729E" w:rsidRPr="007C3060" w14:paraId="21249F8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6FCA75D" w14:textId="77777777" w:rsidR="000A2A2B" w:rsidRPr="007C3060" w:rsidRDefault="000A2A2B" w:rsidP="007C3060">
            <w:r w:rsidRPr="007C3060">
              <w:t>846</w:t>
            </w:r>
          </w:p>
        </w:tc>
        <w:tc>
          <w:tcPr>
            <w:tcW w:w="992" w:type="dxa"/>
            <w:tcBorders>
              <w:top w:val="nil"/>
              <w:left w:val="nil"/>
              <w:bottom w:val="nil"/>
              <w:right w:val="nil"/>
            </w:tcBorders>
            <w:tcMar>
              <w:top w:w="128" w:type="dxa"/>
              <w:left w:w="43" w:type="dxa"/>
              <w:bottom w:w="43" w:type="dxa"/>
              <w:right w:w="123" w:type="dxa"/>
            </w:tcMar>
          </w:tcPr>
          <w:p w14:paraId="65AD670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857A734" w14:textId="77777777" w:rsidR="000A2A2B" w:rsidRPr="007C3060" w:rsidRDefault="000A2A2B" w:rsidP="007C3060">
            <w:r w:rsidRPr="007C3060">
              <w:t>Familie- og oppveksttiltak:</w:t>
            </w:r>
          </w:p>
        </w:tc>
        <w:tc>
          <w:tcPr>
            <w:tcW w:w="1717" w:type="dxa"/>
            <w:tcBorders>
              <w:top w:val="nil"/>
              <w:left w:val="nil"/>
              <w:bottom w:val="nil"/>
              <w:right w:val="nil"/>
            </w:tcBorders>
            <w:tcMar>
              <w:top w:w="128" w:type="dxa"/>
              <w:left w:w="43" w:type="dxa"/>
              <w:bottom w:w="43" w:type="dxa"/>
              <w:right w:w="43" w:type="dxa"/>
            </w:tcMar>
            <w:vAlign w:val="bottom"/>
          </w:tcPr>
          <w:p w14:paraId="65B6604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098CE07" w14:textId="77777777" w:rsidR="000A2A2B" w:rsidRPr="007C3060" w:rsidRDefault="000A2A2B" w:rsidP="007C3060"/>
        </w:tc>
      </w:tr>
      <w:tr w:rsidR="004B729E" w:rsidRPr="007C3060" w14:paraId="1E2E126D"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5091F1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9F98FEB"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1612DB74" w14:textId="696E92F0" w:rsidR="000A2A2B" w:rsidRPr="007C3060" w:rsidRDefault="000A2A2B" w:rsidP="007C3060">
            <w:r w:rsidRPr="007C3060">
              <w:t xml:space="preserve">Spesielle driftsutgifter, </w:t>
            </w:r>
            <w:r w:rsidRPr="007C3060">
              <w:rPr>
                <w:rStyle w:val="kursiv"/>
              </w:rPr>
              <w:t xml:space="preserve">kan overføres, kan nyttes under post 62 og post 71,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6C79A3A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187B4C1" w14:textId="77777777" w:rsidR="000A2A2B" w:rsidRPr="007C3060" w:rsidRDefault="000A2A2B" w:rsidP="007C3060">
            <w:r w:rsidRPr="007C3060">
              <w:t>800 000</w:t>
            </w:r>
          </w:p>
        </w:tc>
      </w:tr>
      <w:tr w:rsidR="004B729E" w:rsidRPr="007C3060" w14:paraId="414B643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885AFE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BBABFC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65C4DB2" w14:textId="77777777" w:rsidR="000A2A2B" w:rsidRPr="007C3060" w:rsidRDefault="000A2A2B" w:rsidP="007C3060">
            <w:r w:rsidRPr="007C3060">
              <w:t>fra kr 45 857 000 til kr 45 057 000</w:t>
            </w:r>
          </w:p>
        </w:tc>
        <w:tc>
          <w:tcPr>
            <w:tcW w:w="1717" w:type="dxa"/>
            <w:tcBorders>
              <w:top w:val="nil"/>
              <w:left w:val="nil"/>
              <w:bottom w:val="nil"/>
              <w:right w:val="nil"/>
            </w:tcBorders>
            <w:tcMar>
              <w:top w:w="128" w:type="dxa"/>
              <w:left w:w="43" w:type="dxa"/>
              <w:bottom w:w="43" w:type="dxa"/>
              <w:right w:w="43" w:type="dxa"/>
            </w:tcMar>
            <w:vAlign w:val="bottom"/>
          </w:tcPr>
          <w:p w14:paraId="4E1D913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F57AB16" w14:textId="77777777" w:rsidR="000A2A2B" w:rsidRPr="007C3060" w:rsidRDefault="000A2A2B" w:rsidP="007C3060"/>
        </w:tc>
      </w:tr>
      <w:tr w:rsidR="004B729E" w:rsidRPr="007C3060" w14:paraId="25B951C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450DAD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CE9294D" w14:textId="77777777" w:rsidR="000A2A2B" w:rsidRPr="007C3060" w:rsidRDefault="000A2A2B" w:rsidP="007C3060">
            <w:r w:rsidRPr="007C3060">
              <w:t>62</w:t>
            </w:r>
          </w:p>
        </w:tc>
        <w:tc>
          <w:tcPr>
            <w:tcW w:w="4819" w:type="dxa"/>
            <w:tcBorders>
              <w:top w:val="nil"/>
              <w:left w:val="nil"/>
              <w:bottom w:val="nil"/>
              <w:right w:val="nil"/>
            </w:tcBorders>
            <w:tcMar>
              <w:top w:w="128" w:type="dxa"/>
              <w:left w:w="43" w:type="dxa"/>
              <w:bottom w:w="43" w:type="dxa"/>
              <w:right w:w="43" w:type="dxa"/>
            </w:tcMar>
            <w:vAlign w:val="bottom"/>
          </w:tcPr>
          <w:p w14:paraId="07E240B9" w14:textId="77777777" w:rsidR="000A2A2B" w:rsidRPr="007C3060" w:rsidRDefault="000A2A2B" w:rsidP="007C3060">
            <w:r w:rsidRPr="007C3060">
              <w:t>Utvikling i kommunene, forhøyes med</w:t>
            </w:r>
          </w:p>
        </w:tc>
        <w:tc>
          <w:tcPr>
            <w:tcW w:w="1717" w:type="dxa"/>
            <w:tcBorders>
              <w:top w:val="nil"/>
              <w:left w:val="nil"/>
              <w:bottom w:val="nil"/>
              <w:right w:val="nil"/>
            </w:tcBorders>
            <w:tcMar>
              <w:top w:w="128" w:type="dxa"/>
              <w:left w:w="43" w:type="dxa"/>
              <w:bottom w:w="43" w:type="dxa"/>
              <w:right w:w="43" w:type="dxa"/>
            </w:tcMar>
            <w:vAlign w:val="bottom"/>
          </w:tcPr>
          <w:p w14:paraId="0DD9B33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3BC9BFE" w14:textId="77777777" w:rsidR="000A2A2B" w:rsidRPr="007C3060" w:rsidRDefault="000A2A2B" w:rsidP="007C3060">
            <w:r w:rsidRPr="007C3060">
              <w:t>9 000 000</w:t>
            </w:r>
          </w:p>
        </w:tc>
      </w:tr>
      <w:tr w:rsidR="004B729E" w:rsidRPr="007C3060" w14:paraId="4F0D1EE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18294A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98DE3A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36413E0" w14:textId="77777777" w:rsidR="000A2A2B" w:rsidRPr="007C3060" w:rsidRDefault="000A2A2B" w:rsidP="007C3060">
            <w:r w:rsidRPr="007C3060">
              <w:t>fra kr 79 547 000 til kr 88 547 000</w:t>
            </w:r>
          </w:p>
        </w:tc>
        <w:tc>
          <w:tcPr>
            <w:tcW w:w="1717" w:type="dxa"/>
            <w:tcBorders>
              <w:top w:val="nil"/>
              <w:left w:val="nil"/>
              <w:bottom w:val="nil"/>
              <w:right w:val="nil"/>
            </w:tcBorders>
            <w:tcMar>
              <w:top w:w="128" w:type="dxa"/>
              <w:left w:w="43" w:type="dxa"/>
              <w:bottom w:w="43" w:type="dxa"/>
              <w:right w:w="43" w:type="dxa"/>
            </w:tcMar>
            <w:vAlign w:val="bottom"/>
          </w:tcPr>
          <w:p w14:paraId="615B62C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9E91D13" w14:textId="77777777" w:rsidR="000A2A2B" w:rsidRPr="007C3060" w:rsidRDefault="000A2A2B" w:rsidP="007C3060"/>
        </w:tc>
      </w:tr>
      <w:tr w:rsidR="004B729E" w:rsidRPr="007C3060" w14:paraId="7C29425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5670B7C" w14:textId="77777777" w:rsidR="000A2A2B" w:rsidRPr="007C3060" w:rsidRDefault="000A2A2B" w:rsidP="007C3060">
            <w:r w:rsidRPr="007C3060">
              <w:t>854</w:t>
            </w:r>
          </w:p>
        </w:tc>
        <w:tc>
          <w:tcPr>
            <w:tcW w:w="992" w:type="dxa"/>
            <w:tcBorders>
              <w:top w:val="nil"/>
              <w:left w:val="nil"/>
              <w:bottom w:val="nil"/>
              <w:right w:val="nil"/>
            </w:tcBorders>
            <w:tcMar>
              <w:top w:w="128" w:type="dxa"/>
              <w:left w:w="43" w:type="dxa"/>
              <w:bottom w:w="43" w:type="dxa"/>
              <w:right w:w="123" w:type="dxa"/>
            </w:tcMar>
          </w:tcPr>
          <w:p w14:paraId="1D307B2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7F1383E" w14:textId="77777777" w:rsidR="000A2A2B" w:rsidRPr="007C3060" w:rsidRDefault="000A2A2B" w:rsidP="007C3060">
            <w:r w:rsidRPr="007C3060">
              <w:t>Tiltak i barne- og ungdomsvernet:</w:t>
            </w:r>
          </w:p>
        </w:tc>
        <w:tc>
          <w:tcPr>
            <w:tcW w:w="1717" w:type="dxa"/>
            <w:tcBorders>
              <w:top w:val="nil"/>
              <w:left w:val="nil"/>
              <w:bottom w:val="nil"/>
              <w:right w:val="nil"/>
            </w:tcBorders>
            <w:tcMar>
              <w:top w:w="128" w:type="dxa"/>
              <w:left w:w="43" w:type="dxa"/>
              <w:bottom w:w="43" w:type="dxa"/>
              <w:right w:w="43" w:type="dxa"/>
            </w:tcMar>
            <w:vAlign w:val="bottom"/>
          </w:tcPr>
          <w:p w14:paraId="2C07A1C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BD52CED" w14:textId="77777777" w:rsidR="000A2A2B" w:rsidRPr="007C3060" w:rsidRDefault="000A2A2B" w:rsidP="007C3060"/>
        </w:tc>
      </w:tr>
      <w:tr w:rsidR="004B729E" w:rsidRPr="007C3060" w14:paraId="4F450B2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5E2A69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31E0ED3"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632BAD49" w14:textId="77777777" w:rsidR="000A2A2B" w:rsidRPr="007C3060" w:rsidRDefault="000A2A2B" w:rsidP="007C3060">
            <w:r w:rsidRPr="007C3060">
              <w:t>Spesielle 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1DA3B47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C4E349C" w14:textId="77777777" w:rsidR="000A2A2B" w:rsidRPr="007C3060" w:rsidRDefault="000A2A2B" w:rsidP="007C3060">
            <w:r w:rsidRPr="007C3060">
              <w:t>1 535 000</w:t>
            </w:r>
          </w:p>
        </w:tc>
      </w:tr>
      <w:tr w:rsidR="004B729E" w:rsidRPr="007C3060" w14:paraId="4582CB3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6CABAA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A6680F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96D57D8" w14:textId="77777777" w:rsidR="000A2A2B" w:rsidRPr="007C3060" w:rsidRDefault="000A2A2B" w:rsidP="007C3060">
            <w:r w:rsidRPr="007C3060">
              <w:t>fra kr 55 765 000 til kr 54 230 000</w:t>
            </w:r>
          </w:p>
        </w:tc>
        <w:tc>
          <w:tcPr>
            <w:tcW w:w="1717" w:type="dxa"/>
            <w:tcBorders>
              <w:top w:val="nil"/>
              <w:left w:val="nil"/>
              <w:bottom w:val="nil"/>
              <w:right w:val="nil"/>
            </w:tcBorders>
            <w:tcMar>
              <w:top w:w="128" w:type="dxa"/>
              <w:left w:w="43" w:type="dxa"/>
              <w:bottom w:w="43" w:type="dxa"/>
              <w:right w:w="43" w:type="dxa"/>
            </w:tcMar>
            <w:vAlign w:val="bottom"/>
          </w:tcPr>
          <w:p w14:paraId="52CFDF7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BBBFA6C" w14:textId="77777777" w:rsidR="000A2A2B" w:rsidRPr="007C3060" w:rsidRDefault="000A2A2B" w:rsidP="007C3060"/>
        </w:tc>
      </w:tr>
      <w:tr w:rsidR="004B729E" w:rsidRPr="007C3060" w14:paraId="4F49BC5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5B9D4F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52CE4FA" w14:textId="77777777" w:rsidR="000A2A2B" w:rsidRPr="007C3060" w:rsidRDefault="000A2A2B" w:rsidP="007C3060">
            <w:r w:rsidRPr="007C3060">
              <w:t>23</w:t>
            </w:r>
          </w:p>
        </w:tc>
        <w:tc>
          <w:tcPr>
            <w:tcW w:w="4819" w:type="dxa"/>
            <w:tcBorders>
              <w:top w:val="nil"/>
              <w:left w:val="nil"/>
              <w:bottom w:val="nil"/>
              <w:right w:val="nil"/>
            </w:tcBorders>
            <w:tcMar>
              <w:top w:w="128" w:type="dxa"/>
              <w:left w:w="43" w:type="dxa"/>
              <w:bottom w:w="43" w:type="dxa"/>
              <w:right w:w="43" w:type="dxa"/>
            </w:tcMar>
            <w:vAlign w:val="bottom"/>
          </w:tcPr>
          <w:p w14:paraId="2658EFFD" w14:textId="5207F15B" w:rsidR="000A2A2B" w:rsidRPr="007C3060" w:rsidRDefault="000A2A2B" w:rsidP="007C3060">
            <w:r w:rsidRPr="007C3060">
              <w:t xml:space="preserve">Kompetansehevingstiltak i barnevernet, </w:t>
            </w:r>
            <w:r w:rsidRPr="007C3060">
              <w:rPr>
                <w:rStyle w:val="kursiv"/>
              </w:rPr>
              <w:t xml:space="preserve">kan nyttes under post 72,-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3CFB73F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59D516F" w14:textId="77777777" w:rsidR="000A2A2B" w:rsidRPr="007C3060" w:rsidRDefault="000A2A2B" w:rsidP="007C3060">
            <w:r w:rsidRPr="007C3060">
              <w:t>9 900 000</w:t>
            </w:r>
          </w:p>
        </w:tc>
      </w:tr>
      <w:tr w:rsidR="004B729E" w:rsidRPr="007C3060" w14:paraId="0FD610F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ACBCF4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7DB463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222402B" w14:textId="77777777" w:rsidR="000A2A2B" w:rsidRPr="007C3060" w:rsidRDefault="000A2A2B" w:rsidP="007C3060">
            <w:r w:rsidRPr="007C3060">
              <w:t>fra kr 81 617 000 til kr 71 717 000</w:t>
            </w:r>
          </w:p>
        </w:tc>
        <w:tc>
          <w:tcPr>
            <w:tcW w:w="1717" w:type="dxa"/>
            <w:tcBorders>
              <w:top w:val="nil"/>
              <w:left w:val="nil"/>
              <w:bottom w:val="nil"/>
              <w:right w:val="nil"/>
            </w:tcBorders>
            <w:tcMar>
              <w:top w:w="128" w:type="dxa"/>
              <w:left w:w="43" w:type="dxa"/>
              <w:bottom w:w="43" w:type="dxa"/>
              <w:right w:w="43" w:type="dxa"/>
            </w:tcMar>
            <w:vAlign w:val="bottom"/>
          </w:tcPr>
          <w:p w14:paraId="4704795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1AF5ED7" w14:textId="77777777" w:rsidR="000A2A2B" w:rsidRPr="007C3060" w:rsidRDefault="000A2A2B" w:rsidP="007C3060"/>
        </w:tc>
      </w:tr>
      <w:tr w:rsidR="004B729E" w:rsidRPr="007C3060" w14:paraId="2BC6CEB6"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25653D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4DB0CBC" w14:textId="77777777" w:rsidR="000A2A2B" w:rsidRPr="007C3060" w:rsidRDefault="000A2A2B" w:rsidP="007C3060">
            <w:r w:rsidRPr="007C3060">
              <w:t>61</w:t>
            </w:r>
          </w:p>
        </w:tc>
        <w:tc>
          <w:tcPr>
            <w:tcW w:w="4819" w:type="dxa"/>
            <w:tcBorders>
              <w:top w:val="nil"/>
              <w:left w:val="nil"/>
              <w:bottom w:val="nil"/>
              <w:right w:val="nil"/>
            </w:tcBorders>
            <w:tcMar>
              <w:top w:w="128" w:type="dxa"/>
              <w:left w:w="43" w:type="dxa"/>
              <w:bottom w:w="43" w:type="dxa"/>
              <w:right w:w="43" w:type="dxa"/>
            </w:tcMar>
            <w:vAlign w:val="bottom"/>
          </w:tcPr>
          <w:p w14:paraId="428479E3" w14:textId="15C306AE" w:rsidR="000A2A2B" w:rsidRPr="007C3060" w:rsidRDefault="000A2A2B" w:rsidP="007C3060">
            <w:r w:rsidRPr="007C3060">
              <w:t xml:space="preserve">Utvikling i kommunene, </w:t>
            </w:r>
            <w:r w:rsidRPr="007C3060">
              <w:rPr>
                <w:rStyle w:val="kursiv"/>
              </w:rPr>
              <w:t>kan nyttes under post 72,</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6F44E16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08790B2" w14:textId="77777777" w:rsidR="000A2A2B" w:rsidRPr="007C3060" w:rsidRDefault="000A2A2B" w:rsidP="007C3060">
            <w:r w:rsidRPr="007C3060">
              <w:t>460 000</w:t>
            </w:r>
          </w:p>
        </w:tc>
      </w:tr>
      <w:tr w:rsidR="004B729E" w:rsidRPr="007C3060" w14:paraId="3D1DBAC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4F4F1F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3F4308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9F69F09" w14:textId="77777777" w:rsidR="000A2A2B" w:rsidRPr="007C3060" w:rsidRDefault="000A2A2B" w:rsidP="007C3060">
            <w:r w:rsidRPr="007C3060">
              <w:t>fra kr 152 882 000 til kr 152 422 000</w:t>
            </w:r>
          </w:p>
        </w:tc>
        <w:tc>
          <w:tcPr>
            <w:tcW w:w="1717" w:type="dxa"/>
            <w:tcBorders>
              <w:top w:val="nil"/>
              <w:left w:val="nil"/>
              <w:bottom w:val="nil"/>
              <w:right w:val="nil"/>
            </w:tcBorders>
            <w:tcMar>
              <w:top w:w="128" w:type="dxa"/>
              <w:left w:w="43" w:type="dxa"/>
              <w:bottom w:w="43" w:type="dxa"/>
              <w:right w:w="43" w:type="dxa"/>
            </w:tcMar>
            <w:vAlign w:val="bottom"/>
          </w:tcPr>
          <w:p w14:paraId="553FD6A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D1A182A" w14:textId="77777777" w:rsidR="000A2A2B" w:rsidRPr="007C3060" w:rsidRDefault="000A2A2B" w:rsidP="007C3060"/>
        </w:tc>
      </w:tr>
      <w:tr w:rsidR="004B729E" w:rsidRPr="007C3060" w14:paraId="7E3F28F1" w14:textId="77777777" w:rsidTr="00414C2B">
        <w:trPr>
          <w:trHeight w:val="880"/>
          <w:jc w:val="right"/>
        </w:trPr>
        <w:tc>
          <w:tcPr>
            <w:tcW w:w="969" w:type="dxa"/>
            <w:tcBorders>
              <w:top w:val="nil"/>
              <w:left w:val="nil"/>
              <w:bottom w:val="nil"/>
              <w:right w:val="nil"/>
            </w:tcBorders>
            <w:tcMar>
              <w:top w:w="128" w:type="dxa"/>
              <w:left w:w="43" w:type="dxa"/>
              <w:bottom w:w="43" w:type="dxa"/>
              <w:right w:w="123" w:type="dxa"/>
            </w:tcMar>
          </w:tcPr>
          <w:p w14:paraId="389354F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7302895"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5D919838" w14:textId="004C805A" w:rsidR="000A2A2B" w:rsidRPr="007C3060" w:rsidRDefault="000A2A2B" w:rsidP="007C3060">
            <w:r w:rsidRPr="007C3060">
              <w:t xml:space="preserve">Tilskudd til forskning og kompetanseutvikling i barnevernet, </w:t>
            </w:r>
            <w:r w:rsidRPr="007C3060">
              <w:rPr>
                <w:rStyle w:val="kursiv"/>
              </w:rPr>
              <w:t>kan overføres, kan nyttes under post 23,</w:t>
            </w:r>
            <w:r w:rsidR="00B136B2">
              <w:t xml:space="preserve"> </w:t>
            </w:r>
            <w:r w:rsidRPr="007C3060">
              <w:t>forhøyes med</w:t>
            </w:r>
          </w:p>
        </w:tc>
        <w:tc>
          <w:tcPr>
            <w:tcW w:w="1717" w:type="dxa"/>
            <w:tcBorders>
              <w:top w:val="nil"/>
              <w:left w:val="nil"/>
              <w:bottom w:val="nil"/>
              <w:right w:val="nil"/>
            </w:tcBorders>
            <w:tcMar>
              <w:top w:w="128" w:type="dxa"/>
              <w:left w:w="43" w:type="dxa"/>
              <w:bottom w:w="43" w:type="dxa"/>
              <w:right w:w="43" w:type="dxa"/>
            </w:tcMar>
            <w:vAlign w:val="bottom"/>
          </w:tcPr>
          <w:p w14:paraId="3589901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96A4DFF" w14:textId="77777777" w:rsidR="000A2A2B" w:rsidRPr="007C3060" w:rsidRDefault="000A2A2B" w:rsidP="007C3060">
            <w:r w:rsidRPr="007C3060">
              <w:t>18 235 000</w:t>
            </w:r>
          </w:p>
        </w:tc>
      </w:tr>
      <w:tr w:rsidR="004B729E" w:rsidRPr="007C3060" w14:paraId="1925502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812A8C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EE0A9A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BDA99E7" w14:textId="77777777" w:rsidR="000A2A2B" w:rsidRPr="007C3060" w:rsidRDefault="000A2A2B" w:rsidP="007C3060">
            <w:r w:rsidRPr="007C3060">
              <w:t>fra kr 139 525 000 til kr 157 760 000</w:t>
            </w:r>
          </w:p>
        </w:tc>
        <w:tc>
          <w:tcPr>
            <w:tcW w:w="1717" w:type="dxa"/>
            <w:tcBorders>
              <w:top w:val="nil"/>
              <w:left w:val="nil"/>
              <w:bottom w:val="nil"/>
              <w:right w:val="nil"/>
            </w:tcBorders>
            <w:tcMar>
              <w:top w:w="128" w:type="dxa"/>
              <w:left w:w="43" w:type="dxa"/>
              <w:bottom w:w="43" w:type="dxa"/>
              <w:right w:w="43" w:type="dxa"/>
            </w:tcMar>
            <w:vAlign w:val="bottom"/>
          </w:tcPr>
          <w:p w14:paraId="3C4F325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54C3F4D" w14:textId="77777777" w:rsidR="000A2A2B" w:rsidRPr="007C3060" w:rsidRDefault="000A2A2B" w:rsidP="007C3060"/>
        </w:tc>
      </w:tr>
      <w:tr w:rsidR="004B729E" w:rsidRPr="007C3060" w14:paraId="0D31C5D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781BB12" w14:textId="77777777" w:rsidR="000A2A2B" w:rsidRPr="007C3060" w:rsidRDefault="000A2A2B" w:rsidP="007C3060">
            <w:r w:rsidRPr="007C3060">
              <w:t>855</w:t>
            </w:r>
          </w:p>
        </w:tc>
        <w:tc>
          <w:tcPr>
            <w:tcW w:w="992" w:type="dxa"/>
            <w:tcBorders>
              <w:top w:val="nil"/>
              <w:left w:val="nil"/>
              <w:bottom w:val="nil"/>
              <w:right w:val="nil"/>
            </w:tcBorders>
            <w:tcMar>
              <w:top w:w="128" w:type="dxa"/>
              <w:left w:w="43" w:type="dxa"/>
              <w:bottom w:w="43" w:type="dxa"/>
              <w:right w:w="123" w:type="dxa"/>
            </w:tcMar>
          </w:tcPr>
          <w:p w14:paraId="56F26A8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CED4703" w14:textId="77777777" w:rsidR="000A2A2B" w:rsidRPr="007C3060" w:rsidRDefault="000A2A2B" w:rsidP="007C3060">
            <w:r w:rsidRPr="007C3060">
              <w:t>Statlig forvaltning av barnevernet:</w:t>
            </w:r>
          </w:p>
        </w:tc>
        <w:tc>
          <w:tcPr>
            <w:tcW w:w="1717" w:type="dxa"/>
            <w:tcBorders>
              <w:top w:val="nil"/>
              <w:left w:val="nil"/>
              <w:bottom w:val="nil"/>
              <w:right w:val="nil"/>
            </w:tcBorders>
            <w:tcMar>
              <w:top w:w="128" w:type="dxa"/>
              <w:left w:w="43" w:type="dxa"/>
              <w:bottom w:w="43" w:type="dxa"/>
              <w:right w:w="43" w:type="dxa"/>
            </w:tcMar>
            <w:vAlign w:val="bottom"/>
          </w:tcPr>
          <w:p w14:paraId="25C9F7A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02DEEDF" w14:textId="77777777" w:rsidR="000A2A2B" w:rsidRPr="007C3060" w:rsidRDefault="000A2A2B" w:rsidP="007C3060"/>
        </w:tc>
      </w:tr>
      <w:tr w:rsidR="004B729E" w:rsidRPr="007C3060" w14:paraId="55ABBE5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9809BD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5E801F7"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10A03FAB" w14:textId="77777777" w:rsidR="000A2A2B" w:rsidRPr="007C3060" w:rsidRDefault="000A2A2B" w:rsidP="007C3060">
            <w:r w:rsidRPr="007C3060">
              <w:t xml:space="preserve">Driftsutgifter, </w:t>
            </w:r>
            <w:r w:rsidRPr="007C3060">
              <w:rPr>
                <w:rStyle w:val="kursiv"/>
              </w:rPr>
              <w:t>kan nyttes under post 22,</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6EB73BE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6827413" w14:textId="77777777" w:rsidR="000A2A2B" w:rsidRPr="007C3060" w:rsidRDefault="000A2A2B" w:rsidP="007C3060">
            <w:r w:rsidRPr="007C3060">
              <w:t>59 460 000</w:t>
            </w:r>
          </w:p>
        </w:tc>
      </w:tr>
      <w:tr w:rsidR="004B729E" w:rsidRPr="007C3060" w14:paraId="40EE621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8B0F2D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76195B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5B8BB35" w14:textId="77777777" w:rsidR="000A2A2B" w:rsidRPr="007C3060" w:rsidRDefault="000A2A2B" w:rsidP="007C3060">
            <w:r w:rsidRPr="007C3060">
              <w:t>fra kr 4 887 294 000 til kr 4 946 754 000</w:t>
            </w:r>
          </w:p>
        </w:tc>
        <w:tc>
          <w:tcPr>
            <w:tcW w:w="1717" w:type="dxa"/>
            <w:tcBorders>
              <w:top w:val="nil"/>
              <w:left w:val="nil"/>
              <w:bottom w:val="nil"/>
              <w:right w:val="nil"/>
            </w:tcBorders>
            <w:tcMar>
              <w:top w:w="128" w:type="dxa"/>
              <w:left w:w="43" w:type="dxa"/>
              <w:bottom w:w="43" w:type="dxa"/>
              <w:right w:w="43" w:type="dxa"/>
            </w:tcMar>
            <w:vAlign w:val="bottom"/>
          </w:tcPr>
          <w:p w14:paraId="4AF2CFA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15D738" w14:textId="77777777" w:rsidR="000A2A2B" w:rsidRPr="007C3060" w:rsidRDefault="000A2A2B" w:rsidP="007C3060"/>
        </w:tc>
      </w:tr>
      <w:tr w:rsidR="004B729E" w:rsidRPr="007C3060" w14:paraId="2D597C67"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436425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09C7EC5"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0EB7F9A7" w14:textId="11E49DBE" w:rsidR="000A2A2B" w:rsidRPr="007C3060" w:rsidRDefault="000A2A2B" w:rsidP="007C3060">
            <w:r w:rsidRPr="007C3060">
              <w:t xml:space="preserve">Kjøp av private barnevernstjenester, </w:t>
            </w:r>
            <w:r w:rsidRPr="007C3060">
              <w:rPr>
                <w:rStyle w:val="kursiv"/>
              </w:rPr>
              <w:t>kan nyttes under post 1,</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42F123F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7FE2EE3" w14:textId="77777777" w:rsidR="000A2A2B" w:rsidRPr="007C3060" w:rsidRDefault="000A2A2B" w:rsidP="007C3060">
            <w:r w:rsidRPr="007C3060">
              <w:t>520 000 000</w:t>
            </w:r>
          </w:p>
        </w:tc>
      </w:tr>
      <w:tr w:rsidR="004B729E" w:rsidRPr="007C3060" w14:paraId="37BC72A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D064F4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61BA0F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CFC2070" w14:textId="77777777" w:rsidR="000A2A2B" w:rsidRPr="007C3060" w:rsidRDefault="000A2A2B" w:rsidP="007C3060">
            <w:r w:rsidRPr="007C3060">
              <w:t>fra kr 4 145 778 000 til kr 4 665 778 000</w:t>
            </w:r>
          </w:p>
        </w:tc>
        <w:tc>
          <w:tcPr>
            <w:tcW w:w="1717" w:type="dxa"/>
            <w:tcBorders>
              <w:top w:val="nil"/>
              <w:left w:val="nil"/>
              <w:bottom w:val="nil"/>
              <w:right w:val="nil"/>
            </w:tcBorders>
            <w:tcMar>
              <w:top w:w="128" w:type="dxa"/>
              <w:left w:w="43" w:type="dxa"/>
              <w:bottom w:w="43" w:type="dxa"/>
              <w:right w:w="43" w:type="dxa"/>
            </w:tcMar>
            <w:vAlign w:val="bottom"/>
          </w:tcPr>
          <w:p w14:paraId="6F7565A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5CA2A11" w14:textId="77777777" w:rsidR="000A2A2B" w:rsidRPr="007C3060" w:rsidRDefault="000A2A2B" w:rsidP="007C3060"/>
        </w:tc>
      </w:tr>
      <w:tr w:rsidR="004B729E" w:rsidRPr="007C3060" w14:paraId="0E2042D1"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387CF34" w14:textId="77777777" w:rsidR="000A2A2B" w:rsidRPr="007C3060" w:rsidRDefault="000A2A2B" w:rsidP="007C3060">
            <w:r w:rsidRPr="007C3060">
              <w:t>856</w:t>
            </w:r>
          </w:p>
        </w:tc>
        <w:tc>
          <w:tcPr>
            <w:tcW w:w="992" w:type="dxa"/>
            <w:tcBorders>
              <w:top w:val="nil"/>
              <w:left w:val="nil"/>
              <w:bottom w:val="nil"/>
              <w:right w:val="nil"/>
            </w:tcBorders>
            <w:tcMar>
              <w:top w:w="128" w:type="dxa"/>
              <w:left w:w="43" w:type="dxa"/>
              <w:bottom w:w="43" w:type="dxa"/>
              <w:right w:w="123" w:type="dxa"/>
            </w:tcMar>
          </w:tcPr>
          <w:p w14:paraId="1C24E9D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F2C934F" w14:textId="77777777" w:rsidR="000A2A2B" w:rsidRPr="007C3060" w:rsidRDefault="000A2A2B" w:rsidP="007C3060">
            <w:r w:rsidRPr="007C3060">
              <w:t>Barnevernets omsorgssenter for enslige, mindreårige -asylsøkere:</w:t>
            </w:r>
          </w:p>
        </w:tc>
        <w:tc>
          <w:tcPr>
            <w:tcW w:w="1717" w:type="dxa"/>
            <w:tcBorders>
              <w:top w:val="nil"/>
              <w:left w:val="nil"/>
              <w:bottom w:val="nil"/>
              <w:right w:val="nil"/>
            </w:tcBorders>
            <w:tcMar>
              <w:top w:w="128" w:type="dxa"/>
              <w:left w:w="43" w:type="dxa"/>
              <w:bottom w:w="43" w:type="dxa"/>
              <w:right w:w="43" w:type="dxa"/>
            </w:tcMar>
            <w:vAlign w:val="bottom"/>
          </w:tcPr>
          <w:p w14:paraId="7C1C173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CB45B52" w14:textId="77777777" w:rsidR="000A2A2B" w:rsidRPr="007C3060" w:rsidRDefault="000A2A2B" w:rsidP="007C3060"/>
        </w:tc>
      </w:tr>
      <w:tr w:rsidR="004B729E" w:rsidRPr="007C3060" w14:paraId="2941EB7C"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06B0003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90582AB"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5372AC8B" w14:textId="0A84397A" w:rsidR="000A2A2B" w:rsidRPr="007C3060" w:rsidRDefault="000A2A2B" w:rsidP="007C3060">
            <w:r w:rsidRPr="007C3060">
              <w:t xml:space="preserve">Kjøp av plasser i private omsorgssentre, </w:t>
            </w:r>
            <w:r w:rsidRPr="007C3060">
              <w:rPr>
                <w:rStyle w:val="kursiv"/>
              </w:rPr>
              <w:t xml:space="preserve">kan nyttes under post 1, </w:t>
            </w:r>
            <w:r w:rsidRPr="007C3060">
              <w:t xml:space="preserve">nedsettes med </w:t>
            </w:r>
          </w:p>
        </w:tc>
        <w:tc>
          <w:tcPr>
            <w:tcW w:w="1717" w:type="dxa"/>
            <w:tcBorders>
              <w:top w:val="nil"/>
              <w:left w:val="nil"/>
              <w:bottom w:val="nil"/>
              <w:right w:val="nil"/>
            </w:tcBorders>
            <w:tcMar>
              <w:top w:w="128" w:type="dxa"/>
              <w:left w:w="43" w:type="dxa"/>
              <w:bottom w:w="43" w:type="dxa"/>
              <w:right w:w="43" w:type="dxa"/>
            </w:tcMar>
            <w:vAlign w:val="bottom"/>
          </w:tcPr>
          <w:p w14:paraId="715222D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70F83D8" w14:textId="77777777" w:rsidR="000A2A2B" w:rsidRPr="007C3060" w:rsidRDefault="000A2A2B" w:rsidP="007C3060">
            <w:r w:rsidRPr="007C3060">
              <w:t>25 234 000</w:t>
            </w:r>
          </w:p>
        </w:tc>
      </w:tr>
      <w:tr w:rsidR="004B729E" w:rsidRPr="007C3060" w14:paraId="50E25DD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0F3AAD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EED0BA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6E53646" w14:textId="77777777" w:rsidR="000A2A2B" w:rsidRPr="007C3060" w:rsidRDefault="000A2A2B" w:rsidP="007C3060">
            <w:r w:rsidRPr="007C3060">
              <w:t>fra kr 392 169 000 til kr 366 935 000</w:t>
            </w:r>
          </w:p>
        </w:tc>
        <w:tc>
          <w:tcPr>
            <w:tcW w:w="1717" w:type="dxa"/>
            <w:tcBorders>
              <w:top w:val="nil"/>
              <w:left w:val="nil"/>
              <w:bottom w:val="nil"/>
              <w:right w:val="nil"/>
            </w:tcBorders>
            <w:tcMar>
              <w:top w:w="128" w:type="dxa"/>
              <w:left w:w="43" w:type="dxa"/>
              <w:bottom w:w="43" w:type="dxa"/>
              <w:right w:w="43" w:type="dxa"/>
            </w:tcMar>
            <w:vAlign w:val="bottom"/>
          </w:tcPr>
          <w:p w14:paraId="025FFA3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70EE134" w14:textId="77777777" w:rsidR="000A2A2B" w:rsidRPr="007C3060" w:rsidRDefault="000A2A2B" w:rsidP="007C3060"/>
        </w:tc>
      </w:tr>
      <w:tr w:rsidR="004B729E" w:rsidRPr="007C3060" w14:paraId="1DE8B7D5"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736B256" w14:textId="77777777" w:rsidR="000A2A2B" w:rsidRPr="007C3060" w:rsidRDefault="000A2A2B" w:rsidP="007C3060">
            <w:r w:rsidRPr="007C3060">
              <w:t>858</w:t>
            </w:r>
          </w:p>
        </w:tc>
        <w:tc>
          <w:tcPr>
            <w:tcW w:w="992" w:type="dxa"/>
            <w:tcBorders>
              <w:top w:val="nil"/>
              <w:left w:val="nil"/>
              <w:bottom w:val="nil"/>
              <w:right w:val="nil"/>
            </w:tcBorders>
            <w:tcMar>
              <w:top w:w="128" w:type="dxa"/>
              <w:left w:w="43" w:type="dxa"/>
              <w:bottom w:w="43" w:type="dxa"/>
              <w:right w:w="123" w:type="dxa"/>
            </w:tcMar>
          </w:tcPr>
          <w:p w14:paraId="28644DA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B04EE25" w14:textId="77777777" w:rsidR="000A2A2B" w:rsidRPr="007C3060" w:rsidRDefault="000A2A2B" w:rsidP="007C3060">
            <w:r w:rsidRPr="007C3060">
              <w:t>Barne-, ungdoms- og familiedirektoratet og fellesfunksjoner i Barne-, ungdoms- og familieetaten:</w:t>
            </w:r>
          </w:p>
        </w:tc>
        <w:tc>
          <w:tcPr>
            <w:tcW w:w="1717" w:type="dxa"/>
            <w:tcBorders>
              <w:top w:val="nil"/>
              <w:left w:val="nil"/>
              <w:bottom w:val="nil"/>
              <w:right w:val="nil"/>
            </w:tcBorders>
            <w:tcMar>
              <w:top w:w="128" w:type="dxa"/>
              <w:left w:w="43" w:type="dxa"/>
              <w:bottom w:w="43" w:type="dxa"/>
              <w:right w:w="43" w:type="dxa"/>
            </w:tcMar>
            <w:vAlign w:val="bottom"/>
          </w:tcPr>
          <w:p w14:paraId="7730C46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4EC7246" w14:textId="77777777" w:rsidR="000A2A2B" w:rsidRPr="007C3060" w:rsidRDefault="000A2A2B" w:rsidP="007C3060"/>
        </w:tc>
      </w:tr>
      <w:tr w:rsidR="004B729E" w:rsidRPr="007C3060" w14:paraId="61C5384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3E1160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D171ED3"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2B067067"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3112DAB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B5C5F6A" w14:textId="77777777" w:rsidR="000A2A2B" w:rsidRPr="007C3060" w:rsidRDefault="000A2A2B" w:rsidP="007C3060">
            <w:r w:rsidRPr="007C3060">
              <w:t>15 000</w:t>
            </w:r>
          </w:p>
        </w:tc>
      </w:tr>
      <w:tr w:rsidR="004B729E" w:rsidRPr="007C3060" w14:paraId="1F2CF96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60DD72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C041D0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4DA8D48" w14:textId="77777777" w:rsidR="000A2A2B" w:rsidRPr="007C3060" w:rsidRDefault="000A2A2B" w:rsidP="007C3060">
            <w:r w:rsidRPr="007C3060">
              <w:t>fra kr 674 015 000 til kr 674 030 000</w:t>
            </w:r>
          </w:p>
        </w:tc>
        <w:tc>
          <w:tcPr>
            <w:tcW w:w="1717" w:type="dxa"/>
            <w:tcBorders>
              <w:top w:val="nil"/>
              <w:left w:val="nil"/>
              <w:bottom w:val="nil"/>
              <w:right w:val="nil"/>
            </w:tcBorders>
            <w:tcMar>
              <w:top w:w="128" w:type="dxa"/>
              <w:left w:w="43" w:type="dxa"/>
              <w:bottom w:w="43" w:type="dxa"/>
              <w:right w:w="43" w:type="dxa"/>
            </w:tcMar>
            <w:vAlign w:val="bottom"/>
          </w:tcPr>
          <w:p w14:paraId="4F6AC0A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D6E6531" w14:textId="77777777" w:rsidR="000A2A2B" w:rsidRPr="007C3060" w:rsidRDefault="000A2A2B" w:rsidP="007C3060"/>
        </w:tc>
      </w:tr>
      <w:tr w:rsidR="004B729E" w:rsidRPr="007C3060" w14:paraId="4735791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B6957F0" w14:textId="77777777" w:rsidR="000A2A2B" w:rsidRPr="007C3060" w:rsidRDefault="000A2A2B" w:rsidP="007C3060">
            <w:r w:rsidRPr="007C3060">
              <w:lastRenderedPageBreak/>
              <w:t>865</w:t>
            </w:r>
          </w:p>
        </w:tc>
        <w:tc>
          <w:tcPr>
            <w:tcW w:w="992" w:type="dxa"/>
            <w:tcBorders>
              <w:top w:val="nil"/>
              <w:left w:val="nil"/>
              <w:bottom w:val="nil"/>
              <w:right w:val="nil"/>
            </w:tcBorders>
            <w:tcMar>
              <w:top w:w="128" w:type="dxa"/>
              <w:left w:w="43" w:type="dxa"/>
              <w:bottom w:w="43" w:type="dxa"/>
              <w:right w:w="123" w:type="dxa"/>
            </w:tcMar>
          </w:tcPr>
          <w:p w14:paraId="335F526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AE90671" w14:textId="77777777" w:rsidR="000A2A2B" w:rsidRPr="007C3060" w:rsidRDefault="000A2A2B" w:rsidP="007C3060">
            <w:r w:rsidRPr="007C3060">
              <w:t>Forbrukerpolitiske tiltak:</w:t>
            </w:r>
          </w:p>
        </w:tc>
        <w:tc>
          <w:tcPr>
            <w:tcW w:w="1717" w:type="dxa"/>
            <w:tcBorders>
              <w:top w:val="nil"/>
              <w:left w:val="nil"/>
              <w:bottom w:val="nil"/>
              <w:right w:val="nil"/>
            </w:tcBorders>
            <w:tcMar>
              <w:top w:w="128" w:type="dxa"/>
              <w:left w:w="43" w:type="dxa"/>
              <w:bottom w:w="43" w:type="dxa"/>
              <w:right w:w="43" w:type="dxa"/>
            </w:tcMar>
            <w:vAlign w:val="bottom"/>
          </w:tcPr>
          <w:p w14:paraId="08A912C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941AA77" w14:textId="77777777" w:rsidR="000A2A2B" w:rsidRPr="007C3060" w:rsidRDefault="000A2A2B" w:rsidP="007C3060"/>
        </w:tc>
      </w:tr>
      <w:tr w:rsidR="004B729E" w:rsidRPr="007C3060" w14:paraId="15A7CFBF"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973235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120E050"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654A06A5" w14:textId="57B5F90E" w:rsidR="000A2A2B" w:rsidRPr="007C3060" w:rsidRDefault="000A2A2B" w:rsidP="007C3060">
            <w:r w:rsidRPr="007C3060">
              <w:t xml:space="preserve">Spesielle driftsutgifter, </w:t>
            </w:r>
            <w:r w:rsidRPr="007C3060">
              <w:rPr>
                <w:rStyle w:val="kursiv"/>
              </w:rPr>
              <w:t>kan overføres, kan nyttes under post 50,</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63EDE0E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7D8DD1F" w14:textId="77777777" w:rsidR="000A2A2B" w:rsidRPr="007C3060" w:rsidRDefault="000A2A2B" w:rsidP="007C3060">
            <w:r w:rsidRPr="007C3060">
              <w:t>1 000 000</w:t>
            </w:r>
          </w:p>
        </w:tc>
      </w:tr>
      <w:tr w:rsidR="004B729E" w:rsidRPr="007C3060" w14:paraId="301E167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1D991E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2C00C2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C9E68CA" w14:textId="77777777" w:rsidR="000A2A2B" w:rsidRPr="007C3060" w:rsidRDefault="000A2A2B" w:rsidP="007C3060">
            <w:r w:rsidRPr="007C3060">
              <w:t>fra kr 3 248 000 til kr 2 248 000</w:t>
            </w:r>
          </w:p>
        </w:tc>
        <w:tc>
          <w:tcPr>
            <w:tcW w:w="1717" w:type="dxa"/>
            <w:tcBorders>
              <w:top w:val="nil"/>
              <w:left w:val="nil"/>
              <w:bottom w:val="nil"/>
              <w:right w:val="nil"/>
            </w:tcBorders>
            <w:tcMar>
              <w:top w:w="128" w:type="dxa"/>
              <w:left w:w="43" w:type="dxa"/>
              <w:bottom w:w="43" w:type="dxa"/>
              <w:right w:w="43" w:type="dxa"/>
            </w:tcMar>
            <w:vAlign w:val="bottom"/>
          </w:tcPr>
          <w:p w14:paraId="7426F1B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513B547" w14:textId="77777777" w:rsidR="000A2A2B" w:rsidRPr="007C3060" w:rsidRDefault="000A2A2B" w:rsidP="007C3060"/>
        </w:tc>
      </w:tr>
      <w:tr w:rsidR="004B729E" w:rsidRPr="007C3060" w14:paraId="6062734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D50E3D8" w14:textId="77777777" w:rsidR="000A2A2B" w:rsidRPr="007C3060" w:rsidRDefault="000A2A2B" w:rsidP="007C3060">
            <w:r w:rsidRPr="007C3060">
              <w:t>881</w:t>
            </w:r>
          </w:p>
        </w:tc>
        <w:tc>
          <w:tcPr>
            <w:tcW w:w="992" w:type="dxa"/>
            <w:tcBorders>
              <w:top w:val="nil"/>
              <w:left w:val="nil"/>
              <w:bottom w:val="nil"/>
              <w:right w:val="nil"/>
            </w:tcBorders>
            <w:tcMar>
              <w:top w:w="128" w:type="dxa"/>
              <w:left w:w="43" w:type="dxa"/>
              <w:bottom w:w="43" w:type="dxa"/>
              <w:right w:w="123" w:type="dxa"/>
            </w:tcMar>
          </w:tcPr>
          <w:p w14:paraId="73419EA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7711815" w14:textId="77777777" w:rsidR="000A2A2B" w:rsidRPr="007C3060" w:rsidRDefault="000A2A2B" w:rsidP="007C3060">
            <w:r w:rsidRPr="007C3060">
              <w:t>Tilskudd til trossamfunn m.m.:</w:t>
            </w:r>
          </w:p>
        </w:tc>
        <w:tc>
          <w:tcPr>
            <w:tcW w:w="1717" w:type="dxa"/>
            <w:tcBorders>
              <w:top w:val="nil"/>
              <w:left w:val="nil"/>
              <w:bottom w:val="nil"/>
              <w:right w:val="nil"/>
            </w:tcBorders>
            <w:tcMar>
              <w:top w:w="128" w:type="dxa"/>
              <w:left w:w="43" w:type="dxa"/>
              <w:bottom w:w="43" w:type="dxa"/>
              <w:right w:w="43" w:type="dxa"/>
            </w:tcMar>
            <w:vAlign w:val="bottom"/>
          </w:tcPr>
          <w:p w14:paraId="08B5B12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D5AD321" w14:textId="77777777" w:rsidR="000A2A2B" w:rsidRPr="007C3060" w:rsidRDefault="000A2A2B" w:rsidP="007C3060"/>
        </w:tc>
      </w:tr>
      <w:tr w:rsidR="004B729E" w:rsidRPr="007C3060" w14:paraId="0D5CFFE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BED3FE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7B9B4AC"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4A54FAF5" w14:textId="77777777" w:rsidR="000A2A2B" w:rsidRPr="007C3060" w:rsidRDefault="000A2A2B" w:rsidP="007C3060">
            <w:r w:rsidRPr="007C3060">
              <w:t>Spesielle 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392C65F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75184B5" w14:textId="77777777" w:rsidR="000A2A2B" w:rsidRPr="007C3060" w:rsidRDefault="000A2A2B" w:rsidP="007C3060">
            <w:r w:rsidRPr="007C3060">
              <w:t>1 000 000</w:t>
            </w:r>
          </w:p>
        </w:tc>
      </w:tr>
      <w:tr w:rsidR="004B729E" w:rsidRPr="007C3060" w14:paraId="231724B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3D1126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6BC1E6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9E77AEF" w14:textId="77777777" w:rsidR="000A2A2B" w:rsidRPr="007C3060" w:rsidRDefault="000A2A2B" w:rsidP="007C3060">
            <w:r w:rsidRPr="007C3060">
              <w:t>fra kr 7 388 000 til kr 8 388 000</w:t>
            </w:r>
          </w:p>
        </w:tc>
        <w:tc>
          <w:tcPr>
            <w:tcW w:w="1717" w:type="dxa"/>
            <w:tcBorders>
              <w:top w:val="nil"/>
              <w:left w:val="nil"/>
              <w:bottom w:val="nil"/>
              <w:right w:val="nil"/>
            </w:tcBorders>
            <w:tcMar>
              <w:top w:w="128" w:type="dxa"/>
              <w:left w:w="43" w:type="dxa"/>
              <w:bottom w:w="43" w:type="dxa"/>
              <w:right w:w="43" w:type="dxa"/>
            </w:tcMar>
            <w:vAlign w:val="bottom"/>
          </w:tcPr>
          <w:p w14:paraId="0064060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8482744" w14:textId="77777777" w:rsidR="000A2A2B" w:rsidRPr="007C3060" w:rsidRDefault="000A2A2B" w:rsidP="007C3060"/>
        </w:tc>
      </w:tr>
      <w:tr w:rsidR="004B729E" w:rsidRPr="007C3060" w14:paraId="18D3319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9E732A2" w14:textId="77777777" w:rsidR="000A2A2B" w:rsidRPr="007C3060" w:rsidRDefault="000A2A2B" w:rsidP="007C3060">
            <w:r w:rsidRPr="007C3060">
              <w:t>900</w:t>
            </w:r>
          </w:p>
        </w:tc>
        <w:tc>
          <w:tcPr>
            <w:tcW w:w="992" w:type="dxa"/>
            <w:tcBorders>
              <w:top w:val="nil"/>
              <w:left w:val="nil"/>
              <w:bottom w:val="nil"/>
              <w:right w:val="nil"/>
            </w:tcBorders>
            <w:tcMar>
              <w:top w:w="128" w:type="dxa"/>
              <w:left w:w="43" w:type="dxa"/>
              <w:bottom w:w="43" w:type="dxa"/>
              <w:right w:w="123" w:type="dxa"/>
            </w:tcMar>
          </w:tcPr>
          <w:p w14:paraId="458E53D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032EA33" w14:textId="77777777" w:rsidR="000A2A2B" w:rsidRPr="007C3060" w:rsidRDefault="000A2A2B" w:rsidP="007C3060">
            <w:r w:rsidRPr="007C3060">
              <w:t>Nærings- og fiskeridepartementet:</w:t>
            </w:r>
          </w:p>
        </w:tc>
        <w:tc>
          <w:tcPr>
            <w:tcW w:w="1717" w:type="dxa"/>
            <w:tcBorders>
              <w:top w:val="nil"/>
              <w:left w:val="nil"/>
              <w:bottom w:val="nil"/>
              <w:right w:val="nil"/>
            </w:tcBorders>
            <w:tcMar>
              <w:top w:w="128" w:type="dxa"/>
              <w:left w:w="43" w:type="dxa"/>
              <w:bottom w:w="43" w:type="dxa"/>
              <w:right w:w="43" w:type="dxa"/>
            </w:tcMar>
            <w:vAlign w:val="bottom"/>
          </w:tcPr>
          <w:p w14:paraId="3C4F558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A9031CC" w14:textId="77777777" w:rsidR="000A2A2B" w:rsidRPr="007C3060" w:rsidRDefault="000A2A2B" w:rsidP="007C3060"/>
        </w:tc>
      </w:tr>
      <w:tr w:rsidR="004B729E" w:rsidRPr="007C3060" w14:paraId="5652C90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922E09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A102162"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67DD7C8C" w14:textId="77777777" w:rsidR="000A2A2B" w:rsidRPr="007C3060" w:rsidRDefault="000A2A2B" w:rsidP="007C3060">
            <w:r w:rsidRPr="007C3060">
              <w:t>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36FFFFC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604EF08" w14:textId="77777777" w:rsidR="000A2A2B" w:rsidRPr="007C3060" w:rsidRDefault="000A2A2B" w:rsidP="007C3060">
            <w:r w:rsidRPr="007C3060">
              <w:t>800 000</w:t>
            </w:r>
          </w:p>
        </w:tc>
      </w:tr>
      <w:tr w:rsidR="004B729E" w:rsidRPr="007C3060" w14:paraId="22A80CF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0F77B3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13FE7F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BB2E4E5" w14:textId="77777777" w:rsidR="000A2A2B" w:rsidRPr="007C3060" w:rsidRDefault="000A2A2B" w:rsidP="007C3060">
            <w:r w:rsidRPr="007C3060">
              <w:t>fra kr 528 060 000 til kr 527 260 000</w:t>
            </w:r>
          </w:p>
        </w:tc>
        <w:tc>
          <w:tcPr>
            <w:tcW w:w="1717" w:type="dxa"/>
            <w:tcBorders>
              <w:top w:val="nil"/>
              <w:left w:val="nil"/>
              <w:bottom w:val="nil"/>
              <w:right w:val="nil"/>
            </w:tcBorders>
            <w:tcMar>
              <w:top w:w="128" w:type="dxa"/>
              <w:left w:w="43" w:type="dxa"/>
              <w:bottom w:w="43" w:type="dxa"/>
              <w:right w:w="43" w:type="dxa"/>
            </w:tcMar>
            <w:vAlign w:val="bottom"/>
          </w:tcPr>
          <w:p w14:paraId="5903E9E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6310C0D" w14:textId="77777777" w:rsidR="000A2A2B" w:rsidRPr="007C3060" w:rsidRDefault="000A2A2B" w:rsidP="007C3060"/>
        </w:tc>
      </w:tr>
      <w:tr w:rsidR="004B729E" w:rsidRPr="007C3060" w14:paraId="142FC57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4071D9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0067E2C"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54233BCB" w14:textId="77777777" w:rsidR="000A2A2B" w:rsidRPr="007C3060" w:rsidRDefault="000A2A2B" w:rsidP="007C3060">
            <w:r w:rsidRPr="007C3060">
              <w:t xml:space="preserve">Spesielle driftsutgifter,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66B9C47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FB314BE" w14:textId="77777777" w:rsidR="000A2A2B" w:rsidRPr="007C3060" w:rsidRDefault="000A2A2B" w:rsidP="007C3060">
            <w:r w:rsidRPr="007C3060">
              <w:t>2 400 000</w:t>
            </w:r>
          </w:p>
        </w:tc>
      </w:tr>
      <w:tr w:rsidR="004B729E" w:rsidRPr="007C3060" w14:paraId="20AE76C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7B75D9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08E514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ED01DEE" w14:textId="77777777" w:rsidR="000A2A2B" w:rsidRPr="007C3060" w:rsidRDefault="000A2A2B" w:rsidP="007C3060">
            <w:r w:rsidRPr="007C3060">
              <w:t>fra kr 67 120 000 til kr 64 720 000</w:t>
            </w:r>
          </w:p>
        </w:tc>
        <w:tc>
          <w:tcPr>
            <w:tcW w:w="1717" w:type="dxa"/>
            <w:tcBorders>
              <w:top w:val="nil"/>
              <w:left w:val="nil"/>
              <w:bottom w:val="nil"/>
              <w:right w:val="nil"/>
            </w:tcBorders>
            <w:tcMar>
              <w:top w:w="128" w:type="dxa"/>
              <w:left w:w="43" w:type="dxa"/>
              <w:bottom w:w="43" w:type="dxa"/>
              <w:right w:w="43" w:type="dxa"/>
            </w:tcMar>
            <w:vAlign w:val="bottom"/>
          </w:tcPr>
          <w:p w14:paraId="6118FBD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68252C8" w14:textId="77777777" w:rsidR="000A2A2B" w:rsidRPr="007C3060" w:rsidRDefault="000A2A2B" w:rsidP="007C3060"/>
        </w:tc>
      </w:tr>
      <w:tr w:rsidR="004B729E" w:rsidRPr="007C3060" w14:paraId="088DC0B6" w14:textId="77777777" w:rsidTr="00414C2B">
        <w:trPr>
          <w:trHeight w:val="880"/>
          <w:jc w:val="right"/>
        </w:trPr>
        <w:tc>
          <w:tcPr>
            <w:tcW w:w="969" w:type="dxa"/>
            <w:tcBorders>
              <w:top w:val="nil"/>
              <w:left w:val="nil"/>
              <w:bottom w:val="nil"/>
              <w:right w:val="nil"/>
            </w:tcBorders>
            <w:tcMar>
              <w:top w:w="128" w:type="dxa"/>
              <w:left w:w="43" w:type="dxa"/>
              <w:bottom w:w="43" w:type="dxa"/>
              <w:right w:w="123" w:type="dxa"/>
            </w:tcMar>
          </w:tcPr>
          <w:p w14:paraId="6010A6D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9DE2095" w14:textId="77777777" w:rsidR="000A2A2B" w:rsidRPr="007C3060" w:rsidRDefault="000A2A2B" w:rsidP="007C3060">
            <w:r w:rsidRPr="007C3060">
              <w:t>23</w:t>
            </w:r>
          </w:p>
        </w:tc>
        <w:tc>
          <w:tcPr>
            <w:tcW w:w="4819" w:type="dxa"/>
            <w:tcBorders>
              <w:top w:val="nil"/>
              <w:left w:val="nil"/>
              <w:bottom w:val="nil"/>
              <w:right w:val="nil"/>
            </w:tcBorders>
            <w:tcMar>
              <w:top w:w="128" w:type="dxa"/>
              <w:left w:w="43" w:type="dxa"/>
              <w:bottom w:w="43" w:type="dxa"/>
              <w:right w:w="43" w:type="dxa"/>
            </w:tcMar>
            <w:vAlign w:val="bottom"/>
          </w:tcPr>
          <w:p w14:paraId="5994EC16" w14:textId="7B2079D4" w:rsidR="000A2A2B" w:rsidRPr="007C3060" w:rsidRDefault="000A2A2B" w:rsidP="007C3060">
            <w:r w:rsidRPr="007C3060">
              <w:t xml:space="preserve">Spesielle driftsutgifter til administrasjon av statlig garantiordning, for lån til små og mellomstore bedrifter, </w:t>
            </w:r>
          </w:p>
          <w:p w14:paraId="413200DA" w14:textId="77777777" w:rsidR="000A2A2B" w:rsidRPr="007C3060" w:rsidRDefault="000A2A2B" w:rsidP="007C3060">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3657848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6835CD8" w14:textId="77777777" w:rsidR="000A2A2B" w:rsidRPr="007C3060" w:rsidRDefault="000A2A2B" w:rsidP="007C3060">
            <w:r w:rsidRPr="007C3060">
              <w:t>4 150 000</w:t>
            </w:r>
          </w:p>
        </w:tc>
      </w:tr>
      <w:tr w:rsidR="004B729E" w:rsidRPr="007C3060" w14:paraId="1FEBBE8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126AB5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388A67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C66E5FE" w14:textId="77777777" w:rsidR="000A2A2B" w:rsidRPr="007C3060" w:rsidRDefault="000A2A2B" w:rsidP="007C3060">
            <w:r w:rsidRPr="007C3060">
              <w:t>fra kr 4 150 000 til kr 0</w:t>
            </w:r>
          </w:p>
        </w:tc>
        <w:tc>
          <w:tcPr>
            <w:tcW w:w="1717" w:type="dxa"/>
            <w:tcBorders>
              <w:top w:val="nil"/>
              <w:left w:val="nil"/>
              <w:bottom w:val="nil"/>
              <w:right w:val="nil"/>
            </w:tcBorders>
            <w:tcMar>
              <w:top w:w="128" w:type="dxa"/>
              <w:left w:w="43" w:type="dxa"/>
              <w:bottom w:w="43" w:type="dxa"/>
              <w:right w:w="43" w:type="dxa"/>
            </w:tcMar>
            <w:vAlign w:val="bottom"/>
          </w:tcPr>
          <w:p w14:paraId="0292150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93E23AF" w14:textId="77777777" w:rsidR="000A2A2B" w:rsidRPr="007C3060" w:rsidRDefault="000A2A2B" w:rsidP="007C3060"/>
        </w:tc>
      </w:tr>
      <w:tr w:rsidR="004B729E" w:rsidRPr="007C3060" w14:paraId="6020D05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1F821B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7336FC9"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2B542BDE" w14:textId="77777777" w:rsidR="000A2A2B" w:rsidRPr="007C3060" w:rsidRDefault="000A2A2B" w:rsidP="007C3060">
            <w:r w:rsidRPr="007C3060">
              <w:t>Miljøtiltak Raufoss, nedsettes med</w:t>
            </w:r>
          </w:p>
        </w:tc>
        <w:tc>
          <w:tcPr>
            <w:tcW w:w="1717" w:type="dxa"/>
            <w:tcBorders>
              <w:top w:val="nil"/>
              <w:left w:val="nil"/>
              <w:bottom w:val="nil"/>
              <w:right w:val="nil"/>
            </w:tcBorders>
            <w:tcMar>
              <w:top w:w="128" w:type="dxa"/>
              <w:left w:w="43" w:type="dxa"/>
              <w:bottom w:w="43" w:type="dxa"/>
              <w:right w:w="43" w:type="dxa"/>
            </w:tcMar>
            <w:vAlign w:val="bottom"/>
          </w:tcPr>
          <w:p w14:paraId="57239FD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CB6E94C" w14:textId="77777777" w:rsidR="000A2A2B" w:rsidRPr="007C3060" w:rsidRDefault="000A2A2B" w:rsidP="007C3060">
            <w:r w:rsidRPr="007C3060">
              <w:t>1 400 000</w:t>
            </w:r>
          </w:p>
        </w:tc>
      </w:tr>
      <w:tr w:rsidR="004B729E" w:rsidRPr="007C3060" w14:paraId="3727F01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5E486B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B1226A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260AEC7" w14:textId="77777777" w:rsidR="000A2A2B" w:rsidRPr="007C3060" w:rsidRDefault="000A2A2B" w:rsidP="007C3060">
            <w:r w:rsidRPr="007C3060">
              <w:t>fra kr 9 000 000 til kr 7 600 000</w:t>
            </w:r>
          </w:p>
        </w:tc>
        <w:tc>
          <w:tcPr>
            <w:tcW w:w="1717" w:type="dxa"/>
            <w:tcBorders>
              <w:top w:val="nil"/>
              <w:left w:val="nil"/>
              <w:bottom w:val="nil"/>
              <w:right w:val="nil"/>
            </w:tcBorders>
            <w:tcMar>
              <w:top w:w="128" w:type="dxa"/>
              <w:left w:w="43" w:type="dxa"/>
              <w:bottom w:w="43" w:type="dxa"/>
              <w:right w:w="43" w:type="dxa"/>
            </w:tcMar>
            <w:vAlign w:val="bottom"/>
          </w:tcPr>
          <w:p w14:paraId="621DDC4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E98CE1D" w14:textId="77777777" w:rsidR="000A2A2B" w:rsidRPr="007C3060" w:rsidRDefault="000A2A2B" w:rsidP="007C3060"/>
        </w:tc>
      </w:tr>
      <w:tr w:rsidR="004B729E" w:rsidRPr="007C3060" w14:paraId="29298773"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232C67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0F3FBAD"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6B0AE3C7" w14:textId="27EEC1DD" w:rsidR="000A2A2B" w:rsidRPr="007C3060" w:rsidRDefault="000A2A2B" w:rsidP="007C3060">
            <w:r w:rsidRPr="007C3060">
              <w:t xml:space="preserve">Tilskudd til særskilte prosjekter,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1BD1318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658845" w14:textId="77777777" w:rsidR="000A2A2B" w:rsidRPr="007C3060" w:rsidRDefault="000A2A2B" w:rsidP="007C3060">
            <w:r w:rsidRPr="007C3060">
              <w:t>2 000 000</w:t>
            </w:r>
          </w:p>
        </w:tc>
      </w:tr>
      <w:tr w:rsidR="004B729E" w:rsidRPr="007C3060" w14:paraId="47C492E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93E0C1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C62828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A3578E4" w14:textId="77777777" w:rsidR="000A2A2B" w:rsidRPr="007C3060" w:rsidRDefault="000A2A2B" w:rsidP="007C3060">
            <w:r w:rsidRPr="007C3060">
              <w:t>fra kr 21 310 000 til kr 23 310 000</w:t>
            </w:r>
          </w:p>
        </w:tc>
        <w:tc>
          <w:tcPr>
            <w:tcW w:w="1717" w:type="dxa"/>
            <w:tcBorders>
              <w:top w:val="nil"/>
              <w:left w:val="nil"/>
              <w:bottom w:val="nil"/>
              <w:right w:val="nil"/>
            </w:tcBorders>
            <w:tcMar>
              <w:top w:w="128" w:type="dxa"/>
              <w:left w:w="43" w:type="dxa"/>
              <w:bottom w:w="43" w:type="dxa"/>
              <w:right w:w="43" w:type="dxa"/>
            </w:tcMar>
            <w:vAlign w:val="bottom"/>
          </w:tcPr>
          <w:p w14:paraId="406B772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5C5FE95" w14:textId="77777777" w:rsidR="000A2A2B" w:rsidRPr="007C3060" w:rsidRDefault="000A2A2B" w:rsidP="007C3060"/>
        </w:tc>
      </w:tr>
      <w:tr w:rsidR="004B729E" w:rsidRPr="007C3060" w14:paraId="2AD4452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B44ED5A" w14:textId="77777777" w:rsidR="000A2A2B" w:rsidRPr="007C3060" w:rsidRDefault="000A2A2B" w:rsidP="007C3060">
            <w:r w:rsidRPr="007C3060">
              <w:t>902</w:t>
            </w:r>
          </w:p>
        </w:tc>
        <w:tc>
          <w:tcPr>
            <w:tcW w:w="992" w:type="dxa"/>
            <w:tcBorders>
              <w:top w:val="nil"/>
              <w:left w:val="nil"/>
              <w:bottom w:val="nil"/>
              <w:right w:val="nil"/>
            </w:tcBorders>
            <w:tcMar>
              <w:top w:w="128" w:type="dxa"/>
              <w:left w:w="43" w:type="dxa"/>
              <w:bottom w:w="43" w:type="dxa"/>
              <w:right w:w="123" w:type="dxa"/>
            </w:tcMar>
          </w:tcPr>
          <w:p w14:paraId="7E52876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F22A330" w14:textId="77777777" w:rsidR="000A2A2B" w:rsidRPr="007C3060" w:rsidRDefault="000A2A2B" w:rsidP="007C3060">
            <w:proofErr w:type="spellStart"/>
            <w:r w:rsidRPr="007C3060">
              <w:t>Justervesenet</w:t>
            </w:r>
            <w:proofErr w:type="spellEnd"/>
            <w:r w:rsidRPr="007C3060">
              <w:t>:</w:t>
            </w:r>
          </w:p>
        </w:tc>
        <w:tc>
          <w:tcPr>
            <w:tcW w:w="1717" w:type="dxa"/>
            <w:tcBorders>
              <w:top w:val="nil"/>
              <w:left w:val="nil"/>
              <w:bottom w:val="nil"/>
              <w:right w:val="nil"/>
            </w:tcBorders>
            <w:tcMar>
              <w:top w:w="128" w:type="dxa"/>
              <w:left w:w="43" w:type="dxa"/>
              <w:bottom w:w="43" w:type="dxa"/>
              <w:right w:w="43" w:type="dxa"/>
            </w:tcMar>
            <w:vAlign w:val="bottom"/>
          </w:tcPr>
          <w:p w14:paraId="2EDB37A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AF241D5" w14:textId="77777777" w:rsidR="000A2A2B" w:rsidRPr="007C3060" w:rsidRDefault="000A2A2B" w:rsidP="007C3060"/>
        </w:tc>
      </w:tr>
      <w:tr w:rsidR="004B729E" w:rsidRPr="007C3060" w14:paraId="082ACAF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C6D823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0288545"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2D8D5806" w14:textId="77777777" w:rsidR="000A2A2B" w:rsidRPr="007C3060" w:rsidRDefault="000A2A2B" w:rsidP="007C3060">
            <w:r w:rsidRPr="007C3060">
              <w:t>Spesielle 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22769B4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B2EA989" w14:textId="77777777" w:rsidR="000A2A2B" w:rsidRPr="007C3060" w:rsidRDefault="000A2A2B" w:rsidP="007C3060">
            <w:r w:rsidRPr="007C3060">
              <w:t>109 000</w:t>
            </w:r>
          </w:p>
        </w:tc>
      </w:tr>
      <w:tr w:rsidR="004B729E" w:rsidRPr="007C3060" w14:paraId="1E6B06A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CB8D8D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A63A70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C0B287C" w14:textId="77777777" w:rsidR="000A2A2B" w:rsidRPr="007C3060" w:rsidRDefault="000A2A2B" w:rsidP="007C3060">
            <w:r w:rsidRPr="007C3060">
              <w:t>fra kr 109 000 til kr 0</w:t>
            </w:r>
          </w:p>
        </w:tc>
        <w:tc>
          <w:tcPr>
            <w:tcW w:w="1717" w:type="dxa"/>
            <w:tcBorders>
              <w:top w:val="nil"/>
              <w:left w:val="nil"/>
              <w:bottom w:val="nil"/>
              <w:right w:val="nil"/>
            </w:tcBorders>
            <w:tcMar>
              <w:top w:w="128" w:type="dxa"/>
              <w:left w:w="43" w:type="dxa"/>
              <w:bottom w:w="43" w:type="dxa"/>
              <w:right w:w="43" w:type="dxa"/>
            </w:tcMar>
            <w:vAlign w:val="bottom"/>
          </w:tcPr>
          <w:p w14:paraId="431CE35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649F5E4" w14:textId="77777777" w:rsidR="000A2A2B" w:rsidRPr="007C3060" w:rsidRDefault="000A2A2B" w:rsidP="007C3060"/>
        </w:tc>
      </w:tr>
      <w:tr w:rsidR="004B729E" w:rsidRPr="007C3060" w14:paraId="0EC6480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AEAA11E" w14:textId="77777777" w:rsidR="000A2A2B" w:rsidRPr="007C3060" w:rsidRDefault="000A2A2B" w:rsidP="007C3060">
            <w:r w:rsidRPr="007C3060">
              <w:t>904</w:t>
            </w:r>
          </w:p>
        </w:tc>
        <w:tc>
          <w:tcPr>
            <w:tcW w:w="992" w:type="dxa"/>
            <w:tcBorders>
              <w:top w:val="nil"/>
              <w:left w:val="nil"/>
              <w:bottom w:val="nil"/>
              <w:right w:val="nil"/>
            </w:tcBorders>
            <w:tcMar>
              <w:top w:w="128" w:type="dxa"/>
              <w:left w:w="43" w:type="dxa"/>
              <w:bottom w:w="43" w:type="dxa"/>
              <w:right w:w="123" w:type="dxa"/>
            </w:tcMar>
          </w:tcPr>
          <w:p w14:paraId="66339FB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5830293" w14:textId="77777777" w:rsidR="000A2A2B" w:rsidRPr="007C3060" w:rsidRDefault="000A2A2B" w:rsidP="007C3060">
            <w:r w:rsidRPr="007C3060">
              <w:t>Brønnøysundregistrene:</w:t>
            </w:r>
          </w:p>
        </w:tc>
        <w:tc>
          <w:tcPr>
            <w:tcW w:w="1717" w:type="dxa"/>
            <w:tcBorders>
              <w:top w:val="nil"/>
              <w:left w:val="nil"/>
              <w:bottom w:val="nil"/>
              <w:right w:val="nil"/>
            </w:tcBorders>
            <w:tcMar>
              <w:top w:w="128" w:type="dxa"/>
              <w:left w:w="43" w:type="dxa"/>
              <w:bottom w:w="43" w:type="dxa"/>
              <w:right w:w="43" w:type="dxa"/>
            </w:tcMar>
            <w:vAlign w:val="bottom"/>
          </w:tcPr>
          <w:p w14:paraId="6E06AC1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1052E1A" w14:textId="77777777" w:rsidR="000A2A2B" w:rsidRPr="007C3060" w:rsidRDefault="000A2A2B" w:rsidP="007C3060"/>
        </w:tc>
      </w:tr>
      <w:tr w:rsidR="004B729E" w:rsidRPr="007C3060" w14:paraId="127A4EF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7C6114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492B23B"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7ACC538D" w14:textId="77777777" w:rsidR="000A2A2B" w:rsidRPr="007C3060" w:rsidRDefault="000A2A2B" w:rsidP="007C3060">
            <w:r w:rsidRPr="007C3060">
              <w:t xml:space="preserve">Spesielle driftsutgifter,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0BAE4B6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8904A2C" w14:textId="77777777" w:rsidR="000A2A2B" w:rsidRPr="007C3060" w:rsidRDefault="000A2A2B" w:rsidP="007C3060">
            <w:r w:rsidRPr="007C3060">
              <w:t>1 800 000</w:t>
            </w:r>
          </w:p>
        </w:tc>
      </w:tr>
      <w:tr w:rsidR="004B729E" w:rsidRPr="007C3060" w14:paraId="4E3ADDE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933BFB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14F41A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896598A" w14:textId="77777777" w:rsidR="000A2A2B" w:rsidRPr="007C3060" w:rsidRDefault="000A2A2B" w:rsidP="007C3060">
            <w:r w:rsidRPr="007C3060">
              <w:t>fra kr 74 500 000 til kr 76 300 000</w:t>
            </w:r>
          </w:p>
        </w:tc>
        <w:tc>
          <w:tcPr>
            <w:tcW w:w="1717" w:type="dxa"/>
            <w:tcBorders>
              <w:top w:val="nil"/>
              <w:left w:val="nil"/>
              <w:bottom w:val="nil"/>
              <w:right w:val="nil"/>
            </w:tcBorders>
            <w:tcMar>
              <w:top w:w="128" w:type="dxa"/>
              <w:left w:w="43" w:type="dxa"/>
              <w:bottom w:w="43" w:type="dxa"/>
              <w:right w:w="43" w:type="dxa"/>
            </w:tcMar>
            <w:vAlign w:val="bottom"/>
          </w:tcPr>
          <w:p w14:paraId="6AF5F3F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89D866C" w14:textId="77777777" w:rsidR="000A2A2B" w:rsidRPr="007C3060" w:rsidRDefault="000A2A2B" w:rsidP="007C3060"/>
        </w:tc>
      </w:tr>
      <w:tr w:rsidR="004B729E" w:rsidRPr="007C3060" w14:paraId="19906C05"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35F22A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3C17507" w14:textId="77777777" w:rsidR="000A2A2B" w:rsidRPr="007C3060" w:rsidRDefault="000A2A2B" w:rsidP="007C3060">
            <w:r w:rsidRPr="007C3060">
              <w:t>45</w:t>
            </w:r>
          </w:p>
        </w:tc>
        <w:tc>
          <w:tcPr>
            <w:tcW w:w="4819" w:type="dxa"/>
            <w:tcBorders>
              <w:top w:val="nil"/>
              <w:left w:val="nil"/>
              <w:bottom w:val="nil"/>
              <w:right w:val="nil"/>
            </w:tcBorders>
            <w:tcMar>
              <w:top w:w="128" w:type="dxa"/>
              <w:left w:w="43" w:type="dxa"/>
              <w:bottom w:w="43" w:type="dxa"/>
              <w:right w:w="43" w:type="dxa"/>
            </w:tcMar>
            <w:vAlign w:val="bottom"/>
          </w:tcPr>
          <w:p w14:paraId="1FB359E6" w14:textId="77777777" w:rsidR="000A2A2B" w:rsidRPr="007C3060" w:rsidRDefault="000A2A2B" w:rsidP="007C3060">
            <w:r w:rsidRPr="007C3060">
              <w:t xml:space="preserve">Større utstyrsanskaffelser og vedlikehold,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3E8C838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F9F9E80" w14:textId="77777777" w:rsidR="000A2A2B" w:rsidRPr="007C3060" w:rsidRDefault="000A2A2B" w:rsidP="007C3060">
            <w:r w:rsidRPr="007C3060">
              <w:t>28 300 000</w:t>
            </w:r>
          </w:p>
        </w:tc>
      </w:tr>
      <w:tr w:rsidR="004B729E" w:rsidRPr="007C3060" w14:paraId="44443A0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48CB54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513979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BAAA503" w14:textId="77777777" w:rsidR="000A2A2B" w:rsidRPr="007C3060" w:rsidRDefault="000A2A2B" w:rsidP="007C3060">
            <w:r w:rsidRPr="007C3060">
              <w:t>fra kr 222 100 000 til kr 193 800 000</w:t>
            </w:r>
          </w:p>
        </w:tc>
        <w:tc>
          <w:tcPr>
            <w:tcW w:w="1717" w:type="dxa"/>
            <w:tcBorders>
              <w:top w:val="nil"/>
              <w:left w:val="nil"/>
              <w:bottom w:val="nil"/>
              <w:right w:val="nil"/>
            </w:tcBorders>
            <w:tcMar>
              <w:top w:w="128" w:type="dxa"/>
              <w:left w:w="43" w:type="dxa"/>
              <w:bottom w:w="43" w:type="dxa"/>
              <w:right w:w="43" w:type="dxa"/>
            </w:tcMar>
            <w:vAlign w:val="bottom"/>
          </w:tcPr>
          <w:p w14:paraId="6C89504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AD9E572" w14:textId="77777777" w:rsidR="000A2A2B" w:rsidRPr="007C3060" w:rsidRDefault="000A2A2B" w:rsidP="007C3060"/>
        </w:tc>
      </w:tr>
      <w:tr w:rsidR="004B729E" w:rsidRPr="007C3060" w14:paraId="6ABC76B5"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087302E0" w14:textId="77777777" w:rsidR="000A2A2B" w:rsidRPr="007C3060" w:rsidRDefault="000A2A2B" w:rsidP="007C3060">
            <w:r w:rsidRPr="007C3060">
              <w:t>906</w:t>
            </w:r>
          </w:p>
        </w:tc>
        <w:tc>
          <w:tcPr>
            <w:tcW w:w="992" w:type="dxa"/>
            <w:tcBorders>
              <w:top w:val="nil"/>
              <w:left w:val="nil"/>
              <w:bottom w:val="nil"/>
              <w:right w:val="nil"/>
            </w:tcBorders>
            <w:tcMar>
              <w:top w:w="128" w:type="dxa"/>
              <w:left w:w="43" w:type="dxa"/>
              <w:bottom w:w="43" w:type="dxa"/>
              <w:right w:w="123" w:type="dxa"/>
            </w:tcMar>
          </w:tcPr>
          <w:p w14:paraId="3F42072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319D483" w14:textId="77777777" w:rsidR="000A2A2B" w:rsidRPr="007C3060" w:rsidRDefault="000A2A2B" w:rsidP="007C3060">
            <w:r w:rsidRPr="007C3060">
              <w:t>Direktoratet for mineralforvaltning med Bergmesteren for Svalbard:</w:t>
            </w:r>
          </w:p>
        </w:tc>
        <w:tc>
          <w:tcPr>
            <w:tcW w:w="1717" w:type="dxa"/>
            <w:tcBorders>
              <w:top w:val="nil"/>
              <w:left w:val="nil"/>
              <w:bottom w:val="nil"/>
              <w:right w:val="nil"/>
            </w:tcBorders>
            <w:tcMar>
              <w:top w:w="128" w:type="dxa"/>
              <w:left w:w="43" w:type="dxa"/>
              <w:bottom w:w="43" w:type="dxa"/>
              <w:right w:w="43" w:type="dxa"/>
            </w:tcMar>
            <w:vAlign w:val="bottom"/>
          </w:tcPr>
          <w:p w14:paraId="70FA81E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5564C5D" w14:textId="77777777" w:rsidR="000A2A2B" w:rsidRPr="007C3060" w:rsidRDefault="000A2A2B" w:rsidP="007C3060"/>
        </w:tc>
      </w:tr>
      <w:tr w:rsidR="004B729E" w:rsidRPr="007C3060" w14:paraId="1566183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B22DF4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3DDC691" w14:textId="77777777" w:rsidR="000A2A2B" w:rsidRPr="007C3060" w:rsidRDefault="000A2A2B" w:rsidP="007C3060">
            <w:r w:rsidRPr="007C3060">
              <w:t>31</w:t>
            </w:r>
          </w:p>
        </w:tc>
        <w:tc>
          <w:tcPr>
            <w:tcW w:w="4819" w:type="dxa"/>
            <w:tcBorders>
              <w:top w:val="nil"/>
              <w:left w:val="nil"/>
              <w:bottom w:val="nil"/>
              <w:right w:val="nil"/>
            </w:tcBorders>
            <w:tcMar>
              <w:top w:w="128" w:type="dxa"/>
              <w:left w:w="43" w:type="dxa"/>
              <w:bottom w:w="43" w:type="dxa"/>
              <w:right w:w="43" w:type="dxa"/>
            </w:tcMar>
            <w:vAlign w:val="bottom"/>
          </w:tcPr>
          <w:p w14:paraId="4E17A5F5" w14:textId="77777777" w:rsidR="000A2A2B" w:rsidRPr="007C3060" w:rsidRDefault="000A2A2B" w:rsidP="007C3060">
            <w:r w:rsidRPr="007C3060">
              <w:t xml:space="preserve">Miljøtiltak Løkken,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C46767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63B20CD" w14:textId="77777777" w:rsidR="000A2A2B" w:rsidRPr="007C3060" w:rsidRDefault="000A2A2B" w:rsidP="007C3060">
            <w:r w:rsidRPr="007C3060">
              <w:t>4 000 000</w:t>
            </w:r>
          </w:p>
        </w:tc>
      </w:tr>
      <w:tr w:rsidR="004B729E" w:rsidRPr="007C3060" w14:paraId="5F09BC4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8BCA5B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82F2BB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4ADB099" w14:textId="77777777" w:rsidR="000A2A2B" w:rsidRPr="007C3060" w:rsidRDefault="000A2A2B" w:rsidP="007C3060">
            <w:r w:rsidRPr="007C3060">
              <w:t>fra kr 15 200 000 til kr 11 200 000</w:t>
            </w:r>
          </w:p>
        </w:tc>
        <w:tc>
          <w:tcPr>
            <w:tcW w:w="1717" w:type="dxa"/>
            <w:tcBorders>
              <w:top w:val="nil"/>
              <w:left w:val="nil"/>
              <w:bottom w:val="nil"/>
              <w:right w:val="nil"/>
            </w:tcBorders>
            <w:tcMar>
              <w:top w:w="128" w:type="dxa"/>
              <w:left w:w="43" w:type="dxa"/>
              <w:bottom w:w="43" w:type="dxa"/>
              <w:right w:w="43" w:type="dxa"/>
            </w:tcMar>
            <w:vAlign w:val="bottom"/>
          </w:tcPr>
          <w:p w14:paraId="265CCD9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14855A0" w14:textId="77777777" w:rsidR="000A2A2B" w:rsidRPr="007C3060" w:rsidRDefault="000A2A2B" w:rsidP="007C3060"/>
        </w:tc>
      </w:tr>
      <w:tr w:rsidR="004B729E" w:rsidRPr="007C3060" w14:paraId="4D12F38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389ECB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D4B8718" w14:textId="77777777" w:rsidR="000A2A2B" w:rsidRPr="007C3060" w:rsidRDefault="000A2A2B" w:rsidP="007C3060">
            <w:r w:rsidRPr="007C3060">
              <w:t>32</w:t>
            </w:r>
          </w:p>
        </w:tc>
        <w:tc>
          <w:tcPr>
            <w:tcW w:w="4819" w:type="dxa"/>
            <w:tcBorders>
              <w:top w:val="nil"/>
              <w:left w:val="nil"/>
              <w:bottom w:val="nil"/>
              <w:right w:val="nil"/>
            </w:tcBorders>
            <w:tcMar>
              <w:top w:w="128" w:type="dxa"/>
              <w:left w:w="43" w:type="dxa"/>
              <w:bottom w:w="43" w:type="dxa"/>
              <w:right w:w="43" w:type="dxa"/>
            </w:tcMar>
            <w:vAlign w:val="bottom"/>
          </w:tcPr>
          <w:p w14:paraId="458A704C" w14:textId="77777777" w:rsidR="000A2A2B" w:rsidRPr="007C3060" w:rsidRDefault="000A2A2B" w:rsidP="007C3060">
            <w:r w:rsidRPr="007C3060">
              <w:t xml:space="preserve">Miljøtiltak Folldal,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6B02DF8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8457E80" w14:textId="77777777" w:rsidR="000A2A2B" w:rsidRPr="007C3060" w:rsidRDefault="000A2A2B" w:rsidP="007C3060">
            <w:r w:rsidRPr="007C3060">
              <w:t>10 000 000</w:t>
            </w:r>
          </w:p>
        </w:tc>
      </w:tr>
      <w:tr w:rsidR="004B729E" w:rsidRPr="007C3060" w14:paraId="7D037B8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B14712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A44F3F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24F9FF3" w14:textId="77777777" w:rsidR="000A2A2B" w:rsidRPr="007C3060" w:rsidRDefault="000A2A2B" w:rsidP="007C3060">
            <w:r w:rsidRPr="007C3060">
              <w:t>fra kr 28 101 000 til kr 18 101 000</w:t>
            </w:r>
          </w:p>
        </w:tc>
        <w:tc>
          <w:tcPr>
            <w:tcW w:w="1717" w:type="dxa"/>
            <w:tcBorders>
              <w:top w:val="nil"/>
              <w:left w:val="nil"/>
              <w:bottom w:val="nil"/>
              <w:right w:val="nil"/>
            </w:tcBorders>
            <w:tcMar>
              <w:top w:w="128" w:type="dxa"/>
              <w:left w:w="43" w:type="dxa"/>
              <w:bottom w:w="43" w:type="dxa"/>
              <w:right w:w="43" w:type="dxa"/>
            </w:tcMar>
            <w:vAlign w:val="bottom"/>
          </w:tcPr>
          <w:p w14:paraId="13B7EB9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1D6EB09" w14:textId="77777777" w:rsidR="000A2A2B" w:rsidRPr="007C3060" w:rsidRDefault="000A2A2B" w:rsidP="007C3060"/>
        </w:tc>
      </w:tr>
      <w:tr w:rsidR="004B729E" w:rsidRPr="007C3060" w14:paraId="4FACD5B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9A7D4C6" w14:textId="77777777" w:rsidR="000A2A2B" w:rsidRPr="007C3060" w:rsidRDefault="000A2A2B" w:rsidP="007C3060">
            <w:r w:rsidRPr="007C3060">
              <w:t>907</w:t>
            </w:r>
          </w:p>
        </w:tc>
        <w:tc>
          <w:tcPr>
            <w:tcW w:w="992" w:type="dxa"/>
            <w:tcBorders>
              <w:top w:val="nil"/>
              <w:left w:val="nil"/>
              <w:bottom w:val="nil"/>
              <w:right w:val="nil"/>
            </w:tcBorders>
            <w:tcMar>
              <w:top w:w="128" w:type="dxa"/>
              <w:left w:w="43" w:type="dxa"/>
              <w:bottom w:w="43" w:type="dxa"/>
              <w:right w:w="123" w:type="dxa"/>
            </w:tcMar>
          </w:tcPr>
          <w:p w14:paraId="069A6FD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DC188FC" w14:textId="77777777" w:rsidR="000A2A2B" w:rsidRPr="007C3060" w:rsidRDefault="000A2A2B" w:rsidP="007C3060">
            <w:r w:rsidRPr="007C3060">
              <w:t>Norsk nukleær dekommisjonering:</w:t>
            </w:r>
          </w:p>
        </w:tc>
        <w:tc>
          <w:tcPr>
            <w:tcW w:w="1717" w:type="dxa"/>
            <w:tcBorders>
              <w:top w:val="nil"/>
              <w:left w:val="nil"/>
              <w:bottom w:val="nil"/>
              <w:right w:val="nil"/>
            </w:tcBorders>
            <w:tcMar>
              <w:top w:w="128" w:type="dxa"/>
              <w:left w:w="43" w:type="dxa"/>
              <w:bottom w:w="43" w:type="dxa"/>
              <w:right w:w="43" w:type="dxa"/>
            </w:tcMar>
            <w:vAlign w:val="bottom"/>
          </w:tcPr>
          <w:p w14:paraId="34B10B6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70E6E5F" w14:textId="77777777" w:rsidR="000A2A2B" w:rsidRPr="007C3060" w:rsidRDefault="000A2A2B" w:rsidP="007C3060"/>
        </w:tc>
      </w:tr>
      <w:tr w:rsidR="004B729E" w:rsidRPr="007C3060" w14:paraId="326D2C7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49028A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974273F"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1812658B"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14CE4E2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999F588" w14:textId="77777777" w:rsidR="000A2A2B" w:rsidRPr="007C3060" w:rsidRDefault="000A2A2B" w:rsidP="007C3060">
            <w:r w:rsidRPr="007C3060">
              <w:t>135 100 000</w:t>
            </w:r>
          </w:p>
        </w:tc>
      </w:tr>
      <w:tr w:rsidR="004B729E" w:rsidRPr="007C3060" w14:paraId="6811B9C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14E89D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D0B166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D67860D" w14:textId="77777777" w:rsidR="000A2A2B" w:rsidRPr="007C3060" w:rsidRDefault="000A2A2B" w:rsidP="007C3060">
            <w:r w:rsidRPr="007C3060">
              <w:t>fra kr 189 400 000 til kr 324 500 000</w:t>
            </w:r>
          </w:p>
        </w:tc>
        <w:tc>
          <w:tcPr>
            <w:tcW w:w="1717" w:type="dxa"/>
            <w:tcBorders>
              <w:top w:val="nil"/>
              <w:left w:val="nil"/>
              <w:bottom w:val="nil"/>
              <w:right w:val="nil"/>
            </w:tcBorders>
            <w:tcMar>
              <w:top w:w="128" w:type="dxa"/>
              <w:left w:w="43" w:type="dxa"/>
              <w:bottom w:w="43" w:type="dxa"/>
              <w:right w:w="43" w:type="dxa"/>
            </w:tcMar>
            <w:vAlign w:val="bottom"/>
          </w:tcPr>
          <w:p w14:paraId="578E544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A43DA13" w14:textId="77777777" w:rsidR="000A2A2B" w:rsidRPr="007C3060" w:rsidRDefault="000A2A2B" w:rsidP="007C3060"/>
        </w:tc>
      </w:tr>
      <w:tr w:rsidR="004B729E" w:rsidRPr="007C3060" w14:paraId="20B0A64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B1208C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DE868B4"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68059F20" w14:textId="77777777" w:rsidR="000A2A2B" w:rsidRPr="007C3060" w:rsidRDefault="000A2A2B" w:rsidP="007C3060">
            <w:r w:rsidRPr="007C3060">
              <w:t xml:space="preserve">Spesielle driftsutgifter,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3AB6716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4287F84" w14:textId="77777777" w:rsidR="000A2A2B" w:rsidRPr="007C3060" w:rsidRDefault="000A2A2B" w:rsidP="007C3060">
            <w:r w:rsidRPr="007C3060">
              <w:t>72 000 000</w:t>
            </w:r>
          </w:p>
        </w:tc>
      </w:tr>
      <w:tr w:rsidR="004B729E" w:rsidRPr="007C3060" w14:paraId="3EBB1B1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3E8860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A6B95C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C5D290B" w14:textId="77777777" w:rsidR="000A2A2B" w:rsidRPr="007C3060" w:rsidRDefault="000A2A2B" w:rsidP="007C3060">
            <w:r w:rsidRPr="007C3060">
              <w:t>fra kr 482 670 000 til kr 410 670 000</w:t>
            </w:r>
          </w:p>
        </w:tc>
        <w:tc>
          <w:tcPr>
            <w:tcW w:w="1717" w:type="dxa"/>
            <w:tcBorders>
              <w:top w:val="nil"/>
              <w:left w:val="nil"/>
              <w:bottom w:val="nil"/>
              <w:right w:val="nil"/>
            </w:tcBorders>
            <w:tcMar>
              <w:top w:w="128" w:type="dxa"/>
              <w:left w:w="43" w:type="dxa"/>
              <w:bottom w:w="43" w:type="dxa"/>
              <w:right w:w="43" w:type="dxa"/>
            </w:tcMar>
            <w:vAlign w:val="bottom"/>
          </w:tcPr>
          <w:p w14:paraId="6CFC3E5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3EFB9E4" w14:textId="77777777" w:rsidR="000A2A2B" w:rsidRPr="007C3060" w:rsidRDefault="000A2A2B" w:rsidP="007C3060"/>
        </w:tc>
      </w:tr>
      <w:tr w:rsidR="004B729E" w:rsidRPr="007C3060" w14:paraId="7BBB5AE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B0B5B8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DC44FBE" w14:textId="77777777" w:rsidR="000A2A2B" w:rsidRPr="007C3060" w:rsidRDefault="000A2A2B" w:rsidP="007C3060">
            <w:r w:rsidRPr="007C3060">
              <w:t>60</w:t>
            </w:r>
          </w:p>
        </w:tc>
        <w:tc>
          <w:tcPr>
            <w:tcW w:w="4819" w:type="dxa"/>
            <w:tcBorders>
              <w:top w:val="nil"/>
              <w:left w:val="nil"/>
              <w:bottom w:val="nil"/>
              <w:right w:val="nil"/>
            </w:tcBorders>
            <w:tcMar>
              <w:top w:w="128" w:type="dxa"/>
              <w:left w:w="43" w:type="dxa"/>
              <w:bottom w:w="43" w:type="dxa"/>
              <w:right w:w="43" w:type="dxa"/>
            </w:tcMar>
            <w:vAlign w:val="bottom"/>
          </w:tcPr>
          <w:p w14:paraId="1F342137" w14:textId="77777777" w:rsidR="000A2A2B" w:rsidRPr="007C3060" w:rsidRDefault="000A2A2B" w:rsidP="007C3060">
            <w:r w:rsidRPr="007C3060">
              <w:t>Tilskudd til kommuner, forhøyes med</w:t>
            </w:r>
          </w:p>
        </w:tc>
        <w:tc>
          <w:tcPr>
            <w:tcW w:w="1717" w:type="dxa"/>
            <w:tcBorders>
              <w:top w:val="nil"/>
              <w:left w:val="nil"/>
              <w:bottom w:val="nil"/>
              <w:right w:val="nil"/>
            </w:tcBorders>
            <w:tcMar>
              <w:top w:w="128" w:type="dxa"/>
              <w:left w:w="43" w:type="dxa"/>
              <w:bottom w:w="43" w:type="dxa"/>
              <w:right w:w="43" w:type="dxa"/>
            </w:tcMar>
            <w:vAlign w:val="bottom"/>
          </w:tcPr>
          <w:p w14:paraId="2DEAF1C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9494A7D" w14:textId="77777777" w:rsidR="000A2A2B" w:rsidRPr="007C3060" w:rsidRDefault="000A2A2B" w:rsidP="007C3060">
            <w:r w:rsidRPr="007C3060">
              <w:t>1 500 000</w:t>
            </w:r>
          </w:p>
        </w:tc>
      </w:tr>
      <w:tr w:rsidR="004B729E" w:rsidRPr="007C3060" w14:paraId="49A1F31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D9C14C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7D7137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1122335" w14:textId="77777777" w:rsidR="000A2A2B" w:rsidRPr="007C3060" w:rsidRDefault="000A2A2B" w:rsidP="007C3060">
            <w:r w:rsidRPr="007C3060">
              <w:t>fra kr 5 600 000 til kr 7 100 000</w:t>
            </w:r>
          </w:p>
        </w:tc>
        <w:tc>
          <w:tcPr>
            <w:tcW w:w="1717" w:type="dxa"/>
            <w:tcBorders>
              <w:top w:val="nil"/>
              <w:left w:val="nil"/>
              <w:bottom w:val="nil"/>
              <w:right w:val="nil"/>
            </w:tcBorders>
            <w:tcMar>
              <w:top w:w="128" w:type="dxa"/>
              <w:left w:w="43" w:type="dxa"/>
              <w:bottom w:w="43" w:type="dxa"/>
              <w:right w:w="43" w:type="dxa"/>
            </w:tcMar>
            <w:vAlign w:val="bottom"/>
          </w:tcPr>
          <w:p w14:paraId="4FDD687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BFD909E" w14:textId="77777777" w:rsidR="000A2A2B" w:rsidRPr="007C3060" w:rsidRDefault="000A2A2B" w:rsidP="007C3060"/>
        </w:tc>
      </w:tr>
      <w:tr w:rsidR="004B729E" w:rsidRPr="007C3060" w14:paraId="6CC1199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4F860CC" w14:textId="77777777" w:rsidR="000A2A2B" w:rsidRPr="007C3060" w:rsidRDefault="000A2A2B" w:rsidP="007C3060">
            <w:r w:rsidRPr="007C3060">
              <w:t>908</w:t>
            </w:r>
          </w:p>
        </w:tc>
        <w:tc>
          <w:tcPr>
            <w:tcW w:w="992" w:type="dxa"/>
            <w:tcBorders>
              <w:top w:val="nil"/>
              <w:left w:val="nil"/>
              <w:bottom w:val="nil"/>
              <w:right w:val="nil"/>
            </w:tcBorders>
            <w:tcMar>
              <w:top w:w="128" w:type="dxa"/>
              <w:left w:w="43" w:type="dxa"/>
              <w:bottom w:w="43" w:type="dxa"/>
              <w:right w:w="123" w:type="dxa"/>
            </w:tcMar>
          </w:tcPr>
          <w:p w14:paraId="27A653F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2F00D1D" w14:textId="77777777" w:rsidR="000A2A2B" w:rsidRPr="007C3060" w:rsidRDefault="000A2A2B" w:rsidP="007C3060">
            <w:r w:rsidRPr="007C3060">
              <w:t>Institutt for energiteknikk:</w:t>
            </w:r>
          </w:p>
        </w:tc>
        <w:tc>
          <w:tcPr>
            <w:tcW w:w="1717" w:type="dxa"/>
            <w:tcBorders>
              <w:top w:val="nil"/>
              <w:left w:val="nil"/>
              <w:bottom w:val="nil"/>
              <w:right w:val="nil"/>
            </w:tcBorders>
            <w:tcMar>
              <w:top w:w="128" w:type="dxa"/>
              <w:left w:w="43" w:type="dxa"/>
              <w:bottom w:w="43" w:type="dxa"/>
              <w:right w:w="43" w:type="dxa"/>
            </w:tcMar>
            <w:vAlign w:val="bottom"/>
          </w:tcPr>
          <w:p w14:paraId="3E33D7F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5F1150A" w14:textId="77777777" w:rsidR="000A2A2B" w:rsidRPr="007C3060" w:rsidRDefault="000A2A2B" w:rsidP="007C3060"/>
        </w:tc>
      </w:tr>
      <w:tr w:rsidR="004B729E" w:rsidRPr="007C3060" w14:paraId="304F2588"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6FEAFF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3B13394"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30148BFC" w14:textId="0D8FFAE7" w:rsidR="000A2A2B" w:rsidRPr="007C3060" w:rsidRDefault="000A2A2B" w:rsidP="007C3060">
            <w:r w:rsidRPr="007C3060">
              <w:t xml:space="preserve">Tilskudd til drift av atomanlegg, </w:t>
            </w:r>
            <w:r w:rsidRPr="007C3060">
              <w:rPr>
                <w:rStyle w:val="kursiv"/>
              </w:rPr>
              <w:t xml:space="preserve">kan nyttes under kap. 907, post 1,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1F4B068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C457967" w14:textId="77777777" w:rsidR="000A2A2B" w:rsidRPr="007C3060" w:rsidRDefault="000A2A2B" w:rsidP="007C3060">
            <w:r w:rsidRPr="007C3060">
              <w:t>157 900 000</w:t>
            </w:r>
          </w:p>
        </w:tc>
      </w:tr>
      <w:tr w:rsidR="004B729E" w:rsidRPr="007C3060" w14:paraId="0DB009B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75FA65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B7CA8C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8639FFA" w14:textId="77777777" w:rsidR="000A2A2B" w:rsidRPr="007C3060" w:rsidRDefault="000A2A2B" w:rsidP="007C3060">
            <w:r w:rsidRPr="007C3060">
              <w:t>fra kr 466 180 000 til kr 308 280 000</w:t>
            </w:r>
          </w:p>
        </w:tc>
        <w:tc>
          <w:tcPr>
            <w:tcW w:w="1717" w:type="dxa"/>
            <w:tcBorders>
              <w:top w:val="nil"/>
              <w:left w:val="nil"/>
              <w:bottom w:val="nil"/>
              <w:right w:val="nil"/>
            </w:tcBorders>
            <w:tcMar>
              <w:top w:w="128" w:type="dxa"/>
              <w:left w:w="43" w:type="dxa"/>
              <w:bottom w:w="43" w:type="dxa"/>
              <w:right w:w="43" w:type="dxa"/>
            </w:tcMar>
            <w:vAlign w:val="bottom"/>
          </w:tcPr>
          <w:p w14:paraId="00FD10D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77AD0FC" w14:textId="77777777" w:rsidR="000A2A2B" w:rsidRPr="007C3060" w:rsidRDefault="000A2A2B" w:rsidP="007C3060"/>
        </w:tc>
      </w:tr>
      <w:tr w:rsidR="004B729E" w:rsidRPr="007C3060" w14:paraId="6FB8E3A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571C9B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9539ECC"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47FFD445" w14:textId="77777777" w:rsidR="000A2A2B" w:rsidRPr="007C3060" w:rsidRDefault="000A2A2B" w:rsidP="007C3060">
            <w:r w:rsidRPr="007C3060">
              <w:t>Tilskudd til sikring av atomanlegg, forhøyes med</w:t>
            </w:r>
          </w:p>
        </w:tc>
        <w:tc>
          <w:tcPr>
            <w:tcW w:w="1717" w:type="dxa"/>
            <w:tcBorders>
              <w:top w:val="nil"/>
              <w:left w:val="nil"/>
              <w:bottom w:val="nil"/>
              <w:right w:val="nil"/>
            </w:tcBorders>
            <w:tcMar>
              <w:top w:w="128" w:type="dxa"/>
              <w:left w:w="43" w:type="dxa"/>
              <w:bottom w:w="43" w:type="dxa"/>
              <w:right w:w="43" w:type="dxa"/>
            </w:tcMar>
            <w:vAlign w:val="bottom"/>
          </w:tcPr>
          <w:p w14:paraId="3C7F44F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9849E46" w14:textId="77777777" w:rsidR="000A2A2B" w:rsidRPr="007C3060" w:rsidRDefault="000A2A2B" w:rsidP="007C3060">
            <w:r w:rsidRPr="007C3060">
              <w:t>39 400 000</w:t>
            </w:r>
          </w:p>
        </w:tc>
      </w:tr>
      <w:tr w:rsidR="004B729E" w:rsidRPr="007C3060" w14:paraId="7805FD5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3018F9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DEEC10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B6F8787" w14:textId="77777777" w:rsidR="000A2A2B" w:rsidRPr="007C3060" w:rsidRDefault="000A2A2B" w:rsidP="007C3060">
            <w:r w:rsidRPr="007C3060">
              <w:t>fra kr 51 131 000 til kr 90 531 000</w:t>
            </w:r>
          </w:p>
        </w:tc>
        <w:tc>
          <w:tcPr>
            <w:tcW w:w="1717" w:type="dxa"/>
            <w:tcBorders>
              <w:top w:val="nil"/>
              <w:left w:val="nil"/>
              <w:bottom w:val="nil"/>
              <w:right w:val="nil"/>
            </w:tcBorders>
            <w:tcMar>
              <w:top w:w="128" w:type="dxa"/>
              <w:left w:w="43" w:type="dxa"/>
              <w:bottom w:w="43" w:type="dxa"/>
              <w:right w:w="43" w:type="dxa"/>
            </w:tcMar>
            <w:vAlign w:val="bottom"/>
          </w:tcPr>
          <w:p w14:paraId="20AF0E0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6BAD18D" w14:textId="77777777" w:rsidR="000A2A2B" w:rsidRPr="007C3060" w:rsidRDefault="000A2A2B" w:rsidP="007C3060"/>
        </w:tc>
      </w:tr>
      <w:tr w:rsidR="004B729E" w:rsidRPr="007C3060" w14:paraId="5B4FF7F3"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8D4DAD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8DBEA55"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67B98742" w14:textId="67992B8F" w:rsidR="000A2A2B" w:rsidRPr="007C3060" w:rsidRDefault="000A2A2B" w:rsidP="007C3060">
            <w:r w:rsidRPr="007C3060">
              <w:t>Lån til flytting av laboratorier og infrastruktur, nedsettes med</w:t>
            </w:r>
          </w:p>
        </w:tc>
        <w:tc>
          <w:tcPr>
            <w:tcW w:w="1717" w:type="dxa"/>
            <w:tcBorders>
              <w:top w:val="nil"/>
              <w:left w:val="nil"/>
              <w:bottom w:val="nil"/>
              <w:right w:val="nil"/>
            </w:tcBorders>
            <w:tcMar>
              <w:top w:w="128" w:type="dxa"/>
              <w:left w:w="43" w:type="dxa"/>
              <w:bottom w:w="43" w:type="dxa"/>
              <w:right w:w="43" w:type="dxa"/>
            </w:tcMar>
            <w:vAlign w:val="bottom"/>
          </w:tcPr>
          <w:p w14:paraId="5386DAA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77EECD1" w14:textId="77777777" w:rsidR="000A2A2B" w:rsidRPr="007C3060" w:rsidRDefault="000A2A2B" w:rsidP="007C3060">
            <w:r w:rsidRPr="007C3060">
              <w:t>30 000 000</w:t>
            </w:r>
          </w:p>
        </w:tc>
      </w:tr>
      <w:tr w:rsidR="004B729E" w:rsidRPr="007C3060" w14:paraId="3DAC4EA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5E8000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055720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903F81D" w14:textId="77777777" w:rsidR="000A2A2B" w:rsidRPr="007C3060" w:rsidRDefault="000A2A2B" w:rsidP="007C3060">
            <w:r w:rsidRPr="007C3060">
              <w:t>fra kr 65 000 000 til kr 35 000 000</w:t>
            </w:r>
          </w:p>
        </w:tc>
        <w:tc>
          <w:tcPr>
            <w:tcW w:w="1717" w:type="dxa"/>
            <w:tcBorders>
              <w:top w:val="nil"/>
              <w:left w:val="nil"/>
              <w:bottom w:val="nil"/>
              <w:right w:val="nil"/>
            </w:tcBorders>
            <w:tcMar>
              <w:top w:w="128" w:type="dxa"/>
              <w:left w:w="43" w:type="dxa"/>
              <w:bottom w:w="43" w:type="dxa"/>
              <w:right w:w="43" w:type="dxa"/>
            </w:tcMar>
            <w:vAlign w:val="bottom"/>
          </w:tcPr>
          <w:p w14:paraId="2852699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CAAC09D" w14:textId="77777777" w:rsidR="000A2A2B" w:rsidRPr="007C3060" w:rsidRDefault="000A2A2B" w:rsidP="007C3060"/>
        </w:tc>
      </w:tr>
      <w:tr w:rsidR="004B729E" w:rsidRPr="007C3060" w14:paraId="6251CC3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652542E" w14:textId="77777777" w:rsidR="000A2A2B" w:rsidRPr="007C3060" w:rsidRDefault="000A2A2B" w:rsidP="007C3060">
            <w:r w:rsidRPr="007C3060">
              <w:t>910</w:t>
            </w:r>
          </w:p>
        </w:tc>
        <w:tc>
          <w:tcPr>
            <w:tcW w:w="992" w:type="dxa"/>
            <w:tcBorders>
              <w:top w:val="nil"/>
              <w:left w:val="nil"/>
              <w:bottom w:val="nil"/>
              <w:right w:val="nil"/>
            </w:tcBorders>
            <w:tcMar>
              <w:top w:w="128" w:type="dxa"/>
              <w:left w:w="43" w:type="dxa"/>
              <w:bottom w:w="43" w:type="dxa"/>
              <w:right w:w="123" w:type="dxa"/>
            </w:tcMar>
          </w:tcPr>
          <w:p w14:paraId="6F7437A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8891FA5" w14:textId="77777777" w:rsidR="000A2A2B" w:rsidRPr="007C3060" w:rsidRDefault="000A2A2B" w:rsidP="007C3060">
            <w:r w:rsidRPr="007C3060">
              <w:t>Sjøfartsdirektoratet:</w:t>
            </w:r>
          </w:p>
        </w:tc>
        <w:tc>
          <w:tcPr>
            <w:tcW w:w="1717" w:type="dxa"/>
            <w:tcBorders>
              <w:top w:val="nil"/>
              <w:left w:val="nil"/>
              <w:bottom w:val="nil"/>
              <w:right w:val="nil"/>
            </w:tcBorders>
            <w:tcMar>
              <w:top w:w="128" w:type="dxa"/>
              <w:left w:w="43" w:type="dxa"/>
              <w:bottom w:w="43" w:type="dxa"/>
              <w:right w:w="43" w:type="dxa"/>
            </w:tcMar>
            <w:vAlign w:val="bottom"/>
          </w:tcPr>
          <w:p w14:paraId="1F8FEC8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F7122D2" w14:textId="77777777" w:rsidR="000A2A2B" w:rsidRPr="007C3060" w:rsidRDefault="000A2A2B" w:rsidP="007C3060"/>
        </w:tc>
      </w:tr>
      <w:tr w:rsidR="004B729E" w:rsidRPr="007C3060" w14:paraId="70828CA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713886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363F8DC"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6D4EE111"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061D3E8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AF412D0" w14:textId="77777777" w:rsidR="000A2A2B" w:rsidRPr="007C3060" w:rsidRDefault="000A2A2B" w:rsidP="007C3060">
            <w:r w:rsidRPr="007C3060">
              <w:t>12 100 000</w:t>
            </w:r>
          </w:p>
        </w:tc>
      </w:tr>
      <w:tr w:rsidR="004B729E" w:rsidRPr="007C3060" w14:paraId="0E3ACAF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B59D8E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0E1E1D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4A2C8FC" w14:textId="77777777" w:rsidR="000A2A2B" w:rsidRPr="007C3060" w:rsidRDefault="000A2A2B" w:rsidP="007C3060">
            <w:r w:rsidRPr="007C3060">
              <w:t>fra kr 503 640 000 til kr 515 740 000</w:t>
            </w:r>
          </w:p>
        </w:tc>
        <w:tc>
          <w:tcPr>
            <w:tcW w:w="1717" w:type="dxa"/>
            <w:tcBorders>
              <w:top w:val="nil"/>
              <w:left w:val="nil"/>
              <w:bottom w:val="nil"/>
              <w:right w:val="nil"/>
            </w:tcBorders>
            <w:tcMar>
              <w:top w:w="128" w:type="dxa"/>
              <w:left w:w="43" w:type="dxa"/>
              <w:bottom w:w="43" w:type="dxa"/>
              <w:right w:w="43" w:type="dxa"/>
            </w:tcMar>
            <w:vAlign w:val="bottom"/>
          </w:tcPr>
          <w:p w14:paraId="44051C0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3110007" w14:textId="77777777" w:rsidR="000A2A2B" w:rsidRPr="007C3060" w:rsidRDefault="000A2A2B" w:rsidP="007C3060"/>
        </w:tc>
      </w:tr>
      <w:tr w:rsidR="004B729E" w:rsidRPr="007C3060" w14:paraId="5B3C5D6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088FE9C" w14:textId="77777777" w:rsidR="000A2A2B" w:rsidRPr="007C3060" w:rsidRDefault="000A2A2B" w:rsidP="007C3060">
            <w:r w:rsidRPr="007C3060">
              <w:t>912</w:t>
            </w:r>
          </w:p>
        </w:tc>
        <w:tc>
          <w:tcPr>
            <w:tcW w:w="992" w:type="dxa"/>
            <w:tcBorders>
              <w:top w:val="nil"/>
              <w:left w:val="nil"/>
              <w:bottom w:val="nil"/>
              <w:right w:val="nil"/>
            </w:tcBorders>
            <w:tcMar>
              <w:top w:w="128" w:type="dxa"/>
              <w:left w:w="43" w:type="dxa"/>
              <w:bottom w:w="43" w:type="dxa"/>
              <w:right w:w="123" w:type="dxa"/>
            </w:tcMar>
          </w:tcPr>
          <w:p w14:paraId="229C65D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4FBA14D" w14:textId="77777777" w:rsidR="000A2A2B" w:rsidRPr="007C3060" w:rsidRDefault="000A2A2B" w:rsidP="007C3060">
            <w:r w:rsidRPr="007C3060">
              <w:t>Klagenemndssekretariatet:</w:t>
            </w:r>
          </w:p>
        </w:tc>
        <w:tc>
          <w:tcPr>
            <w:tcW w:w="1717" w:type="dxa"/>
            <w:tcBorders>
              <w:top w:val="nil"/>
              <w:left w:val="nil"/>
              <w:bottom w:val="nil"/>
              <w:right w:val="nil"/>
            </w:tcBorders>
            <w:tcMar>
              <w:top w:w="128" w:type="dxa"/>
              <w:left w:w="43" w:type="dxa"/>
              <w:bottom w:w="43" w:type="dxa"/>
              <w:right w:w="43" w:type="dxa"/>
            </w:tcMar>
            <w:vAlign w:val="bottom"/>
          </w:tcPr>
          <w:p w14:paraId="2467F52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34CA29" w14:textId="77777777" w:rsidR="000A2A2B" w:rsidRPr="007C3060" w:rsidRDefault="000A2A2B" w:rsidP="007C3060"/>
        </w:tc>
      </w:tr>
      <w:tr w:rsidR="004B729E" w:rsidRPr="007C3060" w14:paraId="0D6C33D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5D963A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FD1194B"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43C4365A"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5965E7F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580132B" w14:textId="77777777" w:rsidR="000A2A2B" w:rsidRPr="007C3060" w:rsidRDefault="000A2A2B" w:rsidP="007C3060">
            <w:r w:rsidRPr="007C3060">
              <w:t>2 250 000</w:t>
            </w:r>
          </w:p>
        </w:tc>
      </w:tr>
      <w:tr w:rsidR="004B729E" w:rsidRPr="007C3060" w14:paraId="27B70C3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B0C683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606BB8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B560B8D" w14:textId="77777777" w:rsidR="000A2A2B" w:rsidRPr="007C3060" w:rsidRDefault="000A2A2B" w:rsidP="007C3060">
            <w:r w:rsidRPr="007C3060">
              <w:t>fra kr 39 150 000 til kr 41 400 000</w:t>
            </w:r>
          </w:p>
        </w:tc>
        <w:tc>
          <w:tcPr>
            <w:tcW w:w="1717" w:type="dxa"/>
            <w:tcBorders>
              <w:top w:val="nil"/>
              <w:left w:val="nil"/>
              <w:bottom w:val="nil"/>
              <w:right w:val="nil"/>
            </w:tcBorders>
            <w:tcMar>
              <w:top w:w="128" w:type="dxa"/>
              <w:left w:w="43" w:type="dxa"/>
              <w:bottom w:w="43" w:type="dxa"/>
              <w:right w:w="43" w:type="dxa"/>
            </w:tcMar>
            <w:vAlign w:val="bottom"/>
          </w:tcPr>
          <w:p w14:paraId="2F061FD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8FFC862" w14:textId="77777777" w:rsidR="000A2A2B" w:rsidRPr="007C3060" w:rsidRDefault="000A2A2B" w:rsidP="007C3060"/>
        </w:tc>
      </w:tr>
      <w:tr w:rsidR="004B729E" w:rsidRPr="007C3060" w14:paraId="2D4E9F8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45BEE00" w14:textId="77777777" w:rsidR="000A2A2B" w:rsidRPr="007C3060" w:rsidRDefault="000A2A2B" w:rsidP="007C3060">
            <w:r w:rsidRPr="007C3060">
              <w:t>916</w:t>
            </w:r>
          </w:p>
        </w:tc>
        <w:tc>
          <w:tcPr>
            <w:tcW w:w="992" w:type="dxa"/>
            <w:tcBorders>
              <w:top w:val="nil"/>
              <w:left w:val="nil"/>
              <w:bottom w:val="nil"/>
              <w:right w:val="nil"/>
            </w:tcBorders>
            <w:tcMar>
              <w:top w:w="128" w:type="dxa"/>
              <w:left w:w="43" w:type="dxa"/>
              <w:bottom w:w="43" w:type="dxa"/>
              <w:right w:w="123" w:type="dxa"/>
            </w:tcMar>
          </w:tcPr>
          <w:p w14:paraId="45C637F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05CC608" w14:textId="77777777" w:rsidR="000A2A2B" w:rsidRPr="007C3060" w:rsidRDefault="000A2A2B" w:rsidP="007C3060">
            <w:r w:rsidRPr="007C3060">
              <w:t>Kystverket:</w:t>
            </w:r>
          </w:p>
        </w:tc>
        <w:tc>
          <w:tcPr>
            <w:tcW w:w="1717" w:type="dxa"/>
            <w:tcBorders>
              <w:top w:val="nil"/>
              <w:left w:val="nil"/>
              <w:bottom w:val="nil"/>
              <w:right w:val="nil"/>
            </w:tcBorders>
            <w:tcMar>
              <w:top w:w="128" w:type="dxa"/>
              <w:left w:w="43" w:type="dxa"/>
              <w:bottom w:w="43" w:type="dxa"/>
              <w:right w:w="43" w:type="dxa"/>
            </w:tcMar>
            <w:vAlign w:val="bottom"/>
          </w:tcPr>
          <w:p w14:paraId="6226048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789D21D" w14:textId="77777777" w:rsidR="000A2A2B" w:rsidRPr="007C3060" w:rsidRDefault="000A2A2B" w:rsidP="007C3060"/>
        </w:tc>
      </w:tr>
      <w:tr w:rsidR="004B729E" w:rsidRPr="007C3060" w14:paraId="786F360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C4A63E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CE712F9"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17CF9893" w14:textId="77777777" w:rsidR="000A2A2B" w:rsidRPr="007C3060" w:rsidRDefault="000A2A2B" w:rsidP="007C3060">
            <w:r w:rsidRPr="007C3060">
              <w:t xml:space="preserve">Driftsutgifter, </w:t>
            </w:r>
            <w:r w:rsidRPr="007C3060">
              <w:rPr>
                <w:rStyle w:val="kursiv"/>
              </w:rPr>
              <w:t>kan nyttes under post 45,</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121D092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EF42CFF" w14:textId="77777777" w:rsidR="000A2A2B" w:rsidRPr="007C3060" w:rsidRDefault="000A2A2B" w:rsidP="007C3060">
            <w:r w:rsidRPr="007C3060">
              <w:t>99 100 000</w:t>
            </w:r>
          </w:p>
        </w:tc>
      </w:tr>
      <w:tr w:rsidR="004B729E" w:rsidRPr="007C3060" w14:paraId="499D32F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D79CE5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4EEBBC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5A75E2B" w14:textId="77777777" w:rsidR="000A2A2B" w:rsidRPr="007C3060" w:rsidRDefault="000A2A2B" w:rsidP="007C3060">
            <w:r w:rsidRPr="007C3060">
              <w:t>fra kr 1 295 560 000 til kr 1 394 660 000</w:t>
            </w:r>
          </w:p>
        </w:tc>
        <w:tc>
          <w:tcPr>
            <w:tcW w:w="1717" w:type="dxa"/>
            <w:tcBorders>
              <w:top w:val="nil"/>
              <w:left w:val="nil"/>
              <w:bottom w:val="nil"/>
              <w:right w:val="nil"/>
            </w:tcBorders>
            <w:tcMar>
              <w:top w:w="128" w:type="dxa"/>
              <w:left w:w="43" w:type="dxa"/>
              <w:bottom w:w="43" w:type="dxa"/>
              <w:right w:w="43" w:type="dxa"/>
            </w:tcMar>
            <w:vAlign w:val="bottom"/>
          </w:tcPr>
          <w:p w14:paraId="30D4886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481260A" w14:textId="77777777" w:rsidR="000A2A2B" w:rsidRPr="007C3060" w:rsidRDefault="000A2A2B" w:rsidP="007C3060"/>
        </w:tc>
      </w:tr>
      <w:tr w:rsidR="004B729E" w:rsidRPr="007C3060" w14:paraId="09820AC6"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EB7EAD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0B92926"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3A6C77FD" w14:textId="7A28FD43" w:rsidR="000A2A2B" w:rsidRPr="007C3060" w:rsidRDefault="000A2A2B" w:rsidP="007C3060">
            <w:r w:rsidRPr="007C3060">
              <w:t xml:space="preserve">Driftsutgifter brukerfinansierte tjenester, </w:t>
            </w:r>
            <w:r w:rsidRPr="007C3060">
              <w:rPr>
                <w:rStyle w:val="kursiv"/>
              </w:rPr>
              <w:t>kan overføres,</w:t>
            </w:r>
            <w:r w:rsidRPr="007C3060">
              <w:t xml:space="preserve"> kan nyttes </w:t>
            </w:r>
            <w:r w:rsidRPr="007C3060">
              <w:rPr>
                <w:rStyle w:val="kursiv"/>
              </w:rPr>
              <w:t xml:space="preserve">under post 46, </w:t>
            </w:r>
            <w:r w:rsidRPr="007C3060">
              <w:t xml:space="preserve">forhøyes med </w:t>
            </w:r>
          </w:p>
        </w:tc>
        <w:tc>
          <w:tcPr>
            <w:tcW w:w="1717" w:type="dxa"/>
            <w:tcBorders>
              <w:top w:val="nil"/>
              <w:left w:val="nil"/>
              <w:bottom w:val="nil"/>
              <w:right w:val="nil"/>
            </w:tcBorders>
            <w:tcMar>
              <w:top w:w="128" w:type="dxa"/>
              <w:left w:w="43" w:type="dxa"/>
              <w:bottom w:w="43" w:type="dxa"/>
              <w:right w:w="43" w:type="dxa"/>
            </w:tcMar>
            <w:vAlign w:val="bottom"/>
          </w:tcPr>
          <w:p w14:paraId="6E43EEF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F3258B6" w14:textId="77777777" w:rsidR="000A2A2B" w:rsidRPr="007C3060" w:rsidRDefault="000A2A2B" w:rsidP="007C3060">
            <w:r w:rsidRPr="007C3060">
              <w:t>156 800 000</w:t>
            </w:r>
          </w:p>
        </w:tc>
      </w:tr>
      <w:tr w:rsidR="004B729E" w:rsidRPr="007C3060" w14:paraId="5D0353F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CE3FA7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10B707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EE6F7B3" w14:textId="77777777" w:rsidR="000A2A2B" w:rsidRPr="007C3060" w:rsidRDefault="000A2A2B" w:rsidP="007C3060">
            <w:r w:rsidRPr="007C3060">
              <w:t>fra kr 1 090 350 000 til kr 1 247 150 000</w:t>
            </w:r>
          </w:p>
        </w:tc>
        <w:tc>
          <w:tcPr>
            <w:tcW w:w="1717" w:type="dxa"/>
            <w:tcBorders>
              <w:top w:val="nil"/>
              <w:left w:val="nil"/>
              <w:bottom w:val="nil"/>
              <w:right w:val="nil"/>
            </w:tcBorders>
            <w:tcMar>
              <w:top w:w="128" w:type="dxa"/>
              <w:left w:w="43" w:type="dxa"/>
              <w:bottom w:w="43" w:type="dxa"/>
              <w:right w:w="43" w:type="dxa"/>
            </w:tcMar>
            <w:vAlign w:val="bottom"/>
          </w:tcPr>
          <w:p w14:paraId="1DB95FC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B9C0F49" w14:textId="77777777" w:rsidR="000A2A2B" w:rsidRPr="007C3060" w:rsidRDefault="000A2A2B" w:rsidP="007C3060"/>
        </w:tc>
      </w:tr>
      <w:tr w:rsidR="004B729E" w:rsidRPr="007C3060" w14:paraId="7CF221A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3B9DD1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C6470F5" w14:textId="77777777" w:rsidR="000A2A2B" w:rsidRPr="007C3060" w:rsidRDefault="000A2A2B" w:rsidP="007C3060">
            <w:r w:rsidRPr="007C3060">
              <w:t>46</w:t>
            </w:r>
          </w:p>
        </w:tc>
        <w:tc>
          <w:tcPr>
            <w:tcW w:w="4819" w:type="dxa"/>
            <w:tcBorders>
              <w:top w:val="nil"/>
              <w:left w:val="nil"/>
              <w:bottom w:val="nil"/>
              <w:right w:val="nil"/>
            </w:tcBorders>
            <w:tcMar>
              <w:top w:w="128" w:type="dxa"/>
              <w:left w:w="43" w:type="dxa"/>
              <w:bottom w:w="43" w:type="dxa"/>
              <w:right w:w="43" w:type="dxa"/>
            </w:tcMar>
            <w:vAlign w:val="bottom"/>
          </w:tcPr>
          <w:p w14:paraId="644E5585" w14:textId="1188FE43" w:rsidR="000A2A2B" w:rsidRPr="007C3060" w:rsidRDefault="000A2A2B" w:rsidP="007C3060">
            <w:r w:rsidRPr="007C3060">
              <w:t xml:space="preserve">Større utstyrsanskaffelser og brukerfinansierte tjenester, </w:t>
            </w:r>
            <w:r w:rsidRPr="007C3060">
              <w:rPr>
                <w:rStyle w:val="kursiv"/>
              </w:rPr>
              <w:t xml:space="preserve">kan overføres, kan nyttes under post 22,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2C33CC8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A39F829" w14:textId="77777777" w:rsidR="000A2A2B" w:rsidRPr="007C3060" w:rsidRDefault="000A2A2B" w:rsidP="007C3060">
            <w:r w:rsidRPr="007C3060">
              <w:t>12 600 000</w:t>
            </w:r>
          </w:p>
        </w:tc>
      </w:tr>
      <w:tr w:rsidR="004B729E" w:rsidRPr="007C3060" w14:paraId="66BDE75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002A91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11D968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7244AF3" w14:textId="77777777" w:rsidR="000A2A2B" w:rsidRPr="007C3060" w:rsidRDefault="000A2A2B" w:rsidP="007C3060">
            <w:r w:rsidRPr="007C3060">
              <w:t>fra kr 22 289 000 til kr 9 689 000</w:t>
            </w:r>
          </w:p>
        </w:tc>
        <w:tc>
          <w:tcPr>
            <w:tcW w:w="1717" w:type="dxa"/>
            <w:tcBorders>
              <w:top w:val="nil"/>
              <w:left w:val="nil"/>
              <w:bottom w:val="nil"/>
              <w:right w:val="nil"/>
            </w:tcBorders>
            <w:tcMar>
              <w:top w:w="128" w:type="dxa"/>
              <w:left w:w="43" w:type="dxa"/>
              <w:bottom w:w="43" w:type="dxa"/>
              <w:right w:w="43" w:type="dxa"/>
            </w:tcMar>
            <w:vAlign w:val="bottom"/>
          </w:tcPr>
          <w:p w14:paraId="265C35E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A8DA348" w14:textId="77777777" w:rsidR="000A2A2B" w:rsidRPr="007C3060" w:rsidRDefault="000A2A2B" w:rsidP="007C3060"/>
        </w:tc>
      </w:tr>
      <w:tr w:rsidR="004B729E" w:rsidRPr="007C3060" w14:paraId="452774B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E6184F9" w14:textId="77777777" w:rsidR="000A2A2B" w:rsidRPr="007C3060" w:rsidRDefault="000A2A2B" w:rsidP="007C3060">
            <w:r w:rsidRPr="007C3060">
              <w:t>917</w:t>
            </w:r>
          </w:p>
        </w:tc>
        <w:tc>
          <w:tcPr>
            <w:tcW w:w="992" w:type="dxa"/>
            <w:tcBorders>
              <w:top w:val="nil"/>
              <w:left w:val="nil"/>
              <w:bottom w:val="nil"/>
              <w:right w:val="nil"/>
            </w:tcBorders>
            <w:tcMar>
              <w:top w:w="128" w:type="dxa"/>
              <w:left w:w="43" w:type="dxa"/>
              <w:bottom w:w="43" w:type="dxa"/>
              <w:right w:w="123" w:type="dxa"/>
            </w:tcMar>
          </w:tcPr>
          <w:p w14:paraId="1E37020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F566C0A" w14:textId="77777777" w:rsidR="000A2A2B" w:rsidRPr="007C3060" w:rsidRDefault="000A2A2B" w:rsidP="007C3060">
            <w:r w:rsidRPr="007C3060">
              <w:t>Fiskeridirektoratet:</w:t>
            </w:r>
          </w:p>
        </w:tc>
        <w:tc>
          <w:tcPr>
            <w:tcW w:w="1717" w:type="dxa"/>
            <w:tcBorders>
              <w:top w:val="nil"/>
              <w:left w:val="nil"/>
              <w:bottom w:val="nil"/>
              <w:right w:val="nil"/>
            </w:tcBorders>
            <w:tcMar>
              <w:top w:w="128" w:type="dxa"/>
              <w:left w:w="43" w:type="dxa"/>
              <w:bottom w:w="43" w:type="dxa"/>
              <w:right w:w="43" w:type="dxa"/>
            </w:tcMar>
            <w:vAlign w:val="bottom"/>
          </w:tcPr>
          <w:p w14:paraId="717B81C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A2E16A5" w14:textId="77777777" w:rsidR="000A2A2B" w:rsidRPr="007C3060" w:rsidRDefault="000A2A2B" w:rsidP="007C3060"/>
        </w:tc>
      </w:tr>
      <w:tr w:rsidR="004B729E" w:rsidRPr="007C3060" w14:paraId="249788D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5B5298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2062D53"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2205C5D6"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52835FC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4FF6377" w14:textId="77777777" w:rsidR="000A2A2B" w:rsidRPr="007C3060" w:rsidRDefault="000A2A2B" w:rsidP="007C3060">
            <w:r w:rsidRPr="007C3060">
              <w:t>4 000 000</w:t>
            </w:r>
          </w:p>
        </w:tc>
      </w:tr>
      <w:tr w:rsidR="004B729E" w:rsidRPr="007C3060" w14:paraId="134E23C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469C4A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8A9E9A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9755AE0" w14:textId="77777777" w:rsidR="000A2A2B" w:rsidRPr="007C3060" w:rsidRDefault="000A2A2B" w:rsidP="007C3060">
            <w:r w:rsidRPr="007C3060">
              <w:t>fra kr 518 050 000 til kr 522 050 000</w:t>
            </w:r>
          </w:p>
        </w:tc>
        <w:tc>
          <w:tcPr>
            <w:tcW w:w="1717" w:type="dxa"/>
            <w:tcBorders>
              <w:top w:val="nil"/>
              <w:left w:val="nil"/>
              <w:bottom w:val="nil"/>
              <w:right w:val="nil"/>
            </w:tcBorders>
            <w:tcMar>
              <w:top w:w="128" w:type="dxa"/>
              <w:left w:w="43" w:type="dxa"/>
              <w:bottom w:w="43" w:type="dxa"/>
              <w:right w:w="43" w:type="dxa"/>
            </w:tcMar>
            <w:vAlign w:val="bottom"/>
          </w:tcPr>
          <w:p w14:paraId="662C077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227FE28" w14:textId="77777777" w:rsidR="000A2A2B" w:rsidRPr="007C3060" w:rsidRDefault="000A2A2B" w:rsidP="007C3060"/>
        </w:tc>
      </w:tr>
      <w:tr w:rsidR="004B729E" w:rsidRPr="007C3060" w14:paraId="20523AA5"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7BEEAD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2455098"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28319A0E" w14:textId="4F8EFAD3" w:rsidR="000A2A2B" w:rsidRPr="007C3060" w:rsidRDefault="000A2A2B" w:rsidP="007C3060">
            <w:r w:rsidRPr="007C3060">
              <w:t xml:space="preserve">Fiskeriforskning og -overvåking,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11EFE5D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B50A838" w14:textId="77777777" w:rsidR="000A2A2B" w:rsidRPr="007C3060" w:rsidRDefault="000A2A2B" w:rsidP="007C3060">
            <w:r w:rsidRPr="007C3060">
              <w:t>14 900 000</w:t>
            </w:r>
          </w:p>
        </w:tc>
      </w:tr>
      <w:tr w:rsidR="004B729E" w:rsidRPr="007C3060" w14:paraId="0CD17B0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DA09EA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5F3A79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F72134B" w14:textId="77777777" w:rsidR="000A2A2B" w:rsidRPr="007C3060" w:rsidRDefault="000A2A2B" w:rsidP="007C3060">
            <w:r w:rsidRPr="007C3060">
              <w:t>fra kr 119 300 000 til kr 134 200 000</w:t>
            </w:r>
          </w:p>
        </w:tc>
        <w:tc>
          <w:tcPr>
            <w:tcW w:w="1717" w:type="dxa"/>
            <w:tcBorders>
              <w:top w:val="nil"/>
              <w:left w:val="nil"/>
              <w:bottom w:val="nil"/>
              <w:right w:val="nil"/>
            </w:tcBorders>
            <w:tcMar>
              <w:top w:w="128" w:type="dxa"/>
              <w:left w:w="43" w:type="dxa"/>
              <w:bottom w:w="43" w:type="dxa"/>
              <w:right w:w="43" w:type="dxa"/>
            </w:tcMar>
            <w:vAlign w:val="bottom"/>
          </w:tcPr>
          <w:p w14:paraId="665AF53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A7F32ED" w14:textId="77777777" w:rsidR="000A2A2B" w:rsidRPr="007C3060" w:rsidRDefault="000A2A2B" w:rsidP="007C3060"/>
        </w:tc>
      </w:tr>
      <w:tr w:rsidR="004B729E" w:rsidRPr="007C3060" w14:paraId="587B341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B6A6A1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C75531F" w14:textId="77777777" w:rsidR="000A2A2B" w:rsidRPr="007C3060" w:rsidRDefault="000A2A2B" w:rsidP="007C3060">
            <w:r w:rsidRPr="007C3060">
              <w:t>23</w:t>
            </w:r>
          </w:p>
        </w:tc>
        <w:tc>
          <w:tcPr>
            <w:tcW w:w="4819" w:type="dxa"/>
            <w:tcBorders>
              <w:top w:val="nil"/>
              <w:left w:val="nil"/>
              <w:bottom w:val="nil"/>
              <w:right w:val="nil"/>
            </w:tcBorders>
            <w:tcMar>
              <w:top w:w="128" w:type="dxa"/>
              <w:left w:w="43" w:type="dxa"/>
              <w:bottom w:w="43" w:type="dxa"/>
              <w:right w:w="43" w:type="dxa"/>
            </w:tcMar>
            <w:vAlign w:val="bottom"/>
          </w:tcPr>
          <w:p w14:paraId="5C028069" w14:textId="77777777" w:rsidR="000A2A2B" w:rsidRPr="007C3060" w:rsidRDefault="000A2A2B" w:rsidP="007C3060">
            <w:r w:rsidRPr="007C3060">
              <w:t>Prisråd for havbruk, forhøyes med</w:t>
            </w:r>
          </w:p>
        </w:tc>
        <w:tc>
          <w:tcPr>
            <w:tcW w:w="1717" w:type="dxa"/>
            <w:tcBorders>
              <w:top w:val="nil"/>
              <w:left w:val="nil"/>
              <w:bottom w:val="nil"/>
              <w:right w:val="nil"/>
            </w:tcBorders>
            <w:tcMar>
              <w:top w:w="128" w:type="dxa"/>
              <w:left w:w="43" w:type="dxa"/>
              <w:bottom w:w="43" w:type="dxa"/>
              <w:right w:w="43" w:type="dxa"/>
            </w:tcMar>
            <w:vAlign w:val="bottom"/>
          </w:tcPr>
          <w:p w14:paraId="6705262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B961A49" w14:textId="77777777" w:rsidR="000A2A2B" w:rsidRPr="007C3060" w:rsidRDefault="000A2A2B" w:rsidP="007C3060">
            <w:r w:rsidRPr="007C3060">
              <w:t>6 900 000</w:t>
            </w:r>
          </w:p>
        </w:tc>
      </w:tr>
      <w:tr w:rsidR="004B729E" w:rsidRPr="007C3060" w14:paraId="39CAFC3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98B355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C895D2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CC6D317" w14:textId="77777777" w:rsidR="000A2A2B" w:rsidRPr="007C3060" w:rsidRDefault="000A2A2B" w:rsidP="007C3060">
            <w:r w:rsidRPr="007C3060">
              <w:t>fra kr 12 400 000 til kr 19 300 000</w:t>
            </w:r>
          </w:p>
        </w:tc>
        <w:tc>
          <w:tcPr>
            <w:tcW w:w="1717" w:type="dxa"/>
            <w:tcBorders>
              <w:top w:val="nil"/>
              <w:left w:val="nil"/>
              <w:bottom w:val="nil"/>
              <w:right w:val="nil"/>
            </w:tcBorders>
            <w:tcMar>
              <w:top w:w="128" w:type="dxa"/>
              <w:left w:w="43" w:type="dxa"/>
              <w:bottom w:w="43" w:type="dxa"/>
              <w:right w:w="43" w:type="dxa"/>
            </w:tcMar>
            <w:vAlign w:val="bottom"/>
          </w:tcPr>
          <w:p w14:paraId="729D0F3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E5DA68C" w14:textId="77777777" w:rsidR="000A2A2B" w:rsidRPr="007C3060" w:rsidRDefault="000A2A2B" w:rsidP="007C3060"/>
        </w:tc>
      </w:tr>
      <w:tr w:rsidR="004B729E" w:rsidRPr="007C3060" w14:paraId="68300C5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B39812C" w14:textId="77777777" w:rsidR="000A2A2B" w:rsidRPr="007C3060" w:rsidRDefault="000A2A2B" w:rsidP="007C3060">
            <w:r w:rsidRPr="007C3060">
              <w:t>919</w:t>
            </w:r>
          </w:p>
        </w:tc>
        <w:tc>
          <w:tcPr>
            <w:tcW w:w="992" w:type="dxa"/>
            <w:tcBorders>
              <w:top w:val="nil"/>
              <w:left w:val="nil"/>
              <w:bottom w:val="nil"/>
              <w:right w:val="nil"/>
            </w:tcBorders>
            <w:tcMar>
              <w:top w:w="128" w:type="dxa"/>
              <w:left w:w="43" w:type="dxa"/>
              <w:bottom w:w="43" w:type="dxa"/>
              <w:right w:w="123" w:type="dxa"/>
            </w:tcMar>
          </w:tcPr>
          <w:p w14:paraId="281D569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890B8E1" w14:textId="77777777" w:rsidR="000A2A2B" w:rsidRPr="007C3060" w:rsidRDefault="000A2A2B" w:rsidP="007C3060">
            <w:r w:rsidRPr="007C3060">
              <w:t>Diverse fiskeriformål:</w:t>
            </w:r>
          </w:p>
        </w:tc>
        <w:tc>
          <w:tcPr>
            <w:tcW w:w="1717" w:type="dxa"/>
            <w:tcBorders>
              <w:top w:val="nil"/>
              <w:left w:val="nil"/>
              <w:bottom w:val="nil"/>
              <w:right w:val="nil"/>
            </w:tcBorders>
            <w:tcMar>
              <w:top w:w="128" w:type="dxa"/>
              <w:left w:w="43" w:type="dxa"/>
              <w:bottom w:w="43" w:type="dxa"/>
              <w:right w:w="43" w:type="dxa"/>
            </w:tcMar>
            <w:vAlign w:val="bottom"/>
          </w:tcPr>
          <w:p w14:paraId="33113C2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73E32CF" w14:textId="77777777" w:rsidR="000A2A2B" w:rsidRPr="007C3060" w:rsidRDefault="000A2A2B" w:rsidP="007C3060"/>
        </w:tc>
      </w:tr>
      <w:tr w:rsidR="004B729E" w:rsidRPr="007C3060" w14:paraId="319F110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656109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EC83AE9" w14:textId="77777777" w:rsidR="000A2A2B" w:rsidRPr="007C3060" w:rsidRDefault="000A2A2B" w:rsidP="007C3060">
            <w:r w:rsidRPr="007C3060">
              <w:t>60</w:t>
            </w:r>
          </w:p>
        </w:tc>
        <w:tc>
          <w:tcPr>
            <w:tcW w:w="4819" w:type="dxa"/>
            <w:tcBorders>
              <w:top w:val="nil"/>
              <w:left w:val="nil"/>
              <w:bottom w:val="nil"/>
              <w:right w:val="nil"/>
            </w:tcBorders>
            <w:tcMar>
              <w:top w:w="128" w:type="dxa"/>
              <w:left w:w="43" w:type="dxa"/>
              <w:bottom w:w="43" w:type="dxa"/>
              <w:right w:w="43" w:type="dxa"/>
            </w:tcMar>
            <w:vAlign w:val="bottom"/>
          </w:tcPr>
          <w:p w14:paraId="628901B7" w14:textId="77777777" w:rsidR="000A2A2B" w:rsidRPr="007C3060" w:rsidRDefault="000A2A2B" w:rsidP="007C3060">
            <w:r w:rsidRPr="007C3060">
              <w:t>Tilskudd til kommuner og fylkeskommuner, forhøyes med</w:t>
            </w:r>
          </w:p>
        </w:tc>
        <w:tc>
          <w:tcPr>
            <w:tcW w:w="1717" w:type="dxa"/>
            <w:tcBorders>
              <w:top w:val="nil"/>
              <w:left w:val="nil"/>
              <w:bottom w:val="nil"/>
              <w:right w:val="nil"/>
            </w:tcBorders>
            <w:tcMar>
              <w:top w:w="128" w:type="dxa"/>
              <w:left w:w="43" w:type="dxa"/>
              <w:bottom w:w="43" w:type="dxa"/>
              <w:right w:w="43" w:type="dxa"/>
            </w:tcMar>
            <w:vAlign w:val="bottom"/>
          </w:tcPr>
          <w:p w14:paraId="3D13BA1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8D72B26" w14:textId="77777777" w:rsidR="000A2A2B" w:rsidRPr="007C3060" w:rsidRDefault="000A2A2B" w:rsidP="007C3060">
            <w:r w:rsidRPr="007C3060">
              <w:t>171 349 000</w:t>
            </w:r>
          </w:p>
        </w:tc>
      </w:tr>
      <w:tr w:rsidR="004B729E" w:rsidRPr="007C3060" w14:paraId="0D048D8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E5CB9D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65262D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1A5D37B" w14:textId="77777777" w:rsidR="000A2A2B" w:rsidRPr="007C3060" w:rsidRDefault="000A2A2B" w:rsidP="007C3060">
            <w:r w:rsidRPr="007C3060">
              <w:t>fra kr 1 244 000 000 til kr 1 415 349 000</w:t>
            </w:r>
          </w:p>
        </w:tc>
        <w:tc>
          <w:tcPr>
            <w:tcW w:w="1717" w:type="dxa"/>
            <w:tcBorders>
              <w:top w:val="nil"/>
              <w:left w:val="nil"/>
              <w:bottom w:val="nil"/>
              <w:right w:val="nil"/>
            </w:tcBorders>
            <w:tcMar>
              <w:top w:w="128" w:type="dxa"/>
              <w:left w:w="43" w:type="dxa"/>
              <w:bottom w:w="43" w:type="dxa"/>
              <w:right w:w="43" w:type="dxa"/>
            </w:tcMar>
            <w:vAlign w:val="bottom"/>
          </w:tcPr>
          <w:p w14:paraId="71AECA3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99039C1" w14:textId="77777777" w:rsidR="000A2A2B" w:rsidRPr="007C3060" w:rsidRDefault="000A2A2B" w:rsidP="007C3060"/>
        </w:tc>
      </w:tr>
      <w:tr w:rsidR="004B729E" w:rsidRPr="007C3060" w14:paraId="60786CD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2B6943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161CF56" w14:textId="77777777" w:rsidR="000A2A2B" w:rsidRPr="007C3060" w:rsidRDefault="000A2A2B" w:rsidP="007C3060">
            <w:r w:rsidRPr="007C3060">
              <w:t>76</w:t>
            </w:r>
          </w:p>
        </w:tc>
        <w:tc>
          <w:tcPr>
            <w:tcW w:w="4819" w:type="dxa"/>
            <w:tcBorders>
              <w:top w:val="nil"/>
              <w:left w:val="nil"/>
              <w:bottom w:val="nil"/>
              <w:right w:val="nil"/>
            </w:tcBorders>
            <w:tcMar>
              <w:top w:w="128" w:type="dxa"/>
              <w:left w:w="43" w:type="dxa"/>
              <w:bottom w:w="43" w:type="dxa"/>
              <w:right w:w="43" w:type="dxa"/>
            </w:tcMar>
            <w:vAlign w:val="bottom"/>
          </w:tcPr>
          <w:p w14:paraId="105BF4A8" w14:textId="77777777" w:rsidR="000A2A2B" w:rsidRPr="007C3060" w:rsidRDefault="000A2A2B" w:rsidP="007C3060">
            <w:r w:rsidRPr="007C3060">
              <w:t xml:space="preserve">Tilskudd til fiskeriforskning,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32C5966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12841FD" w14:textId="77777777" w:rsidR="000A2A2B" w:rsidRPr="007C3060" w:rsidRDefault="000A2A2B" w:rsidP="007C3060">
            <w:r w:rsidRPr="007C3060">
              <w:t>800 000</w:t>
            </w:r>
          </w:p>
        </w:tc>
      </w:tr>
      <w:tr w:rsidR="004B729E" w:rsidRPr="007C3060" w14:paraId="11FD53F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6F3429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D4EDC0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55B9000" w14:textId="77777777" w:rsidR="000A2A2B" w:rsidRPr="007C3060" w:rsidRDefault="000A2A2B" w:rsidP="007C3060">
            <w:r w:rsidRPr="007C3060">
              <w:t>fra kr 6 800 000 til kr 7 600 000</w:t>
            </w:r>
          </w:p>
        </w:tc>
        <w:tc>
          <w:tcPr>
            <w:tcW w:w="1717" w:type="dxa"/>
            <w:tcBorders>
              <w:top w:val="nil"/>
              <w:left w:val="nil"/>
              <w:bottom w:val="nil"/>
              <w:right w:val="nil"/>
            </w:tcBorders>
            <w:tcMar>
              <w:top w:w="128" w:type="dxa"/>
              <w:left w:w="43" w:type="dxa"/>
              <w:bottom w:w="43" w:type="dxa"/>
              <w:right w:w="43" w:type="dxa"/>
            </w:tcMar>
            <w:vAlign w:val="bottom"/>
          </w:tcPr>
          <w:p w14:paraId="74AFFDD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EAA9AB2" w14:textId="77777777" w:rsidR="000A2A2B" w:rsidRPr="007C3060" w:rsidRDefault="000A2A2B" w:rsidP="007C3060"/>
        </w:tc>
      </w:tr>
      <w:tr w:rsidR="004B729E" w:rsidRPr="007C3060" w14:paraId="26F3517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E89FDA6" w14:textId="77777777" w:rsidR="000A2A2B" w:rsidRPr="007C3060" w:rsidRDefault="000A2A2B" w:rsidP="007C3060">
            <w:r w:rsidRPr="007C3060">
              <w:t>920</w:t>
            </w:r>
          </w:p>
        </w:tc>
        <w:tc>
          <w:tcPr>
            <w:tcW w:w="992" w:type="dxa"/>
            <w:tcBorders>
              <w:top w:val="nil"/>
              <w:left w:val="nil"/>
              <w:bottom w:val="nil"/>
              <w:right w:val="nil"/>
            </w:tcBorders>
            <w:tcMar>
              <w:top w:w="128" w:type="dxa"/>
              <w:left w:w="43" w:type="dxa"/>
              <w:bottom w:w="43" w:type="dxa"/>
              <w:right w:w="123" w:type="dxa"/>
            </w:tcMar>
          </w:tcPr>
          <w:p w14:paraId="4ED48C8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B1F7B2B" w14:textId="77777777" w:rsidR="000A2A2B" w:rsidRPr="007C3060" w:rsidRDefault="000A2A2B" w:rsidP="007C3060">
            <w:r w:rsidRPr="007C3060">
              <w:t>Norges forskningsråd:</w:t>
            </w:r>
          </w:p>
        </w:tc>
        <w:tc>
          <w:tcPr>
            <w:tcW w:w="1717" w:type="dxa"/>
            <w:tcBorders>
              <w:top w:val="nil"/>
              <w:left w:val="nil"/>
              <w:bottom w:val="nil"/>
              <w:right w:val="nil"/>
            </w:tcBorders>
            <w:tcMar>
              <w:top w:w="128" w:type="dxa"/>
              <w:left w:w="43" w:type="dxa"/>
              <w:bottom w:w="43" w:type="dxa"/>
              <w:right w:w="43" w:type="dxa"/>
            </w:tcMar>
            <w:vAlign w:val="bottom"/>
          </w:tcPr>
          <w:p w14:paraId="11C50AF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F41B616" w14:textId="77777777" w:rsidR="000A2A2B" w:rsidRPr="007C3060" w:rsidRDefault="000A2A2B" w:rsidP="007C3060"/>
        </w:tc>
      </w:tr>
      <w:tr w:rsidR="004B729E" w:rsidRPr="007C3060" w14:paraId="1B1B5429"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F893C8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EE35837"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62BBFBA9" w14:textId="77777777" w:rsidR="000A2A2B" w:rsidRPr="007C3060" w:rsidRDefault="000A2A2B" w:rsidP="007C3060">
            <w:r w:rsidRPr="007C3060">
              <w:t xml:space="preserve">Tilskudd til marin og maritim forskning,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60B27FB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ADBBE2B" w14:textId="77777777" w:rsidR="000A2A2B" w:rsidRPr="007C3060" w:rsidRDefault="000A2A2B" w:rsidP="007C3060">
            <w:r w:rsidRPr="007C3060">
              <w:t>1 400 000</w:t>
            </w:r>
          </w:p>
        </w:tc>
      </w:tr>
      <w:tr w:rsidR="004B729E" w:rsidRPr="007C3060" w14:paraId="6B57DEC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27868E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05C849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8574A35" w14:textId="77777777" w:rsidR="000A2A2B" w:rsidRPr="007C3060" w:rsidRDefault="000A2A2B" w:rsidP="007C3060">
            <w:r w:rsidRPr="007C3060">
              <w:t>fra kr 439 320 000 til kr 440 720 000</w:t>
            </w:r>
          </w:p>
        </w:tc>
        <w:tc>
          <w:tcPr>
            <w:tcW w:w="1717" w:type="dxa"/>
            <w:tcBorders>
              <w:top w:val="nil"/>
              <w:left w:val="nil"/>
              <w:bottom w:val="nil"/>
              <w:right w:val="nil"/>
            </w:tcBorders>
            <w:tcMar>
              <w:top w:w="128" w:type="dxa"/>
              <w:left w:w="43" w:type="dxa"/>
              <w:bottom w:w="43" w:type="dxa"/>
              <w:right w:w="43" w:type="dxa"/>
            </w:tcMar>
            <w:vAlign w:val="bottom"/>
          </w:tcPr>
          <w:p w14:paraId="27C6AA5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B80E82E" w14:textId="77777777" w:rsidR="000A2A2B" w:rsidRPr="007C3060" w:rsidRDefault="000A2A2B" w:rsidP="007C3060"/>
        </w:tc>
      </w:tr>
      <w:tr w:rsidR="004B729E" w:rsidRPr="007C3060" w14:paraId="2E07F9A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509C592" w14:textId="77777777" w:rsidR="000A2A2B" w:rsidRPr="007C3060" w:rsidRDefault="000A2A2B" w:rsidP="007C3060">
            <w:r w:rsidRPr="007C3060">
              <w:t>922</w:t>
            </w:r>
          </w:p>
        </w:tc>
        <w:tc>
          <w:tcPr>
            <w:tcW w:w="992" w:type="dxa"/>
            <w:tcBorders>
              <w:top w:val="nil"/>
              <w:left w:val="nil"/>
              <w:bottom w:val="nil"/>
              <w:right w:val="nil"/>
            </w:tcBorders>
            <w:tcMar>
              <w:top w:w="128" w:type="dxa"/>
              <w:left w:w="43" w:type="dxa"/>
              <w:bottom w:w="43" w:type="dxa"/>
              <w:right w:w="123" w:type="dxa"/>
            </w:tcMar>
          </w:tcPr>
          <w:p w14:paraId="02ED26B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EF3088E" w14:textId="77777777" w:rsidR="000A2A2B" w:rsidRPr="007C3060" w:rsidRDefault="000A2A2B" w:rsidP="007C3060">
            <w:r w:rsidRPr="007C3060">
              <w:t>Romvirksomhet:</w:t>
            </w:r>
          </w:p>
        </w:tc>
        <w:tc>
          <w:tcPr>
            <w:tcW w:w="1717" w:type="dxa"/>
            <w:tcBorders>
              <w:top w:val="nil"/>
              <w:left w:val="nil"/>
              <w:bottom w:val="nil"/>
              <w:right w:val="nil"/>
            </w:tcBorders>
            <w:tcMar>
              <w:top w:w="128" w:type="dxa"/>
              <w:left w:w="43" w:type="dxa"/>
              <w:bottom w:w="43" w:type="dxa"/>
              <w:right w:w="43" w:type="dxa"/>
            </w:tcMar>
            <w:vAlign w:val="bottom"/>
          </w:tcPr>
          <w:p w14:paraId="2C9C13C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AAF316C" w14:textId="77777777" w:rsidR="000A2A2B" w:rsidRPr="007C3060" w:rsidRDefault="000A2A2B" w:rsidP="007C3060"/>
        </w:tc>
      </w:tr>
      <w:tr w:rsidR="004B729E" w:rsidRPr="007C3060" w14:paraId="13236BB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301CB4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6E0E298"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2C61E612" w14:textId="77777777" w:rsidR="000A2A2B" w:rsidRPr="007C3060" w:rsidRDefault="000A2A2B" w:rsidP="007C3060">
            <w:r w:rsidRPr="007C3060">
              <w:t xml:space="preserve">Kontingent i European Space </w:t>
            </w:r>
            <w:proofErr w:type="spellStart"/>
            <w:r w:rsidRPr="007C3060">
              <w:t>Agency</w:t>
            </w:r>
            <w:proofErr w:type="spellEnd"/>
            <w:r w:rsidRPr="007C3060">
              <w:t xml:space="preserve"> (ESA), forhøyes med</w:t>
            </w:r>
          </w:p>
        </w:tc>
        <w:tc>
          <w:tcPr>
            <w:tcW w:w="1717" w:type="dxa"/>
            <w:tcBorders>
              <w:top w:val="nil"/>
              <w:left w:val="nil"/>
              <w:bottom w:val="nil"/>
              <w:right w:val="nil"/>
            </w:tcBorders>
            <w:tcMar>
              <w:top w:w="128" w:type="dxa"/>
              <w:left w:w="43" w:type="dxa"/>
              <w:bottom w:w="43" w:type="dxa"/>
              <w:right w:w="43" w:type="dxa"/>
            </w:tcMar>
            <w:vAlign w:val="bottom"/>
          </w:tcPr>
          <w:p w14:paraId="42C40CE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62F6430" w14:textId="77777777" w:rsidR="000A2A2B" w:rsidRPr="007C3060" w:rsidRDefault="000A2A2B" w:rsidP="007C3060">
            <w:r w:rsidRPr="007C3060">
              <w:t>9 100 000</w:t>
            </w:r>
          </w:p>
        </w:tc>
      </w:tr>
      <w:tr w:rsidR="004B729E" w:rsidRPr="007C3060" w14:paraId="61B54CC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0E8231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496505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594FB89" w14:textId="77777777" w:rsidR="000A2A2B" w:rsidRPr="007C3060" w:rsidRDefault="000A2A2B" w:rsidP="007C3060">
            <w:r w:rsidRPr="007C3060">
              <w:t>fra kr 276 212 000 til kr 285 312 000</w:t>
            </w:r>
          </w:p>
        </w:tc>
        <w:tc>
          <w:tcPr>
            <w:tcW w:w="1717" w:type="dxa"/>
            <w:tcBorders>
              <w:top w:val="nil"/>
              <w:left w:val="nil"/>
              <w:bottom w:val="nil"/>
              <w:right w:val="nil"/>
            </w:tcBorders>
            <w:tcMar>
              <w:top w:w="128" w:type="dxa"/>
              <w:left w:w="43" w:type="dxa"/>
              <w:bottom w:w="43" w:type="dxa"/>
              <w:right w:w="43" w:type="dxa"/>
            </w:tcMar>
            <w:vAlign w:val="bottom"/>
          </w:tcPr>
          <w:p w14:paraId="7F82A03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1486771" w14:textId="77777777" w:rsidR="000A2A2B" w:rsidRPr="007C3060" w:rsidRDefault="000A2A2B" w:rsidP="007C3060"/>
        </w:tc>
      </w:tr>
      <w:tr w:rsidR="004B729E" w:rsidRPr="007C3060" w14:paraId="6C98509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34ED89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2D6F298"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0B256261" w14:textId="77777777" w:rsidR="000A2A2B" w:rsidRPr="007C3060" w:rsidRDefault="000A2A2B" w:rsidP="007C3060">
            <w:r w:rsidRPr="007C3060">
              <w:t>Internasjonal romvirksomhet, nedsettes med</w:t>
            </w:r>
          </w:p>
        </w:tc>
        <w:tc>
          <w:tcPr>
            <w:tcW w:w="1717" w:type="dxa"/>
            <w:tcBorders>
              <w:top w:val="nil"/>
              <w:left w:val="nil"/>
              <w:bottom w:val="nil"/>
              <w:right w:val="nil"/>
            </w:tcBorders>
            <w:tcMar>
              <w:top w:w="128" w:type="dxa"/>
              <w:left w:w="43" w:type="dxa"/>
              <w:bottom w:w="43" w:type="dxa"/>
              <w:right w:w="43" w:type="dxa"/>
            </w:tcMar>
            <w:vAlign w:val="bottom"/>
          </w:tcPr>
          <w:p w14:paraId="343BCD5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5417E54" w14:textId="77777777" w:rsidR="000A2A2B" w:rsidRPr="007C3060" w:rsidRDefault="000A2A2B" w:rsidP="007C3060">
            <w:r w:rsidRPr="007C3060">
              <w:t>31 400 000</w:t>
            </w:r>
          </w:p>
        </w:tc>
      </w:tr>
      <w:tr w:rsidR="004B729E" w:rsidRPr="007C3060" w14:paraId="4987177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A58258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2A50F0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13D541B" w14:textId="77777777" w:rsidR="000A2A2B" w:rsidRPr="007C3060" w:rsidRDefault="000A2A2B" w:rsidP="007C3060">
            <w:r w:rsidRPr="007C3060">
              <w:t>fra kr 499 509 000 til kr 468 109 000</w:t>
            </w:r>
          </w:p>
        </w:tc>
        <w:tc>
          <w:tcPr>
            <w:tcW w:w="1717" w:type="dxa"/>
            <w:tcBorders>
              <w:top w:val="nil"/>
              <w:left w:val="nil"/>
              <w:bottom w:val="nil"/>
              <w:right w:val="nil"/>
            </w:tcBorders>
            <w:tcMar>
              <w:top w:w="128" w:type="dxa"/>
              <w:left w:w="43" w:type="dxa"/>
              <w:bottom w:w="43" w:type="dxa"/>
              <w:right w:w="43" w:type="dxa"/>
            </w:tcMar>
            <w:vAlign w:val="bottom"/>
          </w:tcPr>
          <w:p w14:paraId="08D0793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0C7BC14" w14:textId="77777777" w:rsidR="000A2A2B" w:rsidRPr="007C3060" w:rsidRDefault="000A2A2B" w:rsidP="007C3060"/>
        </w:tc>
      </w:tr>
      <w:tr w:rsidR="004B729E" w:rsidRPr="007C3060" w14:paraId="7271FBC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E9C260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76B55F9"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5BCE0839" w14:textId="77777777" w:rsidR="000A2A2B" w:rsidRPr="007C3060" w:rsidRDefault="000A2A2B" w:rsidP="007C3060">
            <w:r w:rsidRPr="007C3060">
              <w:t>EUs romprogrammer, forhøyes med</w:t>
            </w:r>
          </w:p>
        </w:tc>
        <w:tc>
          <w:tcPr>
            <w:tcW w:w="1717" w:type="dxa"/>
            <w:tcBorders>
              <w:top w:val="nil"/>
              <w:left w:val="nil"/>
              <w:bottom w:val="nil"/>
              <w:right w:val="nil"/>
            </w:tcBorders>
            <w:tcMar>
              <w:top w:w="128" w:type="dxa"/>
              <w:left w:w="43" w:type="dxa"/>
              <w:bottom w:w="43" w:type="dxa"/>
              <w:right w:w="43" w:type="dxa"/>
            </w:tcMar>
            <w:vAlign w:val="bottom"/>
          </w:tcPr>
          <w:p w14:paraId="0A1E599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95F9207" w14:textId="77777777" w:rsidR="000A2A2B" w:rsidRPr="007C3060" w:rsidRDefault="000A2A2B" w:rsidP="007C3060">
            <w:r w:rsidRPr="007C3060">
              <w:t>22 000 000</w:t>
            </w:r>
          </w:p>
        </w:tc>
      </w:tr>
      <w:tr w:rsidR="004B729E" w:rsidRPr="007C3060" w14:paraId="08C0E80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9D49D9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CAF835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44EDC13" w14:textId="77777777" w:rsidR="000A2A2B" w:rsidRPr="007C3060" w:rsidRDefault="000A2A2B" w:rsidP="007C3060">
            <w:r w:rsidRPr="007C3060">
              <w:t>fra kr 579 699 000 til kr 601 699 000</w:t>
            </w:r>
          </w:p>
        </w:tc>
        <w:tc>
          <w:tcPr>
            <w:tcW w:w="1717" w:type="dxa"/>
            <w:tcBorders>
              <w:top w:val="nil"/>
              <w:left w:val="nil"/>
              <w:bottom w:val="nil"/>
              <w:right w:val="nil"/>
            </w:tcBorders>
            <w:tcMar>
              <w:top w:w="128" w:type="dxa"/>
              <w:left w:w="43" w:type="dxa"/>
              <w:bottom w:w="43" w:type="dxa"/>
              <w:right w:w="43" w:type="dxa"/>
            </w:tcMar>
            <w:vAlign w:val="bottom"/>
          </w:tcPr>
          <w:p w14:paraId="205DB09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54BD1EA" w14:textId="77777777" w:rsidR="000A2A2B" w:rsidRPr="007C3060" w:rsidRDefault="000A2A2B" w:rsidP="007C3060"/>
        </w:tc>
      </w:tr>
      <w:tr w:rsidR="004B729E" w:rsidRPr="007C3060" w14:paraId="2293DE0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B925591" w14:textId="77777777" w:rsidR="000A2A2B" w:rsidRPr="007C3060" w:rsidRDefault="000A2A2B" w:rsidP="007C3060">
            <w:r w:rsidRPr="007C3060">
              <w:t>923</w:t>
            </w:r>
          </w:p>
        </w:tc>
        <w:tc>
          <w:tcPr>
            <w:tcW w:w="992" w:type="dxa"/>
            <w:tcBorders>
              <w:top w:val="nil"/>
              <w:left w:val="nil"/>
              <w:bottom w:val="nil"/>
              <w:right w:val="nil"/>
            </w:tcBorders>
            <w:tcMar>
              <w:top w:w="128" w:type="dxa"/>
              <w:left w:w="43" w:type="dxa"/>
              <w:bottom w:w="43" w:type="dxa"/>
              <w:right w:w="123" w:type="dxa"/>
            </w:tcMar>
          </w:tcPr>
          <w:p w14:paraId="67E993A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6D1A6B7" w14:textId="77777777" w:rsidR="000A2A2B" w:rsidRPr="007C3060" w:rsidRDefault="000A2A2B" w:rsidP="007C3060">
            <w:r w:rsidRPr="007C3060">
              <w:t>Havforskningsinstituttet:</w:t>
            </w:r>
          </w:p>
        </w:tc>
        <w:tc>
          <w:tcPr>
            <w:tcW w:w="1717" w:type="dxa"/>
            <w:tcBorders>
              <w:top w:val="nil"/>
              <w:left w:val="nil"/>
              <w:bottom w:val="nil"/>
              <w:right w:val="nil"/>
            </w:tcBorders>
            <w:tcMar>
              <w:top w:w="128" w:type="dxa"/>
              <w:left w:w="43" w:type="dxa"/>
              <w:bottom w:w="43" w:type="dxa"/>
              <w:right w:w="43" w:type="dxa"/>
            </w:tcMar>
            <w:vAlign w:val="bottom"/>
          </w:tcPr>
          <w:p w14:paraId="33F56D6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9740294" w14:textId="77777777" w:rsidR="000A2A2B" w:rsidRPr="007C3060" w:rsidRDefault="000A2A2B" w:rsidP="007C3060"/>
        </w:tc>
      </w:tr>
      <w:tr w:rsidR="004B729E" w:rsidRPr="007C3060" w14:paraId="6ACE5AE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DB897F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DAAC322"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2B0CD87A" w14:textId="3B394A1E" w:rsidR="000A2A2B" w:rsidRPr="007C3060" w:rsidRDefault="000A2A2B" w:rsidP="007C3060">
            <w:r w:rsidRPr="007C3060">
              <w:t xml:space="preserve">Driftsutgifter, </w:t>
            </w:r>
            <w:r w:rsidRPr="007C3060">
              <w:rPr>
                <w:rStyle w:val="kursiv"/>
              </w:rPr>
              <w:t>kan nyttes under post 21,</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26D9941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413130C" w14:textId="77777777" w:rsidR="000A2A2B" w:rsidRPr="007C3060" w:rsidRDefault="000A2A2B" w:rsidP="007C3060">
            <w:r w:rsidRPr="007C3060">
              <w:t>10 000 000</w:t>
            </w:r>
          </w:p>
        </w:tc>
      </w:tr>
      <w:tr w:rsidR="004B729E" w:rsidRPr="007C3060" w14:paraId="340145B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982E5F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DBD845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A8B7D69" w14:textId="77777777" w:rsidR="000A2A2B" w:rsidRPr="007C3060" w:rsidRDefault="000A2A2B" w:rsidP="007C3060">
            <w:r w:rsidRPr="007C3060">
              <w:t>fra kr 867 050 000 til kr 877 050 000</w:t>
            </w:r>
          </w:p>
        </w:tc>
        <w:tc>
          <w:tcPr>
            <w:tcW w:w="1717" w:type="dxa"/>
            <w:tcBorders>
              <w:top w:val="nil"/>
              <w:left w:val="nil"/>
              <w:bottom w:val="nil"/>
              <w:right w:val="nil"/>
            </w:tcBorders>
            <w:tcMar>
              <w:top w:w="128" w:type="dxa"/>
              <w:left w:w="43" w:type="dxa"/>
              <w:bottom w:w="43" w:type="dxa"/>
              <w:right w:w="43" w:type="dxa"/>
            </w:tcMar>
            <w:vAlign w:val="bottom"/>
          </w:tcPr>
          <w:p w14:paraId="045703C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938D2F2" w14:textId="77777777" w:rsidR="000A2A2B" w:rsidRPr="007C3060" w:rsidRDefault="000A2A2B" w:rsidP="007C3060"/>
        </w:tc>
      </w:tr>
      <w:tr w:rsidR="004B729E" w:rsidRPr="007C3060" w14:paraId="50BB33F8"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FDD238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1A7B60C"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29FFCE51" w14:textId="1FDD3618" w:rsidR="000A2A2B" w:rsidRPr="007C3060" w:rsidRDefault="000A2A2B" w:rsidP="007C3060">
            <w:r w:rsidRPr="007C3060">
              <w:t xml:space="preserve">Fiskeriforskning og -overvåking,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559AB8B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BAE1728" w14:textId="77777777" w:rsidR="000A2A2B" w:rsidRPr="007C3060" w:rsidRDefault="000A2A2B" w:rsidP="007C3060">
            <w:r w:rsidRPr="007C3060">
              <w:t>26 800 000</w:t>
            </w:r>
          </w:p>
        </w:tc>
      </w:tr>
      <w:tr w:rsidR="004B729E" w:rsidRPr="007C3060" w14:paraId="64D93DC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8C5942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ED1549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FA6F615" w14:textId="77777777" w:rsidR="000A2A2B" w:rsidRPr="007C3060" w:rsidRDefault="000A2A2B" w:rsidP="007C3060">
            <w:r w:rsidRPr="007C3060">
              <w:t>fra kr 214 800 000 til kr 241 600 000</w:t>
            </w:r>
          </w:p>
        </w:tc>
        <w:tc>
          <w:tcPr>
            <w:tcW w:w="1717" w:type="dxa"/>
            <w:tcBorders>
              <w:top w:val="nil"/>
              <w:left w:val="nil"/>
              <w:bottom w:val="nil"/>
              <w:right w:val="nil"/>
            </w:tcBorders>
            <w:tcMar>
              <w:top w:w="128" w:type="dxa"/>
              <w:left w:w="43" w:type="dxa"/>
              <w:bottom w:w="43" w:type="dxa"/>
              <w:right w:w="43" w:type="dxa"/>
            </w:tcMar>
            <w:vAlign w:val="bottom"/>
          </w:tcPr>
          <w:p w14:paraId="133B333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1285F34" w14:textId="77777777" w:rsidR="000A2A2B" w:rsidRPr="007C3060" w:rsidRDefault="000A2A2B" w:rsidP="007C3060"/>
        </w:tc>
      </w:tr>
      <w:tr w:rsidR="004B729E" w:rsidRPr="007C3060" w14:paraId="7A97D71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D231C95" w14:textId="77777777" w:rsidR="000A2A2B" w:rsidRPr="007C3060" w:rsidRDefault="000A2A2B" w:rsidP="007C3060">
            <w:r w:rsidRPr="007C3060">
              <w:t>924</w:t>
            </w:r>
          </w:p>
        </w:tc>
        <w:tc>
          <w:tcPr>
            <w:tcW w:w="992" w:type="dxa"/>
            <w:tcBorders>
              <w:top w:val="nil"/>
              <w:left w:val="nil"/>
              <w:bottom w:val="nil"/>
              <w:right w:val="nil"/>
            </w:tcBorders>
            <w:tcMar>
              <w:top w:w="128" w:type="dxa"/>
              <w:left w:w="43" w:type="dxa"/>
              <w:bottom w:w="43" w:type="dxa"/>
              <w:right w:w="123" w:type="dxa"/>
            </w:tcMar>
          </w:tcPr>
          <w:p w14:paraId="470C698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23A35F1" w14:textId="77777777" w:rsidR="000A2A2B" w:rsidRPr="007C3060" w:rsidRDefault="000A2A2B" w:rsidP="007C3060">
            <w:r w:rsidRPr="007C3060">
              <w:t>Internasjonale samarbeidsprogrammer:</w:t>
            </w:r>
          </w:p>
        </w:tc>
        <w:tc>
          <w:tcPr>
            <w:tcW w:w="1717" w:type="dxa"/>
            <w:tcBorders>
              <w:top w:val="nil"/>
              <w:left w:val="nil"/>
              <w:bottom w:val="nil"/>
              <w:right w:val="nil"/>
            </w:tcBorders>
            <w:tcMar>
              <w:top w:w="128" w:type="dxa"/>
              <w:left w:w="43" w:type="dxa"/>
              <w:bottom w:w="43" w:type="dxa"/>
              <w:right w:w="43" w:type="dxa"/>
            </w:tcMar>
            <w:vAlign w:val="bottom"/>
          </w:tcPr>
          <w:p w14:paraId="4E3431B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645183" w14:textId="77777777" w:rsidR="000A2A2B" w:rsidRPr="007C3060" w:rsidRDefault="000A2A2B" w:rsidP="007C3060"/>
        </w:tc>
      </w:tr>
      <w:tr w:rsidR="004B729E" w:rsidRPr="007C3060" w14:paraId="718F8EA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E24938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C3BB493"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298B36C8" w14:textId="77777777" w:rsidR="000A2A2B" w:rsidRPr="007C3060" w:rsidRDefault="000A2A2B" w:rsidP="007C3060">
            <w:r w:rsidRPr="007C3060">
              <w:t>Tilskudd, nedsettes med</w:t>
            </w:r>
          </w:p>
        </w:tc>
        <w:tc>
          <w:tcPr>
            <w:tcW w:w="1717" w:type="dxa"/>
            <w:tcBorders>
              <w:top w:val="nil"/>
              <w:left w:val="nil"/>
              <w:bottom w:val="nil"/>
              <w:right w:val="nil"/>
            </w:tcBorders>
            <w:tcMar>
              <w:top w:w="128" w:type="dxa"/>
              <w:left w:w="43" w:type="dxa"/>
              <w:bottom w:w="43" w:type="dxa"/>
              <w:right w:w="43" w:type="dxa"/>
            </w:tcMar>
            <w:vAlign w:val="bottom"/>
          </w:tcPr>
          <w:p w14:paraId="5CC1662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278DBA9" w14:textId="77777777" w:rsidR="000A2A2B" w:rsidRPr="007C3060" w:rsidRDefault="000A2A2B" w:rsidP="007C3060">
            <w:r w:rsidRPr="007C3060">
              <w:t>27 400 000</w:t>
            </w:r>
          </w:p>
        </w:tc>
      </w:tr>
      <w:tr w:rsidR="004B729E" w:rsidRPr="007C3060" w14:paraId="4F36C9B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B616A1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3303D8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CB5A5A7" w14:textId="77777777" w:rsidR="000A2A2B" w:rsidRPr="007C3060" w:rsidRDefault="000A2A2B" w:rsidP="007C3060">
            <w:r w:rsidRPr="007C3060">
              <w:t>fra kr 387 900 000 til kr 360 500 000</w:t>
            </w:r>
          </w:p>
        </w:tc>
        <w:tc>
          <w:tcPr>
            <w:tcW w:w="1717" w:type="dxa"/>
            <w:tcBorders>
              <w:top w:val="nil"/>
              <w:left w:val="nil"/>
              <w:bottom w:val="nil"/>
              <w:right w:val="nil"/>
            </w:tcBorders>
            <w:tcMar>
              <w:top w:w="128" w:type="dxa"/>
              <w:left w:w="43" w:type="dxa"/>
              <w:bottom w:w="43" w:type="dxa"/>
              <w:right w:w="43" w:type="dxa"/>
            </w:tcMar>
            <w:vAlign w:val="bottom"/>
          </w:tcPr>
          <w:p w14:paraId="5FA105A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F62DFF6" w14:textId="77777777" w:rsidR="000A2A2B" w:rsidRPr="007C3060" w:rsidRDefault="000A2A2B" w:rsidP="007C3060"/>
        </w:tc>
      </w:tr>
      <w:tr w:rsidR="004B729E" w:rsidRPr="007C3060" w14:paraId="5EC6A76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3E55A29" w14:textId="77777777" w:rsidR="000A2A2B" w:rsidRPr="007C3060" w:rsidRDefault="000A2A2B" w:rsidP="007C3060">
            <w:r w:rsidRPr="007C3060">
              <w:t>928</w:t>
            </w:r>
          </w:p>
        </w:tc>
        <w:tc>
          <w:tcPr>
            <w:tcW w:w="992" w:type="dxa"/>
            <w:tcBorders>
              <w:top w:val="nil"/>
              <w:left w:val="nil"/>
              <w:bottom w:val="nil"/>
              <w:right w:val="nil"/>
            </w:tcBorders>
            <w:tcMar>
              <w:top w:w="128" w:type="dxa"/>
              <w:left w:w="43" w:type="dxa"/>
              <w:bottom w:w="43" w:type="dxa"/>
              <w:right w:w="123" w:type="dxa"/>
            </w:tcMar>
          </w:tcPr>
          <w:p w14:paraId="10C080D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41C209C" w14:textId="77777777" w:rsidR="000A2A2B" w:rsidRPr="007C3060" w:rsidRDefault="000A2A2B" w:rsidP="007C3060">
            <w:r w:rsidRPr="007C3060">
              <w:t>Annen marin forskning og utvikling:</w:t>
            </w:r>
          </w:p>
        </w:tc>
        <w:tc>
          <w:tcPr>
            <w:tcW w:w="1717" w:type="dxa"/>
            <w:tcBorders>
              <w:top w:val="nil"/>
              <w:left w:val="nil"/>
              <w:bottom w:val="nil"/>
              <w:right w:val="nil"/>
            </w:tcBorders>
            <w:tcMar>
              <w:top w:w="128" w:type="dxa"/>
              <w:left w:w="43" w:type="dxa"/>
              <w:bottom w:w="43" w:type="dxa"/>
              <w:right w:w="43" w:type="dxa"/>
            </w:tcMar>
            <w:vAlign w:val="bottom"/>
          </w:tcPr>
          <w:p w14:paraId="061BCC5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37B5DB4" w14:textId="77777777" w:rsidR="000A2A2B" w:rsidRPr="007C3060" w:rsidRDefault="000A2A2B" w:rsidP="007C3060"/>
        </w:tc>
      </w:tr>
      <w:tr w:rsidR="004B729E" w:rsidRPr="007C3060" w14:paraId="1DE3111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610A1D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71D67E8"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4E280EF7" w14:textId="77777777" w:rsidR="000A2A2B" w:rsidRPr="007C3060" w:rsidRDefault="000A2A2B" w:rsidP="007C3060">
            <w:r w:rsidRPr="007C3060">
              <w:t xml:space="preserve">Spesielle driftsutgifter,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71D2F1D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494DCAF" w14:textId="77777777" w:rsidR="000A2A2B" w:rsidRPr="007C3060" w:rsidRDefault="000A2A2B" w:rsidP="007C3060">
            <w:r w:rsidRPr="007C3060">
              <w:t>10 500 000</w:t>
            </w:r>
          </w:p>
        </w:tc>
      </w:tr>
      <w:tr w:rsidR="004B729E" w:rsidRPr="007C3060" w14:paraId="27B73E0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B13B8A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E9FF74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9DEF886" w14:textId="77777777" w:rsidR="000A2A2B" w:rsidRPr="007C3060" w:rsidRDefault="000A2A2B" w:rsidP="007C3060">
            <w:r w:rsidRPr="007C3060">
              <w:t>fra kr 39 550 000 til kr 50 050 000</w:t>
            </w:r>
          </w:p>
        </w:tc>
        <w:tc>
          <w:tcPr>
            <w:tcW w:w="1717" w:type="dxa"/>
            <w:tcBorders>
              <w:top w:val="nil"/>
              <w:left w:val="nil"/>
              <w:bottom w:val="nil"/>
              <w:right w:val="nil"/>
            </w:tcBorders>
            <w:tcMar>
              <w:top w:w="128" w:type="dxa"/>
              <w:left w:w="43" w:type="dxa"/>
              <w:bottom w:w="43" w:type="dxa"/>
              <w:right w:w="43" w:type="dxa"/>
            </w:tcMar>
            <w:vAlign w:val="bottom"/>
          </w:tcPr>
          <w:p w14:paraId="09F1055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E65F00E" w14:textId="77777777" w:rsidR="000A2A2B" w:rsidRPr="007C3060" w:rsidRDefault="000A2A2B" w:rsidP="007C3060"/>
        </w:tc>
      </w:tr>
      <w:tr w:rsidR="004B729E" w:rsidRPr="007C3060" w14:paraId="2DF4FC3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BD44107" w14:textId="77777777" w:rsidR="000A2A2B" w:rsidRPr="007C3060" w:rsidRDefault="000A2A2B" w:rsidP="007C3060">
            <w:r w:rsidRPr="007C3060">
              <w:t>951</w:t>
            </w:r>
          </w:p>
        </w:tc>
        <w:tc>
          <w:tcPr>
            <w:tcW w:w="992" w:type="dxa"/>
            <w:tcBorders>
              <w:top w:val="nil"/>
              <w:left w:val="nil"/>
              <w:bottom w:val="nil"/>
              <w:right w:val="nil"/>
            </w:tcBorders>
            <w:tcMar>
              <w:top w:w="128" w:type="dxa"/>
              <w:left w:w="43" w:type="dxa"/>
              <w:bottom w:w="43" w:type="dxa"/>
              <w:right w:w="123" w:type="dxa"/>
            </w:tcMar>
          </w:tcPr>
          <w:p w14:paraId="58CF8E3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D90E586" w14:textId="77777777" w:rsidR="000A2A2B" w:rsidRPr="007C3060" w:rsidRDefault="000A2A2B" w:rsidP="007C3060">
            <w:r w:rsidRPr="007C3060">
              <w:t>Store Norske Spitsbergen Kulkompani AS:</w:t>
            </w:r>
          </w:p>
        </w:tc>
        <w:tc>
          <w:tcPr>
            <w:tcW w:w="1717" w:type="dxa"/>
            <w:tcBorders>
              <w:top w:val="nil"/>
              <w:left w:val="nil"/>
              <w:bottom w:val="nil"/>
              <w:right w:val="nil"/>
            </w:tcBorders>
            <w:tcMar>
              <w:top w:w="128" w:type="dxa"/>
              <w:left w:w="43" w:type="dxa"/>
              <w:bottom w:w="43" w:type="dxa"/>
              <w:right w:w="43" w:type="dxa"/>
            </w:tcMar>
            <w:vAlign w:val="bottom"/>
          </w:tcPr>
          <w:p w14:paraId="2AC208F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0DEC9EA" w14:textId="77777777" w:rsidR="000A2A2B" w:rsidRPr="007C3060" w:rsidRDefault="000A2A2B" w:rsidP="007C3060"/>
        </w:tc>
      </w:tr>
      <w:tr w:rsidR="004B729E" w:rsidRPr="007C3060" w14:paraId="07BB9DE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A7C742B"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03815337"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1362244C" w14:textId="77777777" w:rsidR="000A2A2B" w:rsidRPr="007C3060" w:rsidRDefault="000A2A2B" w:rsidP="007C3060">
            <w:r w:rsidRPr="007C3060">
              <w:t>Tilskudd til energitiltak, bevilges med</w:t>
            </w:r>
          </w:p>
        </w:tc>
        <w:tc>
          <w:tcPr>
            <w:tcW w:w="1717" w:type="dxa"/>
            <w:tcBorders>
              <w:top w:val="nil"/>
              <w:left w:val="nil"/>
              <w:bottom w:val="nil"/>
              <w:right w:val="nil"/>
            </w:tcBorders>
            <w:tcMar>
              <w:top w:w="128" w:type="dxa"/>
              <w:left w:w="43" w:type="dxa"/>
              <w:bottom w:w="43" w:type="dxa"/>
              <w:right w:w="43" w:type="dxa"/>
            </w:tcMar>
            <w:vAlign w:val="bottom"/>
          </w:tcPr>
          <w:p w14:paraId="37173DB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1A87C77" w14:textId="77777777" w:rsidR="000A2A2B" w:rsidRPr="007C3060" w:rsidRDefault="000A2A2B" w:rsidP="007C3060">
            <w:r w:rsidRPr="007C3060">
              <w:t>12 000 000</w:t>
            </w:r>
          </w:p>
        </w:tc>
      </w:tr>
      <w:tr w:rsidR="004B729E" w:rsidRPr="007C3060" w14:paraId="76F8F0E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3A64585" w14:textId="77777777" w:rsidR="000A2A2B" w:rsidRPr="007C3060" w:rsidRDefault="000A2A2B" w:rsidP="007C3060">
            <w:r w:rsidRPr="007C3060">
              <w:t>952</w:t>
            </w:r>
          </w:p>
        </w:tc>
        <w:tc>
          <w:tcPr>
            <w:tcW w:w="992" w:type="dxa"/>
            <w:tcBorders>
              <w:top w:val="nil"/>
              <w:left w:val="nil"/>
              <w:bottom w:val="nil"/>
              <w:right w:val="nil"/>
            </w:tcBorders>
            <w:tcMar>
              <w:top w:w="128" w:type="dxa"/>
              <w:left w:w="43" w:type="dxa"/>
              <w:bottom w:w="43" w:type="dxa"/>
              <w:right w:w="123" w:type="dxa"/>
            </w:tcMar>
          </w:tcPr>
          <w:p w14:paraId="5CC5D08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BDE1414" w14:textId="77777777" w:rsidR="000A2A2B" w:rsidRPr="007C3060" w:rsidRDefault="000A2A2B" w:rsidP="007C3060">
            <w:proofErr w:type="spellStart"/>
            <w:r w:rsidRPr="007C3060">
              <w:t>Investinor</w:t>
            </w:r>
            <w:proofErr w:type="spellEnd"/>
            <w:r w:rsidRPr="007C3060">
              <w:t xml:space="preserve"> AS:</w:t>
            </w:r>
          </w:p>
        </w:tc>
        <w:tc>
          <w:tcPr>
            <w:tcW w:w="1717" w:type="dxa"/>
            <w:tcBorders>
              <w:top w:val="nil"/>
              <w:left w:val="nil"/>
              <w:bottom w:val="nil"/>
              <w:right w:val="nil"/>
            </w:tcBorders>
            <w:tcMar>
              <w:top w:w="128" w:type="dxa"/>
              <w:left w:w="43" w:type="dxa"/>
              <w:bottom w:w="43" w:type="dxa"/>
              <w:right w:w="43" w:type="dxa"/>
            </w:tcMar>
            <w:vAlign w:val="bottom"/>
          </w:tcPr>
          <w:p w14:paraId="01B503D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861B211" w14:textId="77777777" w:rsidR="000A2A2B" w:rsidRPr="007C3060" w:rsidRDefault="000A2A2B" w:rsidP="007C3060"/>
        </w:tc>
      </w:tr>
      <w:tr w:rsidR="004B729E" w:rsidRPr="007C3060" w14:paraId="027D438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73F67CC"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667DE3D6" w14:textId="77777777" w:rsidR="000A2A2B" w:rsidRPr="007C3060" w:rsidRDefault="000A2A2B" w:rsidP="007C3060">
            <w:r w:rsidRPr="007C3060">
              <w:t>51</w:t>
            </w:r>
          </w:p>
        </w:tc>
        <w:tc>
          <w:tcPr>
            <w:tcW w:w="4819" w:type="dxa"/>
            <w:tcBorders>
              <w:top w:val="nil"/>
              <w:left w:val="nil"/>
              <w:bottom w:val="nil"/>
              <w:right w:val="nil"/>
            </w:tcBorders>
            <w:tcMar>
              <w:top w:w="128" w:type="dxa"/>
              <w:left w:w="43" w:type="dxa"/>
              <w:bottom w:w="43" w:type="dxa"/>
              <w:right w:w="43" w:type="dxa"/>
            </w:tcMar>
            <w:vAlign w:val="bottom"/>
          </w:tcPr>
          <w:p w14:paraId="069A63B5" w14:textId="77777777" w:rsidR="000A2A2B" w:rsidRPr="007C3060" w:rsidRDefault="000A2A2B" w:rsidP="007C3060">
            <w:r w:rsidRPr="007C3060">
              <w:t>Tapsfond såkornkapital, bevilges med</w:t>
            </w:r>
          </w:p>
        </w:tc>
        <w:tc>
          <w:tcPr>
            <w:tcW w:w="1717" w:type="dxa"/>
            <w:tcBorders>
              <w:top w:val="nil"/>
              <w:left w:val="nil"/>
              <w:bottom w:val="nil"/>
              <w:right w:val="nil"/>
            </w:tcBorders>
            <w:tcMar>
              <w:top w:w="128" w:type="dxa"/>
              <w:left w:w="43" w:type="dxa"/>
              <w:bottom w:w="43" w:type="dxa"/>
              <w:right w:w="43" w:type="dxa"/>
            </w:tcMar>
            <w:vAlign w:val="bottom"/>
          </w:tcPr>
          <w:p w14:paraId="6BEFDDD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C1F2938" w14:textId="77777777" w:rsidR="000A2A2B" w:rsidRPr="007C3060" w:rsidRDefault="000A2A2B" w:rsidP="007C3060">
            <w:r w:rsidRPr="007C3060">
              <w:t>166 000 000</w:t>
            </w:r>
          </w:p>
        </w:tc>
      </w:tr>
      <w:tr w:rsidR="004B729E" w:rsidRPr="007C3060" w14:paraId="41FB5BB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A955BF4" w14:textId="77777777" w:rsidR="000A2A2B" w:rsidRPr="007C3060" w:rsidRDefault="000A2A2B" w:rsidP="007C3060">
            <w:r w:rsidRPr="007C3060">
              <w:t>954</w:t>
            </w:r>
          </w:p>
        </w:tc>
        <w:tc>
          <w:tcPr>
            <w:tcW w:w="992" w:type="dxa"/>
            <w:tcBorders>
              <w:top w:val="nil"/>
              <w:left w:val="nil"/>
              <w:bottom w:val="nil"/>
              <w:right w:val="nil"/>
            </w:tcBorders>
            <w:tcMar>
              <w:top w:w="128" w:type="dxa"/>
              <w:left w:w="43" w:type="dxa"/>
              <w:bottom w:w="43" w:type="dxa"/>
              <w:right w:w="123" w:type="dxa"/>
            </w:tcMar>
          </w:tcPr>
          <w:p w14:paraId="6EF5706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8E67C01" w14:textId="77777777" w:rsidR="000A2A2B" w:rsidRPr="007C3060" w:rsidRDefault="000A2A2B" w:rsidP="007C3060">
            <w:proofErr w:type="spellStart"/>
            <w:r w:rsidRPr="007C3060">
              <w:t>Petoro</w:t>
            </w:r>
            <w:proofErr w:type="spellEnd"/>
            <w:r w:rsidRPr="007C3060">
              <w:t xml:space="preserve"> AS:</w:t>
            </w:r>
          </w:p>
        </w:tc>
        <w:tc>
          <w:tcPr>
            <w:tcW w:w="1717" w:type="dxa"/>
            <w:tcBorders>
              <w:top w:val="nil"/>
              <w:left w:val="nil"/>
              <w:bottom w:val="nil"/>
              <w:right w:val="nil"/>
            </w:tcBorders>
            <w:tcMar>
              <w:top w:w="128" w:type="dxa"/>
              <w:left w:w="43" w:type="dxa"/>
              <w:bottom w:w="43" w:type="dxa"/>
              <w:right w:w="43" w:type="dxa"/>
            </w:tcMar>
            <w:vAlign w:val="bottom"/>
          </w:tcPr>
          <w:p w14:paraId="1D3028F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BA0C6E6" w14:textId="77777777" w:rsidR="000A2A2B" w:rsidRPr="007C3060" w:rsidRDefault="000A2A2B" w:rsidP="007C3060"/>
        </w:tc>
      </w:tr>
      <w:tr w:rsidR="004B729E" w:rsidRPr="007C3060" w14:paraId="68FB037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2FA667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B3A3ED9"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4489CD38" w14:textId="77777777" w:rsidR="000A2A2B" w:rsidRPr="007C3060" w:rsidRDefault="000A2A2B" w:rsidP="007C3060">
            <w:r w:rsidRPr="007C3060">
              <w:t>Tilskudd til administrasjon, forhøyes med</w:t>
            </w:r>
          </w:p>
        </w:tc>
        <w:tc>
          <w:tcPr>
            <w:tcW w:w="1717" w:type="dxa"/>
            <w:tcBorders>
              <w:top w:val="nil"/>
              <w:left w:val="nil"/>
              <w:bottom w:val="nil"/>
              <w:right w:val="nil"/>
            </w:tcBorders>
            <w:tcMar>
              <w:top w:w="128" w:type="dxa"/>
              <w:left w:w="43" w:type="dxa"/>
              <w:bottom w:w="43" w:type="dxa"/>
              <w:right w:w="43" w:type="dxa"/>
            </w:tcMar>
            <w:vAlign w:val="bottom"/>
          </w:tcPr>
          <w:p w14:paraId="7592B4A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8289C25" w14:textId="77777777" w:rsidR="000A2A2B" w:rsidRPr="007C3060" w:rsidRDefault="000A2A2B" w:rsidP="007C3060">
            <w:r w:rsidRPr="007C3060">
              <w:t>17 800 000</w:t>
            </w:r>
          </w:p>
        </w:tc>
      </w:tr>
      <w:tr w:rsidR="004B729E" w:rsidRPr="007C3060" w14:paraId="6D1A0A0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0C1E0A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8D32A8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8132CB3" w14:textId="77777777" w:rsidR="000A2A2B" w:rsidRPr="007C3060" w:rsidRDefault="000A2A2B" w:rsidP="007C3060">
            <w:r w:rsidRPr="007C3060">
              <w:t>fra kr 434 000 000 til kr 451 800 000</w:t>
            </w:r>
          </w:p>
        </w:tc>
        <w:tc>
          <w:tcPr>
            <w:tcW w:w="1717" w:type="dxa"/>
            <w:tcBorders>
              <w:top w:val="nil"/>
              <w:left w:val="nil"/>
              <w:bottom w:val="nil"/>
              <w:right w:val="nil"/>
            </w:tcBorders>
            <w:tcMar>
              <w:top w:w="128" w:type="dxa"/>
              <w:left w:w="43" w:type="dxa"/>
              <w:bottom w:w="43" w:type="dxa"/>
              <w:right w:w="43" w:type="dxa"/>
            </w:tcMar>
            <w:vAlign w:val="bottom"/>
          </w:tcPr>
          <w:p w14:paraId="22A6A21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DA4FA0F" w14:textId="77777777" w:rsidR="000A2A2B" w:rsidRPr="007C3060" w:rsidRDefault="000A2A2B" w:rsidP="007C3060"/>
        </w:tc>
      </w:tr>
      <w:tr w:rsidR="004B729E" w:rsidRPr="007C3060" w14:paraId="063BFC1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AFED29C" w14:textId="77777777" w:rsidR="000A2A2B" w:rsidRPr="007C3060" w:rsidRDefault="000A2A2B" w:rsidP="007C3060">
            <w:r w:rsidRPr="007C3060">
              <w:lastRenderedPageBreak/>
              <w:t>1100</w:t>
            </w:r>
          </w:p>
        </w:tc>
        <w:tc>
          <w:tcPr>
            <w:tcW w:w="992" w:type="dxa"/>
            <w:tcBorders>
              <w:top w:val="nil"/>
              <w:left w:val="nil"/>
              <w:bottom w:val="nil"/>
              <w:right w:val="nil"/>
            </w:tcBorders>
            <w:tcMar>
              <w:top w:w="128" w:type="dxa"/>
              <w:left w:w="43" w:type="dxa"/>
              <w:bottom w:w="43" w:type="dxa"/>
              <w:right w:w="123" w:type="dxa"/>
            </w:tcMar>
          </w:tcPr>
          <w:p w14:paraId="3CE2631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40060F1" w14:textId="77777777" w:rsidR="000A2A2B" w:rsidRPr="007C3060" w:rsidRDefault="000A2A2B" w:rsidP="007C3060">
            <w:r w:rsidRPr="007C3060">
              <w:t>Landbruks- og matdepartementet:</w:t>
            </w:r>
          </w:p>
        </w:tc>
        <w:tc>
          <w:tcPr>
            <w:tcW w:w="1717" w:type="dxa"/>
            <w:tcBorders>
              <w:top w:val="nil"/>
              <w:left w:val="nil"/>
              <w:bottom w:val="nil"/>
              <w:right w:val="nil"/>
            </w:tcBorders>
            <w:tcMar>
              <w:top w:w="128" w:type="dxa"/>
              <w:left w:w="43" w:type="dxa"/>
              <w:bottom w:w="43" w:type="dxa"/>
              <w:right w:w="43" w:type="dxa"/>
            </w:tcMar>
            <w:vAlign w:val="bottom"/>
          </w:tcPr>
          <w:p w14:paraId="2D93D37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B256FBA" w14:textId="77777777" w:rsidR="000A2A2B" w:rsidRPr="007C3060" w:rsidRDefault="000A2A2B" w:rsidP="007C3060"/>
        </w:tc>
      </w:tr>
      <w:tr w:rsidR="004B729E" w:rsidRPr="007C3060" w14:paraId="3D33C09C" w14:textId="77777777" w:rsidTr="00414C2B">
        <w:trPr>
          <w:trHeight w:val="880"/>
          <w:jc w:val="right"/>
        </w:trPr>
        <w:tc>
          <w:tcPr>
            <w:tcW w:w="969" w:type="dxa"/>
            <w:tcBorders>
              <w:top w:val="nil"/>
              <w:left w:val="nil"/>
              <w:bottom w:val="nil"/>
              <w:right w:val="nil"/>
            </w:tcBorders>
            <w:tcMar>
              <w:top w:w="128" w:type="dxa"/>
              <w:left w:w="43" w:type="dxa"/>
              <w:bottom w:w="43" w:type="dxa"/>
              <w:right w:w="123" w:type="dxa"/>
            </w:tcMar>
          </w:tcPr>
          <w:p w14:paraId="4642460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784A426" w14:textId="77777777" w:rsidR="000A2A2B" w:rsidRPr="007C3060" w:rsidRDefault="000A2A2B" w:rsidP="007C3060">
            <w:r w:rsidRPr="007C3060">
              <w:t>45</w:t>
            </w:r>
          </w:p>
        </w:tc>
        <w:tc>
          <w:tcPr>
            <w:tcW w:w="4819" w:type="dxa"/>
            <w:tcBorders>
              <w:top w:val="nil"/>
              <w:left w:val="nil"/>
              <w:bottom w:val="nil"/>
              <w:right w:val="nil"/>
            </w:tcBorders>
            <w:tcMar>
              <w:top w:w="128" w:type="dxa"/>
              <w:left w:w="43" w:type="dxa"/>
              <w:bottom w:w="43" w:type="dxa"/>
              <w:right w:w="43" w:type="dxa"/>
            </w:tcMar>
            <w:vAlign w:val="bottom"/>
          </w:tcPr>
          <w:p w14:paraId="369A3573" w14:textId="77777777" w:rsidR="000A2A2B" w:rsidRPr="007C3060" w:rsidRDefault="000A2A2B" w:rsidP="007C3060">
            <w:r w:rsidRPr="007C3060">
              <w:t xml:space="preserve">Større utstyrsanskaffelser og vedlikehold – ordinære forvaltnings-organer, </w:t>
            </w:r>
            <w:r w:rsidRPr="007C3060">
              <w:rPr>
                <w:rStyle w:val="kursiv"/>
              </w:rPr>
              <w:t>kan overføres, kan nyttes under post 50,</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5501492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D5F545A" w14:textId="77777777" w:rsidR="000A2A2B" w:rsidRPr="007C3060" w:rsidRDefault="000A2A2B" w:rsidP="007C3060">
            <w:r w:rsidRPr="007C3060">
              <w:t>4 500 000</w:t>
            </w:r>
          </w:p>
        </w:tc>
      </w:tr>
      <w:tr w:rsidR="004B729E" w:rsidRPr="007C3060" w14:paraId="2293FA2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570F83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9EE294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0B2221F" w14:textId="77777777" w:rsidR="000A2A2B" w:rsidRPr="007C3060" w:rsidRDefault="000A2A2B" w:rsidP="007C3060">
            <w:r w:rsidRPr="007C3060">
              <w:t>fra kr 3 026 000 til kr 7 526 000</w:t>
            </w:r>
          </w:p>
        </w:tc>
        <w:tc>
          <w:tcPr>
            <w:tcW w:w="1717" w:type="dxa"/>
            <w:tcBorders>
              <w:top w:val="nil"/>
              <w:left w:val="nil"/>
              <w:bottom w:val="nil"/>
              <w:right w:val="nil"/>
            </w:tcBorders>
            <w:tcMar>
              <w:top w:w="128" w:type="dxa"/>
              <w:left w:w="43" w:type="dxa"/>
              <w:bottom w:w="43" w:type="dxa"/>
              <w:right w:w="43" w:type="dxa"/>
            </w:tcMar>
            <w:vAlign w:val="bottom"/>
          </w:tcPr>
          <w:p w14:paraId="6CD3C1D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2C17436" w14:textId="77777777" w:rsidR="000A2A2B" w:rsidRPr="007C3060" w:rsidRDefault="000A2A2B" w:rsidP="007C3060"/>
        </w:tc>
      </w:tr>
      <w:tr w:rsidR="004B729E" w:rsidRPr="007C3060" w14:paraId="3DFFF87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1F1AA41" w14:textId="77777777" w:rsidR="000A2A2B" w:rsidRPr="007C3060" w:rsidRDefault="000A2A2B" w:rsidP="007C3060">
            <w:r w:rsidRPr="007C3060">
              <w:t>1142</w:t>
            </w:r>
          </w:p>
        </w:tc>
        <w:tc>
          <w:tcPr>
            <w:tcW w:w="992" w:type="dxa"/>
            <w:tcBorders>
              <w:top w:val="nil"/>
              <w:left w:val="nil"/>
              <w:bottom w:val="nil"/>
              <w:right w:val="nil"/>
            </w:tcBorders>
            <w:tcMar>
              <w:top w:w="128" w:type="dxa"/>
              <w:left w:w="43" w:type="dxa"/>
              <w:bottom w:w="43" w:type="dxa"/>
              <w:right w:w="123" w:type="dxa"/>
            </w:tcMar>
          </w:tcPr>
          <w:p w14:paraId="4F1D368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EC20514" w14:textId="77777777" w:rsidR="000A2A2B" w:rsidRPr="007C3060" w:rsidRDefault="000A2A2B" w:rsidP="007C3060">
            <w:r w:rsidRPr="007C3060">
              <w:t>Landbruksdirektoratet:</w:t>
            </w:r>
          </w:p>
        </w:tc>
        <w:tc>
          <w:tcPr>
            <w:tcW w:w="1717" w:type="dxa"/>
            <w:tcBorders>
              <w:top w:val="nil"/>
              <w:left w:val="nil"/>
              <w:bottom w:val="nil"/>
              <w:right w:val="nil"/>
            </w:tcBorders>
            <w:tcMar>
              <w:top w:w="128" w:type="dxa"/>
              <w:left w:w="43" w:type="dxa"/>
              <w:bottom w:w="43" w:type="dxa"/>
              <w:right w:w="43" w:type="dxa"/>
            </w:tcMar>
            <w:vAlign w:val="bottom"/>
          </w:tcPr>
          <w:p w14:paraId="6449ABE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9549C60" w14:textId="77777777" w:rsidR="000A2A2B" w:rsidRPr="007C3060" w:rsidRDefault="000A2A2B" w:rsidP="007C3060"/>
        </w:tc>
      </w:tr>
      <w:tr w:rsidR="004B729E" w:rsidRPr="007C3060" w14:paraId="216A1534" w14:textId="77777777" w:rsidTr="00414C2B">
        <w:trPr>
          <w:trHeight w:val="880"/>
          <w:jc w:val="right"/>
        </w:trPr>
        <w:tc>
          <w:tcPr>
            <w:tcW w:w="969" w:type="dxa"/>
            <w:tcBorders>
              <w:top w:val="nil"/>
              <w:left w:val="nil"/>
              <w:bottom w:val="nil"/>
              <w:right w:val="nil"/>
            </w:tcBorders>
            <w:tcMar>
              <w:top w:w="128" w:type="dxa"/>
              <w:left w:w="43" w:type="dxa"/>
              <w:bottom w:w="43" w:type="dxa"/>
              <w:right w:w="123" w:type="dxa"/>
            </w:tcMar>
          </w:tcPr>
          <w:p w14:paraId="1FEB2B1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BE01C78"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7FB0F3A4" w14:textId="44AE9CB8" w:rsidR="000A2A2B" w:rsidRPr="007C3060" w:rsidRDefault="000A2A2B" w:rsidP="007C3060">
            <w:r w:rsidRPr="007C3060">
              <w:t xml:space="preserve">Stønad til jordbruks- og veksthusnæringen for ekstraordinære strømutgifter, </w:t>
            </w:r>
            <w:r w:rsidRPr="007C3060">
              <w:rPr>
                <w:rStyle w:val="kursiv"/>
              </w:rPr>
              <w:t>overslagsbevilgning,</w:t>
            </w:r>
            <w:r w:rsidR="00291F27">
              <w:t xml:space="preserve">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427FE8C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012844B" w14:textId="77777777" w:rsidR="000A2A2B" w:rsidRPr="007C3060" w:rsidRDefault="000A2A2B" w:rsidP="007C3060">
            <w:r w:rsidRPr="007C3060">
              <w:t>30 444 000</w:t>
            </w:r>
          </w:p>
        </w:tc>
      </w:tr>
      <w:tr w:rsidR="004B729E" w:rsidRPr="007C3060" w14:paraId="4A8F523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DBC2B3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6D2566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E48EE67" w14:textId="77777777" w:rsidR="000A2A2B" w:rsidRPr="007C3060" w:rsidRDefault="000A2A2B" w:rsidP="007C3060">
            <w:r w:rsidRPr="007C3060">
              <w:t>fra kr 59 544 000 til kr 29 100 000</w:t>
            </w:r>
          </w:p>
        </w:tc>
        <w:tc>
          <w:tcPr>
            <w:tcW w:w="1717" w:type="dxa"/>
            <w:tcBorders>
              <w:top w:val="nil"/>
              <w:left w:val="nil"/>
              <w:bottom w:val="nil"/>
              <w:right w:val="nil"/>
            </w:tcBorders>
            <w:tcMar>
              <w:top w:w="128" w:type="dxa"/>
              <w:left w:w="43" w:type="dxa"/>
              <w:bottom w:w="43" w:type="dxa"/>
              <w:right w:w="43" w:type="dxa"/>
            </w:tcMar>
            <w:vAlign w:val="bottom"/>
          </w:tcPr>
          <w:p w14:paraId="0EEEC87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98DA8BD" w14:textId="77777777" w:rsidR="000A2A2B" w:rsidRPr="007C3060" w:rsidRDefault="000A2A2B" w:rsidP="007C3060"/>
        </w:tc>
      </w:tr>
      <w:tr w:rsidR="004B729E" w:rsidRPr="007C3060" w14:paraId="7ABDC678"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775310D4"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48B97BF8" w14:textId="77777777" w:rsidR="000A2A2B" w:rsidRPr="007C3060" w:rsidRDefault="000A2A2B" w:rsidP="007C3060">
            <w:r w:rsidRPr="007C3060">
              <w:t>82</w:t>
            </w:r>
          </w:p>
        </w:tc>
        <w:tc>
          <w:tcPr>
            <w:tcW w:w="4819" w:type="dxa"/>
            <w:tcBorders>
              <w:top w:val="nil"/>
              <w:left w:val="nil"/>
              <w:bottom w:val="nil"/>
              <w:right w:val="nil"/>
            </w:tcBorders>
            <w:tcMar>
              <w:top w:w="128" w:type="dxa"/>
              <w:left w:w="43" w:type="dxa"/>
              <w:bottom w:w="43" w:type="dxa"/>
              <w:right w:w="43" w:type="dxa"/>
            </w:tcMar>
            <w:vAlign w:val="bottom"/>
          </w:tcPr>
          <w:p w14:paraId="0ED5A2C0" w14:textId="79BF2544" w:rsidR="000A2A2B" w:rsidRPr="007C3060" w:rsidRDefault="000A2A2B" w:rsidP="007C3060">
            <w:r w:rsidRPr="007C3060">
              <w:t xml:space="preserve">Tilleggsareal for vinterbeite for Fosen reinbeitedistrikt, </w:t>
            </w:r>
            <w:r w:rsidRPr="007C3060">
              <w:rPr>
                <w:rStyle w:val="kursiv"/>
              </w:rPr>
              <w:t xml:space="preserve">kan overføres, </w:t>
            </w:r>
            <w:r w:rsidRPr="007C3060">
              <w:t>bevilges med</w:t>
            </w:r>
          </w:p>
        </w:tc>
        <w:tc>
          <w:tcPr>
            <w:tcW w:w="1717" w:type="dxa"/>
            <w:tcBorders>
              <w:top w:val="nil"/>
              <w:left w:val="nil"/>
              <w:bottom w:val="nil"/>
              <w:right w:val="nil"/>
            </w:tcBorders>
            <w:tcMar>
              <w:top w:w="128" w:type="dxa"/>
              <w:left w:w="43" w:type="dxa"/>
              <w:bottom w:w="43" w:type="dxa"/>
              <w:right w:w="43" w:type="dxa"/>
            </w:tcMar>
            <w:vAlign w:val="bottom"/>
          </w:tcPr>
          <w:p w14:paraId="34D1686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A02524" w14:textId="77777777" w:rsidR="000A2A2B" w:rsidRPr="007C3060" w:rsidRDefault="000A2A2B" w:rsidP="007C3060">
            <w:r w:rsidRPr="007C3060">
              <w:t>100 000 000</w:t>
            </w:r>
          </w:p>
        </w:tc>
      </w:tr>
      <w:tr w:rsidR="004B729E" w:rsidRPr="007C3060" w14:paraId="2E65EC0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D73D51D" w14:textId="77777777" w:rsidR="000A2A2B" w:rsidRPr="007C3060" w:rsidRDefault="000A2A2B" w:rsidP="007C3060">
            <w:r w:rsidRPr="007C3060">
              <w:t>1148</w:t>
            </w:r>
          </w:p>
        </w:tc>
        <w:tc>
          <w:tcPr>
            <w:tcW w:w="992" w:type="dxa"/>
            <w:tcBorders>
              <w:top w:val="nil"/>
              <w:left w:val="nil"/>
              <w:bottom w:val="nil"/>
              <w:right w:val="nil"/>
            </w:tcBorders>
            <w:tcMar>
              <w:top w:w="128" w:type="dxa"/>
              <w:left w:w="43" w:type="dxa"/>
              <w:bottom w:w="43" w:type="dxa"/>
              <w:right w:w="123" w:type="dxa"/>
            </w:tcMar>
          </w:tcPr>
          <w:p w14:paraId="3FC3AC8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0BF7018" w14:textId="77777777" w:rsidR="000A2A2B" w:rsidRPr="007C3060" w:rsidRDefault="000A2A2B" w:rsidP="007C3060">
            <w:r w:rsidRPr="007C3060">
              <w:t>Naturskade – erstatninger:</w:t>
            </w:r>
          </w:p>
        </w:tc>
        <w:tc>
          <w:tcPr>
            <w:tcW w:w="1717" w:type="dxa"/>
            <w:tcBorders>
              <w:top w:val="nil"/>
              <w:left w:val="nil"/>
              <w:bottom w:val="nil"/>
              <w:right w:val="nil"/>
            </w:tcBorders>
            <w:tcMar>
              <w:top w:w="128" w:type="dxa"/>
              <w:left w:w="43" w:type="dxa"/>
              <w:bottom w:w="43" w:type="dxa"/>
              <w:right w:w="43" w:type="dxa"/>
            </w:tcMar>
            <w:vAlign w:val="bottom"/>
          </w:tcPr>
          <w:p w14:paraId="5B3C1E8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C6B609B" w14:textId="77777777" w:rsidR="000A2A2B" w:rsidRPr="007C3060" w:rsidRDefault="000A2A2B" w:rsidP="007C3060"/>
        </w:tc>
      </w:tr>
      <w:tr w:rsidR="004B729E" w:rsidRPr="007C3060" w14:paraId="3D23AF47"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71DB57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9C6A084"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0408DA73" w14:textId="3505AD85" w:rsidR="000A2A2B" w:rsidRPr="007C3060" w:rsidRDefault="000A2A2B" w:rsidP="007C3060">
            <w:r w:rsidRPr="007C3060">
              <w:t xml:space="preserve">Naturskade – erstatninger, </w:t>
            </w:r>
            <w:r w:rsidRPr="007C3060">
              <w:rPr>
                <w:rStyle w:val="kursiv"/>
              </w:rPr>
              <w:t>overslagsbevilgning</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62B10FD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DBAAA4A" w14:textId="77777777" w:rsidR="000A2A2B" w:rsidRPr="007C3060" w:rsidRDefault="000A2A2B" w:rsidP="007C3060">
            <w:r w:rsidRPr="007C3060">
              <w:t>17 000 000</w:t>
            </w:r>
          </w:p>
        </w:tc>
      </w:tr>
      <w:tr w:rsidR="004B729E" w:rsidRPr="007C3060" w14:paraId="4DE8453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D07FAD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62E6E2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E44D7E3" w14:textId="35DE9F0F" w:rsidR="000A2A2B" w:rsidRPr="007C3060" w:rsidRDefault="000A2A2B" w:rsidP="007C3060">
            <w:r w:rsidRPr="007C3060">
              <w:t>fra kr 136 300 000 til kr 153 300 000</w:t>
            </w:r>
          </w:p>
        </w:tc>
        <w:tc>
          <w:tcPr>
            <w:tcW w:w="1717" w:type="dxa"/>
            <w:tcBorders>
              <w:top w:val="nil"/>
              <w:left w:val="nil"/>
              <w:bottom w:val="nil"/>
              <w:right w:val="nil"/>
            </w:tcBorders>
            <w:tcMar>
              <w:top w:w="128" w:type="dxa"/>
              <w:left w:w="43" w:type="dxa"/>
              <w:bottom w:w="43" w:type="dxa"/>
              <w:right w:w="43" w:type="dxa"/>
            </w:tcMar>
            <w:vAlign w:val="bottom"/>
          </w:tcPr>
          <w:p w14:paraId="421AF3C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F064095" w14:textId="77777777" w:rsidR="000A2A2B" w:rsidRPr="007C3060" w:rsidRDefault="000A2A2B" w:rsidP="007C3060"/>
        </w:tc>
      </w:tr>
      <w:tr w:rsidR="004B729E" w:rsidRPr="007C3060" w14:paraId="569EF170" w14:textId="77777777" w:rsidTr="00414C2B">
        <w:trPr>
          <w:trHeight w:val="380"/>
          <w:jc w:val="right"/>
        </w:trPr>
        <w:tc>
          <w:tcPr>
            <w:tcW w:w="969" w:type="dxa"/>
            <w:tcBorders>
              <w:top w:val="single" w:sz="4" w:space="0" w:color="000000"/>
              <w:left w:val="nil"/>
              <w:bottom w:val="nil"/>
              <w:right w:val="nil"/>
            </w:tcBorders>
            <w:tcMar>
              <w:top w:w="128" w:type="dxa"/>
              <w:left w:w="43" w:type="dxa"/>
              <w:bottom w:w="43" w:type="dxa"/>
              <w:right w:w="123" w:type="dxa"/>
            </w:tcMar>
          </w:tcPr>
          <w:p w14:paraId="62B3DB1E" w14:textId="77777777" w:rsidR="000A2A2B" w:rsidRPr="007C3060" w:rsidRDefault="000A2A2B" w:rsidP="007C3060">
            <w:r w:rsidRPr="007C3060">
              <w:t>1149</w:t>
            </w:r>
          </w:p>
        </w:tc>
        <w:tc>
          <w:tcPr>
            <w:tcW w:w="992" w:type="dxa"/>
            <w:tcBorders>
              <w:top w:val="single" w:sz="4" w:space="0" w:color="000000"/>
              <w:left w:val="nil"/>
              <w:bottom w:val="nil"/>
              <w:right w:val="nil"/>
            </w:tcBorders>
            <w:tcMar>
              <w:top w:w="128" w:type="dxa"/>
              <w:left w:w="43" w:type="dxa"/>
              <w:bottom w:w="43" w:type="dxa"/>
              <w:right w:w="123" w:type="dxa"/>
            </w:tcMar>
          </w:tcPr>
          <w:p w14:paraId="28E9F813" w14:textId="77777777" w:rsidR="000A2A2B" w:rsidRPr="007C3060" w:rsidRDefault="000A2A2B" w:rsidP="007C3060"/>
        </w:tc>
        <w:tc>
          <w:tcPr>
            <w:tcW w:w="4819" w:type="dxa"/>
            <w:tcBorders>
              <w:top w:val="single" w:sz="4" w:space="0" w:color="000000"/>
              <w:left w:val="nil"/>
              <w:bottom w:val="nil"/>
              <w:right w:val="nil"/>
            </w:tcBorders>
            <w:tcMar>
              <w:top w:w="128" w:type="dxa"/>
              <w:left w:w="43" w:type="dxa"/>
              <w:bottom w:w="43" w:type="dxa"/>
              <w:right w:w="43" w:type="dxa"/>
            </w:tcMar>
            <w:vAlign w:val="bottom"/>
          </w:tcPr>
          <w:p w14:paraId="32DEB324" w14:textId="77777777" w:rsidR="000A2A2B" w:rsidRPr="007C3060" w:rsidRDefault="000A2A2B" w:rsidP="007C3060">
            <w:r w:rsidRPr="007C3060">
              <w:t>Verdiskapings- og utviklingstiltak i landbruket:</w:t>
            </w:r>
          </w:p>
        </w:tc>
        <w:tc>
          <w:tcPr>
            <w:tcW w:w="1717" w:type="dxa"/>
            <w:tcBorders>
              <w:top w:val="single" w:sz="4" w:space="0" w:color="000000"/>
              <w:left w:val="nil"/>
              <w:bottom w:val="nil"/>
              <w:right w:val="nil"/>
            </w:tcBorders>
            <w:tcMar>
              <w:top w:w="128" w:type="dxa"/>
              <w:left w:w="43" w:type="dxa"/>
              <w:bottom w:w="43" w:type="dxa"/>
              <w:right w:w="43" w:type="dxa"/>
            </w:tcMar>
            <w:vAlign w:val="bottom"/>
          </w:tcPr>
          <w:p w14:paraId="248B356F" w14:textId="77777777" w:rsidR="000A2A2B" w:rsidRPr="007C3060" w:rsidRDefault="000A2A2B" w:rsidP="007C3060"/>
        </w:tc>
        <w:tc>
          <w:tcPr>
            <w:tcW w:w="1969" w:type="dxa"/>
            <w:tcBorders>
              <w:top w:val="single" w:sz="4" w:space="0" w:color="000000"/>
              <w:left w:val="nil"/>
              <w:bottom w:val="nil"/>
              <w:right w:val="nil"/>
            </w:tcBorders>
            <w:tcMar>
              <w:top w:w="128" w:type="dxa"/>
              <w:left w:w="43" w:type="dxa"/>
              <w:bottom w:w="43" w:type="dxa"/>
              <w:right w:w="43" w:type="dxa"/>
            </w:tcMar>
            <w:vAlign w:val="bottom"/>
          </w:tcPr>
          <w:p w14:paraId="0B8DB680" w14:textId="77777777" w:rsidR="000A2A2B" w:rsidRPr="007C3060" w:rsidRDefault="000A2A2B" w:rsidP="007C3060"/>
        </w:tc>
      </w:tr>
      <w:tr w:rsidR="004B729E" w:rsidRPr="007C3060" w14:paraId="40806991"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AA1449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7D0DB61"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727CC425" w14:textId="3888D0D3" w:rsidR="000A2A2B" w:rsidRPr="007C3060" w:rsidRDefault="000A2A2B" w:rsidP="007C3060">
            <w:r w:rsidRPr="007C3060">
              <w:t xml:space="preserve">Tilskudd til verdiskapingstiltak i skogbruket,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377DAA3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AF7D3AC" w14:textId="77777777" w:rsidR="000A2A2B" w:rsidRPr="007C3060" w:rsidRDefault="000A2A2B" w:rsidP="007C3060">
            <w:r w:rsidRPr="007C3060">
              <w:t>750 000</w:t>
            </w:r>
          </w:p>
        </w:tc>
      </w:tr>
      <w:tr w:rsidR="004B729E" w:rsidRPr="007C3060" w14:paraId="1C7775F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95EB1B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0D4DC1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10BA4E2" w14:textId="77777777" w:rsidR="000A2A2B" w:rsidRPr="007C3060" w:rsidRDefault="000A2A2B" w:rsidP="007C3060">
            <w:r w:rsidRPr="007C3060">
              <w:t>fra kr 53 603 000 til kr 52 853 000</w:t>
            </w:r>
          </w:p>
        </w:tc>
        <w:tc>
          <w:tcPr>
            <w:tcW w:w="1717" w:type="dxa"/>
            <w:tcBorders>
              <w:top w:val="nil"/>
              <w:left w:val="nil"/>
              <w:bottom w:val="nil"/>
              <w:right w:val="nil"/>
            </w:tcBorders>
            <w:tcMar>
              <w:top w:w="128" w:type="dxa"/>
              <w:left w:w="43" w:type="dxa"/>
              <w:bottom w:w="43" w:type="dxa"/>
              <w:right w:w="43" w:type="dxa"/>
            </w:tcMar>
            <w:vAlign w:val="bottom"/>
          </w:tcPr>
          <w:p w14:paraId="16C1661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4766117" w14:textId="77777777" w:rsidR="000A2A2B" w:rsidRPr="007C3060" w:rsidRDefault="000A2A2B" w:rsidP="007C3060"/>
        </w:tc>
      </w:tr>
      <w:tr w:rsidR="004B729E" w:rsidRPr="007C3060" w14:paraId="221D266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DF45613" w14:textId="77777777" w:rsidR="000A2A2B" w:rsidRPr="007C3060" w:rsidRDefault="000A2A2B" w:rsidP="007C3060">
            <w:r w:rsidRPr="007C3060">
              <w:t>1300</w:t>
            </w:r>
          </w:p>
        </w:tc>
        <w:tc>
          <w:tcPr>
            <w:tcW w:w="992" w:type="dxa"/>
            <w:tcBorders>
              <w:top w:val="nil"/>
              <w:left w:val="nil"/>
              <w:bottom w:val="nil"/>
              <w:right w:val="nil"/>
            </w:tcBorders>
            <w:tcMar>
              <w:top w:w="128" w:type="dxa"/>
              <w:left w:w="43" w:type="dxa"/>
              <w:bottom w:w="43" w:type="dxa"/>
              <w:right w:w="123" w:type="dxa"/>
            </w:tcMar>
          </w:tcPr>
          <w:p w14:paraId="1196E13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44B7577" w14:textId="77777777" w:rsidR="000A2A2B" w:rsidRPr="007C3060" w:rsidRDefault="000A2A2B" w:rsidP="007C3060">
            <w:r w:rsidRPr="007C3060">
              <w:t>Samferdselsdepartementet:</w:t>
            </w:r>
          </w:p>
        </w:tc>
        <w:tc>
          <w:tcPr>
            <w:tcW w:w="1717" w:type="dxa"/>
            <w:tcBorders>
              <w:top w:val="nil"/>
              <w:left w:val="nil"/>
              <w:bottom w:val="nil"/>
              <w:right w:val="nil"/>
            </w:tcBorders>
            <w:tcMar>
              <w:top w:w="128" w:type="dxa"/>
              <w:left w:w="43" w:type="dxa"/>
              <w:bottom w:w="43" w:type="dxa"/>
              <w:right w:w="43" w:type="dxa"/>
            </w:tcMar>
            <w:vAlign w:val="bottom"/>
          </w:tcPr>
          <w:p w14:paraId="3DE638B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4198557" w14:textId="77777777" w:rsidR="000A2A2B" w:rsidRPr="007C3060" w:rsidRDefault="000A2A2B" w:rsidP="007C3060"/>
        </w:tc>
      </w:tr>
      <w:tr w:rsidR="004B729E" w:rsidRPr="007C3060" w14:paraId="58A4B44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358434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C198AD3"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7AEFBBE8"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5A08ABD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9B53AFD" w14:textId="77777777" w:rsidR="000A2A2B" w:rsidRPr="007C3060" w:rsidRDefault="000A2A2B" w:rsidP="007C3060">
            <w:r w:rsidRPr="007C3060">
              <w:t>5 800 000</w:t>
            </w:r>
          </w:p>
        </w:tc>
      </w:tr>
      <w:tr w:rsidR="004B729E" w:rsidRPr="007C3060" w14:paraId="651C62F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1A4123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E5C3B7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3635DB7" w14:textId="77777777" w:rsidR="000A2A2B" w:rsidRPr="007C3060" w:rsidRDefault="000A2A2B" w:rsidP="007C3060">
            <w:r w:rsidRPr="007C3060">
              <w:t>fra kr 189 200 000 til kr 195 000 000</w:t>
            </w:r>
          </w:p>
        </w:tc>
        <w:tc>
          <w:tcPr>
            <w:tcW w:w="1717" w:type="dxa"/>
            <w:tcBorders>
              <w:top w:val="nil"/>
              <w:left w:val="nil"/>
              <w:bottom w:val="nil"/>
              <w:right w:val="nil"/>
            </w:tcBorders>
            <w:tcMar>
              <w:top w:w="128" w:type="dxa"/>
              <w:left w:w="43" w:type="dxa"/>
              <w:bottom w:w="43" w:type="dxa"/>
              <w:right w:w="43" w:type="dxa"/>
            </w:tcMar>
            <w:vAlign w:val="bottom"/>
          </w:tcPr>
          <w:p w14:paraId="560F028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8E00494" w14:textId="77777777" w:rsidR="000A2A2B" w:rsidRPr="007C3060" w:rsidRDefault="000A2A2B" w:rsidP="007C3060"/>
        </w:tc>
      </w:tr>
      <w:tr w:rsidR="004B729E" w:rsidRPr="007C3060" w14:paraId="3DEAD74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D0D058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799F28B"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77FAAAEA" w14:textId="77777777" w:rsidR="000A2A2B" w:rsidRPr="007C3060" w:rsidRDefault="000A2A2B" w:rsidP="007C3060">
            <w:r w:rsidRPr="007C3060">
              <w:t>Spesielle 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667BCCD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66E3B6F" w14:textId="77777777" w:rsidR="000A2A2B" w:rsidRPr="007C3060" w:rsidRDefault="000A2A2B" w:rsidP="007C3060">
            <w:r w:rsidRPr="007C3060">
              <w:t>4 000 000</w:t>
            </w:r>
          </w:p>
        </w:tc>
      </w:tr>
      <w:tr w:rsidR="004B729E" w:rsidRPr="007C3060" w14:paraId="56A28E9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552BE3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25795D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51B9DAF" w14:textId="77777777" w:rsidR="000A2A2B" w:rsidRPr="007C3060" w:rsidRDefault="000A2A2B" w:rsidP="007C3060">
            <w:r w:rsidRPr="007C3060">
              <w:t>fra kr 12 400 000 til kr 8 400 000</w:t>
            </w:r>
          </w:p>
        </w:tc>
        <w:tc>
          <w:tcPr>
            <w:tcW w:w="1717" w:type="dxa"/>
            <w:tcBorders>
              <w:top w:val="nil"/>
              <w:left w:val="nil"/>
              <w:bottom w:val="nil"/>
              <w:right w:val="nil"/>
            </w:tcBorders>
            <w:tcMar>
              <w:top w:w="128" w:type="dxa"/>
              <w:left w:w="43" w:type="dxa"/>
              <w:bottom w:w="43" w:type="dxa"/>
              <w:right w:w="43" w:type="dxa"/>
            </w:tcMar>
            <w:vAlign w:val="bottom"/>
          </w:tcPr>
          <w:p w14:paraId="3F7D413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3B57C2" w14:textId="77777777" w:rsidR="000A2A2B" w:rsidRPr="007C3060" w:rsidRDefault="000A2A2B" w:rsidP="007C3060"/>
        </w:tc>
      </w:tr>
      <w:tr w:rsidR="004B729E" w:rsidRPr="007C3060" w14:paraId="2B95DE37"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544D38E" w14:textId="77777777" w:rsidR="000A2A2B" w:rsidRPr="007C3060" w:rsidRDefault="000A2A2B" w:rsidP="007C3060">
            <w:r w:rsidRPr="007C3060">
              <w:lastRenderedPageBreak/>
              <w:t>(NY)</w:t>
            </w:r>
          </w:p>
        </w:tc>
        <w:tc>
          <w:tcPr>
            <w:tcW w:w="992" w:type="dxa"/>
            <w:tcBorders>
              <w:top w:val="nil"/>
              <w:left w:val="nil"/>
              <w:bottom w:val="nil"/>
              <w:right w:val="nil"/>
            </w:tcBorders>
            <w:tcMar>
              <w:top w:w="128" w:type="dxa"/>
              <w:left w:w="43" w:type="dxa"/>
              <w:bottom w:w="43" w:type="dxa"/>
              <w:right w:w="123" w:type="dxa"/>
            </w:tcMar>
          </w:tcPr>
          <w:p w14:paraId="2C74B7DE"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14BE8BDA" w14:textId="73C00857" w:rsidR="000A2A2B" w:rsidRPr="007C3060" w:rsidRDefault="000A2A2B" w:rsidP="007C3060">
            <w:r w:rsidRPr="007C3060">
              <w:t>Utgifter ved kjøp av obligasjonsgjeld i Norske tog AS, bevilges med</w:t>
            </w:r>
          </w:p>
        </w:tc>
        <w:tc>
          <w:tcPr>
            <w:tcW w:w="1717" w:type="dxa"/>
            <w:tcBorders>
              <w:top w:val="nil"/>
              <w:left w:val="nil"/>
              <w:bottom w:val="nil"/>
              <w:right w:val="nil"/>
            </w:tcBorders>
            <w:tcMar>
              <w:top w:w="128" w:type="dxa"/>
              <w:left w:w="43" w:type="dxa"/>
              <w:bottom w:w="43" w:type="dxa"/>
              <w:right w:w="43" w:type="dxa"/>
            </w:tcMar>
            <w:vAlign w:val="bottom"/>
          </w:tcPr>
          <w:p w14:paraId="6D07F99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60010EA" w14:textId="77777777" w:rsidR="000A2A2B" w:rsidRPr="007C3060" w:rsidRDefault="000A2A2B" w:rsidP="007C3060">
            <w:r w:rsidRPr="007C3060">
              <w:t>7 100 000</w:t>
            </w:r>
          </w:p>
        </w:tc>
      </w:tr>
      <w:tr w:rsidR="004B729E" w:rsidRPr="007C3060" w14:paraId="0244C03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F7AAB77"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1010B2A6" w14:textId="77777777" w:rsidR="000A2A2B" w:rsidRPr="007C3060" w:rsidRDefault="000A2A2B" w:rsidP="007C3060">
            <w:r w:rsidRPr="007C3060">
              <w:t>90</w:t>
            </w:r>
          </w:p>
        </w:tc>
        <w:tc>
          <w:tcPr>
            <w:tcW w:w="4819" w:type="dxa"/>
            <w:tcBorders>
              <w:top w:val="nil"/>
              <w:left w:val="nil"/>
              <w:bottom w:val="nil"/>
              <w:right w:val="nil"/>
            </w:tcBorders>
            <w:tcMar>
              <w:top w:w="128" w:type="dxa"/>
              <w:left w:w="43" w:type="dxa"/>
              <w:bottom w:w="43" w:type="dxa"/>
              <w:right w:w="43" w:type="dxa"/>
            </w:tcMar>
            <w:vAlign w:val="bottom"/>
          </w:tcPr>
          <w:p w14:paraId="6BA2498B" w14:textId="77777777" w:rsidR="000A2A2B" w:rsidRPr="007C3060" w:rsidRDefault="000A2A2B" w:rsidP="007C3060">
            <w:r w:rsidRPr="007C3060">
              <w:t>Kjøp av obligasjonsgjeld i Norske tog AS, bevilges med</w:t>
            </w:r>
          </w:p>
        </w:tc>
        <w:tc>
          <w:tcPr>
            <w:tcW w:w="1717" w:type="dxa"/>
            <w:tcBorders>
              <w:top w:val="nil"/>
              <w:left w:val="nil"/>
              <w:bottom w:val="nil"/>
              <w:right w:val="nil"/>
            </w:tcBorders>
            <w:tcMar>
              <w:top w:w="128" w:type="dxa"/>
              <w:left w:w="43" w:type="dxa"/>
              <w:bottom w:w="43" w:type="dxa"/>
              <w:right w:w="43" w:type="dxa"/>
            </w:tcMar>
            <w:vAlign w:val="bottom"/>
          </w:tcPr>
          <w:p w14:paraId="4BEC3F0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13AA7D0" w14:textId="77777777" w:rsidR="000A2A2B" w:rsidRPr="007C3060" w:rsidRDefault="000A2A2B" w:rsidP="007C3060">
            <w:r w:rsidRPr="007C3060">
              <w:t>2 200 000 000</w:t>
            </w:r>
          </w:p>
        </w:tc>
      </w:tr>
      <w:tr w:rsidR="004B729E" w:rsidRPr="007C3060" w14:paraId="5400611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28EB5CE" w14:textId="77777777" w:rsidR="000A2A2B" w:rsidRPr="007C3060" w:rsidRDefault="000A2A2B" w:rsidP="007C3060">
            <w:r w:rsidRPr="007C3060">
              <w:t>1301</w:t>
            </w:r>
          </w:p>
        </w:tc>
        <w:tc>
          <w:tcPr>
            <w:tcW w:w="992" w:type="dxa"/>
            <w:tcBorders>
              <w:top w:val="nil"/>
              <w:left w:val="nil"/>
              <w:bottom w:val="nil"/>
              <w:right w:val="nil"/>
            </w:tcBorders>
            <w:tcMar>
              <w:top w:w="128" w:type="dxa"/>
              <w:left w:w="43" w:type="dxa"/>
              <w:bottom w:w="43" w:type="dxa"/>
              <w:right w:w="123" w:type="dxa"/>
            </w:tcMar>
          </w:tcPr>
          <w:p w14:paraId="57E15FA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C205765" w14:textId="77777777" w:rsidR="000A2A2B" w:rsidRPr="007C3060" w:rsidRDefault="000A2A2B" w:rsidP="007C3060">
            <w:r w:rsidRPr="007C3060">
              <w:t>Forskning og utvikling mv.:</w:t>
            </w:r>
          </w:p>
        </w:tc>
        <w:tc>
          <w:tcPr>
            <w:tcW w:w="1717" w:type="dxa"/>
            <w:tcBorders>
              <w:top w:val="nil"/>
              <w:left w:val="nil"/>
              <w:bottom w:val="nil"/>
              <w:right w:val="nil"/>
            </w:tcBorders>
            <w:tcMar>
              <w:top w:w="128" w:type="dxa"/>
              <w:left w:w="43" w:type="dxa"/>
              <w:bottom w:w="43" w:type="dxa"/>
              <w:right w:w="43" w:type="dxa"/>
            </w:tcMar>
            <w:vAlign w:val="bottom"/>
          </w:tcPr>
          <w:p w14:paraId="7FC5BEF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3B0A20" w14:textId="77777777" w:rsidR="000A2A2B" w:rsidRPr="007C3060" w:rsidRDefault="000A2A2B" w:rsidP="007C3060"/>
        </w:tc>
      </w:tr>
      <w:tr w:rsidR="004B729E" w:rsidRPr="007C3060" w14:paraId="59033B9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D9985A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5A9FAE9"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150BBE46" w14:textId="77777777" w:rsidR="000A2A2B" w:rsidRPr="007C3060" w:rsidRDefault="000A2A2B" w:rsidP="007C3060">
            <w:r w:rsidRPr="007C3060">
              <w:t xml:space="preserve">Norges forskningsråd,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E8F403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89EA3EA" w14:textId="77777777" w:rsidR="000A2A2B" w:rsidRPr="007C3060" w:rsidRDefault="000A2A2B" w:rsidP="007C3060">
            <w:r w:rsidRPr="007C3060">
              <w:t>12 300 000</w:t>
            </w:r>
          </w:p>
        </w:tc>
      </w:tr>
      <w:tr w:rsidR="004B729E" w:rsidRPr="007C3060" w14:paraId="518D2BD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C13270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5CC9FA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61532AB" w14:textId="77777777" w:rsidR="000A2A2B" w:rsidRPr="007C3060" w:rsidRDefault="000A2A2B" w:rsidP="007C3060">
            <w:r w:rsidRPr="007C3060">
              <w:t>fra kr 77 300 000 til kr 65 000 000</w:t>
            </w:r>
          </w:p>
        </w:tc>
        <w:tc>
          <w:tcPr>
            <w:tcW w:w="1717" w:type="dxa"/>
            <w:tcBorders>
              <w:top w:val="nil"/>
              <w:left w:val="nil"/>
              <w:bottom w:val="nil"/>
              <w:right w:val="nil"/>
            </w:tcBorders>
            <w:tcMar>
              <w:top w:w="128" w:type="dxa"/>
              <w:left w:w="43" w:type="dxa"/>
              <w:bottom w:w="43" w:type="dxa"/>
              <w:right w:w="43" w:type="dxa"/>
            </w:tcMar>
            <w:vAlign w:val="bottom"/>
          </w:tcPr>
          <w:p w14:paraId="764586A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44BF89B" w14:textId="77777777" w:rsidR="000A2A2B" w:rsidRPr="007C3060" w:rsidRDefault="000A2A2B" w:rsidP="007C3060"/>
        </w:tc>
      </w:tr>
      <w:tr w:rsidR="004B729E" w:rsidRPr="007C3060" w14:paraId="21E6375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FD7FFFF" w14:textId="77777777" w:rsidR="000A2A2B" w:rsidRPr="007C3060" w:rsidRDefault="000A2A2B" w:rsidP="007C3060">
            <w:r w:rsidRPr="007C3060">
              <w:t>1315</w:t>
            </w:r>
          </w:p>
        </w:tc>
        <w:tc>
          <w:tcPr>
            <w:tcW w:w="992" w:type="dxa"/>
            <w:tcBorders>
              <w:top w:val="nil"/>
              <w:left w:val="nil"/>
              <w:bottom w:val="nil"/>
              <w:right w:val="nil"/>
            </w:tcBorders>
            <w:tcMar>
              <w:top w:w="128" w:type="dxa"/>
              <w:left w:w="43" w:type="dxa"/>
              <w:bottom w:w="43" w:type="dxa"/>
              <w:right w:w="123" w:type="dxa"/>
            </w:tcMar>
          </w:tcPr>
          <w:p w14:paraId="0C849D2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68D8788" w14:textId="77777777" w:rsidR="000A2A2B" w:rsidRPr="007C3060" w:rsidRDefault="000A2A2B" w:rsidP="007C3060">
            <w:r w:rsidRPr="007C3060">
              <w:t>Tilskudd til Avinor AS:</w:t>
            </w:r>
          </w:p>
        </w:tc>
        <w:tc>
          <w:tcPr>
            <w:tcW w:w="1717" w:type="dxa"/>
            <w:tcBorders>
              <w:top w:val="nil"/>
              <w:left w:val="nil"/>
              <w:bottom w:val="nil"/>
              <w:right w:val="nil"/>
            </w:tcBorders>
            <w:tcMar>
              <w:top w:w="128" w:type="dxa"/>
              <w:left w:w="43" w:type="dxa"/>
              <w:bottom w:w="43" w:type="dxa"/>
              <w:right w:w="43" w:type="dxa"/>
            </w:tcMar>
            <w:vAlign w:val="bottom"/>
          </w:tcPr>
          <w:p w14:paraId="0E95464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FB4B090" w14:textId="77777777" w:rsidR="000A2A2B" w:rsidRPr="007C3060" w:rsidRDefault="000A2A2B" w:rsidP="007C3060"/>
        </w:tc>
      </w:tr>
      <w:tr w:rsidR="004B729E" w:rsidRPr="007C3060" w14:paraId="1A181A0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7E5D2D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6D60121"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3AF64154" w14:textId="77777777" w:rsidR="000A2A2B" w:rsidRPr="007C3060" w:rsidRDefault="000A2A2B" w:rsidP="007C3060">
            <w:r w:rsidRPr="007C3060">
              <w:t xml:space="preserve">Tilskudd til pålagte oppgaver,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1435146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35C6193" w14:textId="77777777" w:rsidR="000A2A2B" w:rsidRPr="007C3060" w:rsidRDefault="000A2A2B" w:rsidP="007C3060">
            <w:r w:rsidRPr="007C3060">
              <w:t>165 200 000</w:t>
            </w:r>
          </w:p>
        </w:tc>
      </w:tr>
      <w:tr w:rsidR="004B729E" w:rsidRPr="007C3060" w14:paraId="026C53A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9AC097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7F2E7A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CAEB775" w14:textId="77777777" w:rsidR="000A2A2B" w:rsidRPr="007C3060" w:rsidRDefault="000A2A2B" w:rsidP="007C3060">
            <w:r w:rsidRPr="007C3060">
              <w:t>fra kr 2 516 000 000 til kr 2 681 200 000</w:t>
            </w:r>
          </w:p>
        </w:tc>
        <w:tc>
          <w:tcPr>
            <w:tcW w:w="1717" w:type="dxa"/>
            <w:tcBorders>
              <w:top w:val="nil"/>
              <w:left w:val="nil"/>
              <w:bottom w:val="nil"/>
              <w:right w:val="nil"/>
            </w:tcBorders>
            <w:tcMar>
              <w:top w:w="128" w:type="dxa"/>
              <w:left w:w="43" w:type="dxa"/>
              <w:bottom w:w="43" w:type="dxa"/>
              <w:right w:w="43" w:type="dxa"/>
            </w:tcMar>
            <w:vAlign w:val="bottom"/>
          </w:tcPr>
          <w:p w14:paraId="65C0D4A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1AAD9A5" w14:textId="77777777" w:rsidR="000A2A2B" w:rsidRPr="007C3060" w:rsidRDefault="000A2A2B" w:rsidP="007C3060"/>
        </w:tc>
      </w:tr>
      <w:tr w:rsidR="004B729E" w:rsidRPr="007C3060" w14:paraId="2D1C467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0D1F6CD" w14:textId="77777777" w:rsidR="000A2A2B" w:rsidRPr="007C3060" w:rsidRDefault="000A2A2B" w:rsidP="007C3060">
            <w:r w:rsidRPr="007C3060">
              <w:t>1320</w:t>
            </w:r>
          </w:p>
        </w:tc>
        <w:tc>
          <w:tcPr>
            <w:tcW w:w="992" w:type="dxa"/>
            <w:tcBorders>
              <w:top w:val="nil"/>
              <w:left w:val="nil"/>
              <w:bottom w:val="nil"/>
              <w:right w:val="nil"/>
            </w:tcBorders>
            <w:tcMar>
              <w:top w:w="128" w:type="dxa"/>
              <w:left w:w="43" w:type="dxa"/>
              <w:bottom w:w="43" w:type="dxa"/>
              <w:right w:w="123" w:type="dxa"/>
            </w:tcMar>
          </w:tcPr>
          <w:p w14:paraId="61F5D4B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EEF4555" w14:textId="77777777" w:rsidR="000A2A2B" w:rsidRPr="007C3060" w:rsidRDefault="000A2A2B" w:rsidP="007C3060">
            <w:r w:rsidRPr="007C3060">
              <w:t>Statens vegvesen:</w:t>
            </w:r>
          </w:p>
        </w:tc>
        <w:tc>
          <w:tcPr>
            <w:tcW w:w="1717" w:type="dxa"/>
            <w:tcBorders>
              <w:top w:val="nil"/>
              <w:left w:val="nil"/>
              <w:bottom w:val="nil"/>
              <w:right w:val="nil"/>
            </w:tcBorders>
            <w:tcMar>
              <w:top w:w="128" w:type="dxa"/>
              <w:left w:w="43" w:type="dxa"/>
              <w:bottom w:w="43" w:type="dxa"/>
              <w:right w:w="43" w:type="dxa"/>
            </w:tcMar>
            <w:vAlign w:val="bottom"/>
          </w:tcPr>
          <w:p w14:paraId="2C438C3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6671EFB" w14:textId="77777777" w:rsidR="000A2A2B" w:rsidRPr="007C3060" w:rsidRDefault="000A2A2B" w:rsidP="007C3060"/>
        </w:tc>
      </w:tr>
      <w:tr w:rsidR="004B729E" w:rsidRPr="007C3060" w14:paraId="03EACF1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0C847C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E768380"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739F6FAF" w14:textId="77777777" w:rsidR="000A2A2B" w:rsidRPr="007C3060" w:rsidRDefault="000A2A2B" w:rsidP="007C3060">
            <w:r w:rsidRPr="007C3060">
              <w:t>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468C708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4C5D0E0" w14:textId="77777777" w:rsidR="000A2A2B" w:rsidRPr="007C3060" w:rsidRDefault="000A2A2B" w:rsidP="007C3060">
            <w:r w:rsidRPr="007C3060">
              <w:t>120 000 000</w:t>
            </w:r>
          </w:p>
        </w:tc>
      </w:tr>
      <w:tr w:rsidR="004B729E" w:rsidRPr="007C3060" w14:paraId="22B725A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2172AD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DD2C47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9C79440" w14:textId="77777777" w:rsidR="000A2A2B" w:rsidRPr="007C3060" w:rsidRDefault="000A2A2B" w:rsidP="007C3060">
            <w:r w:rsidRPr="007C3060">
              <w:t>fra kr 4 915 000 000 til kr 4 795 000 000</w:t>
            </w:r>
          </w:p>
        </w:tc>
        <w:tc>
          <w:tcPr>
            <w:tcW w:w="1717" w:type="dxa"/>
            <w:tcBorders>
              <w:top w:val="nil"/>
              <w:left w:val="nil"/>
              <w:bottom w:val="nil"/>
              <w:right w:val="nil"/>
            </w:tcBorders>
            <w:tcMar>
              <w:top w:w="128" w:type="dxa"/>
              <w:left w:w="43" w:type="dxa"/>
              <w:bottom w:w="43" w:type="dxa"/>
              <w:right w:w="43" w:type="dxa"/>
            </w:tcMar>
            <w:vAlign w:val="bottom"/>
          </w:tcPr>
          <w:p w14:paraId="488F034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17CFB08" w14:textId="77777777" w:rsidR="000A2A2B" w:rsidRPr="007C3060" w:rsidRDefault="000A2A2B" w:rsidP="007C3060"/>
        </w:tc>
      </w:tr>
      <w:tr w:rsidR="004B729E" w:rsidRPr="007C3060" w14:paraId="5994A055"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72BE63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A2B7318"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0FEB3285" w14:textId="290CDBB5" w:rsidR="000A2A2B" w:rsidRPr="007C3060" w:rsidRDefault="000A2A2B" w:rsidP="007C3060">
            <w:r w:rsidRPr="007C3060">
              <w:t xml:space="preserve">Drift og vedlikehold av riksveier, </w:t>
            </w:r>
            <w:r w:rsidRPr="007C3060">
              <w:rPr>
                <w:rStyle w:val="kursiv"/>
              </w:rPr>
              <w:t xml:space="preserve">kan overføres, kan nyttes under post 29 og post 30, </w:t>
            </w:r>
            <w:r w:rsidRPr="007C3060">
              <w:t>forhøyes med</w:t>
            </w:r>
          </w:p>
        </w:tc>
        <w:tc>
          <w:tcPr>
            <w:tcW w:w="1717" w:type="dxa"/>
            <w:tcBorders>
              <w:top w:val="nil"/>
              <w:left w:val="nil"/>
              <w:bottom w:val="nil"/>
              <w:right w:val="nil"/>
            </w:tcBorders>
            <w:tcMar>
              <w:top w:w="128" w:type="dxa"/>
              <w:left w:w="43" w:type="dxa"/>
              <w:bottom w:w="43" w:type="dxa"/>
              <w:right w:w="43" w:type="dxa"/>
            </w:tcMar>
            <w:vAlign w:val="bottom"/>
          </w:tcPr>
          <w:p w14:paraId="4CFDC0C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DD96F6E" w14:textId="77777777" w:rsidR="000A2A2B" w:rsidRPr="007C3060" w:rsidRDefault="000A2A2B" w:rsidP="007C3060">
            <w:r w:rsidRPr="007C3060">
              <w:t>306 900 000</w:t>
            </w:r>
          </w:p>
        </w:tc>
      </w:tr>
      <w:tr w:rsidR="004B729E" w:rsidRPr="007C3060" w14:paraId="6ED659D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5D7C0C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10AB13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23C48B2" w14:textId="77777777" w:rsidR="000A2A2B" w:rsidRPr="007C3060" w:rsidRDefault="000A2A2B" w:rsidP="007C3060">
            <w:r w:rsidRPr="007C3060">
              <w:t>fra kr 10 791 100 000 til kr 11 098 000 000</w:t>
            </w:r>
          </w:p>
        </w:tc>
        <w:tc>
          <w:tcPr>
            <w:tcW w:w="1717" w:type="dxa"/>
            <w:tcBorders>
              <w:top w:val="nil"/>
              <w:left w:val="nil"/>
              <w:bottom w:val="nil"/>
              <w:right w:val="nil"/>
            </w:tcBorders>
            <w:tcMar>
              <w:top w:w="128" w:type="dxa"/>
              <w:left w:w="43" w:type="dxa"/>
              <w:bottom w:w="43" w:type="dxa"/>
              <w:right w:w="43" w:type="dxa"/>
            </w:tcMar>
            <w:vAlign w:val="bottom"/>
          </w:tcPr>
          <w:p w14:paraId="5DBD885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B253E5D" w14:textId="77777777" w:rsidR="000A2A2B" w:rsidRPr="007C3060" w:rsidRDefault="000A2A2B" w:rsidP="007C3060"/>
        </w:tc>
      </w:tr>
      <w:tr w:rsidR="004B729E" w:rsidRPr="007C3060" w14:paraId="6DDA929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0406D3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2AA72C8" w14:textId="77777777" w:rsidR="000A2A2B" w:rsidRPr="007C3060" w:rsidRDefault="000A2A2B" w:rsidP="007C3060">
            <w:r w:rsidRPr="007C3060">
              <w:t>28</w:t>
            </w:r>
          </w:p>
        </w:tc>
        <w:tc>
          <w:tcPr>
            <w:tcW w:w="4819" w:type="dxa"/>
            <w:tcBorders>
              <w:top w:val="nil"/>
              <w:left w:val="nil"/>
              <w:bottom w:val="nil"/>
              <w:right w:val="nil"/>
            </w:tcBorders>
            <w:tcMar>
              <w:top w:w="128" w:type="dxa"/>
              <w:left w:w="43" w:type="dxa"/>
              <w:bottom w:w="43" w:type="dxa"/>
              <w:right w:w="43" w:type="dxa"/>
            </w:tcMar>
            <w:vAlign w:val="bottom"/>
          </w:tcPr>
          <w:p w14:paraId="5002250B" w14:textId="77777777" w:rsidR="000A2A2B" w:rsidRPr="007C3060" w:rsidRDefault="000A2A2B" w:rsidP="007C3060">
            <w:r w:rsidRPr="007C3060">
              <w:t xml:space="preserve">Trafikant- og kjøretøytilsyn,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D53EE4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7E957D0" w14:textId="77777777" w:rsidR="000A2A2B" w:rsidRPr="007C3060" w:rsidRDefault="000A2A2B" w:rsidP="007C3060">
            <w:r w:rsidRPr="007C3060">
              <w:t>70 000 000</w:t>
            </w:r>
          </w:p>
        </w:tc>
      </w:tr>
      <w:tr w:rsidR="004B729E" w:rsidRPr="007C3060" w14:paraId="79F08E9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53778E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C256D0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2D3F01E" w14:textId="77777777" w:rsidR="000A2A2B" w:rsidRPr="007C3060" w:rsidRDefault="000A2A2B" w:rsidP="007C3060">
            <w:r w:rsidRPr="007C3060">
              <w:t>fra kr 2 496 900 000 til kr 2 426 900 000</w:t>
            </w:r>
          </w:p>
        </w:tc>
        <w:tc>
          <w:tcPr>
            <w:tcW w:w="1717" w:type="dxa"/>
            <w:tcBorders>
              <w:top w:val="nil"/>
              <w:left w:val="nil"/>
              <w:bottom w:val="nil"/>
              <w:right w:val="nil"/>
            </w:tcBorders>
            <w:tcMar>
              <w:top w:w="128" w:type="dxa"/>
              <w:left w:w="43" w:type="dxa"/>
              <w:bottom w:w="43" w:type="dxa"/>
              <w:right w:w="43" w:type="dxa"/>
            </w:tcMar>
            <w:vAlign w:val="bottom"/>
          </w:tcPr>
          <w:p w14:paraId="47AF9B9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6F1EBD1" w14:textId="77777777" w:rsidR="000A2A2B" w:rsidRPr="007C3060" w:rsidRDefault="000A2A2B" w:rsidP="007C3060"/>
        </w:tc>
      </w:tr>
      <w:tr w:rsidR="004B729E" w:rsidRPr="007C3060" w14:paraId="58A6F4A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C9AEC4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E674D42"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5C0BEBA3" w14:textId="77777777" w:rsidR="000A2A2B" w:rsidRPr="007C3060" w:rsidRDefault="000A2A2B" w:rsidP="007C3060">
            <w:r w:rsidRPr="007C3060">
              <w:t xml:space="preserve">Tilskudd til riksveiferjedriften,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505BC66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BD800E3" w14:textId="77777777" w:rsidR="000A2A2B" w:rsidRPr="007C3060" w:rsidRDefault="000A2A2B" w:rsidP="007C3060">
            <w:r w:rsidRPr="007C3060">
              <w:t>60 000 000</w:t>
            </w:r>
          </w:p>
        </w:tc>
      </w:tr>
      <w:tr w:rsidR="004B729E" w:rsidRPr="007C3060" w14:paraId="1DD20EC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803C18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324D16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6824971" w14:textId="77777777" w:rsidR="000A2A2B" w:rsidRPr="007C3060" w:rsidRDefault="000A2A2B" w:rsidP="007C3060">
            <w:r w:rsidRPr="007C3060">
              <w:t>fra kr 3 284 100 000 til kr 3 344 100 000</w:t>
            </w:r>
          </w:p>
        </w:tc>
        <w:tc>
          <w:tcPr>
            <w:tcW w:w="1717" w:type="dxa"/>
            <w:tcBorders>
              <w:top w:val="nil"/>
              <w:left w:val="nil"/>
              <w:bottom w:val="nil"/>
              <w:right w:val="nil"/>
            </w:tcBorders>
            <w:tcMar>
              <w:top w:w="128" w:type="dxa"/>
              <w:left w:w="43" w:type="dxa"/>
              <w:bottom w:w="43" w:type="dxa"/>
              <w:right w:w="43" w:type="dxa"/>
            </w:tcMar>
            <w:vAlign w:val="bottom"/>
          </w:tcPr>
          <w:p w14:paraId="1F48328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FC7C4B5" w14:textId="77777777" w:rsidR="000A2A2B" w:rsidRPr="007C3060" w:rsidRDefault="000A2A2B" w:rsidP="007C3060"/>
        </w:tc>
      </w:tr>
      <w:tr w:rsidR="004B729E" w:rsidRPr="007C3060" w14:paraId="100C7C9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E8E870C" w14:textId="77777777" w:rsidR="000A2A2B" w:rsidRPr="007C3060" w:rsidRDefault="000A2A2B" w:rsidP="007C3060">
            <w:r w:rsidRPr="007C3060">
              <w:t>1332</w:t>
            </w:r>
          </w:p>
        </w:tc>
        <w:tc>
          <w:tcPr>
            <w:tcW w:w="992" w:type="dxa"/>
            <w:tcBorders>
              <w:top w:val="nil"/>
              <w:left w:val="nil"/>
              <w:bottom w:val="nil"/>
              <w:right w:val="nil"/>
            </w:tcBorders>
            <w:tcMar>
              <w:top w:w="128" w:type="dxa"/>
              <w:left w:w="43" w:type="dxa"/>
              <w:bottom w:w="43" w:type="dxa"/>
              <w:right w:w="123" w:type="dxa"/>
            </w:tcMar>
          </w:tcPr>
          <w:p w14:paraId="5CDF902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7AA1C3C" w14:textId="77777777" w:rsidR="000A2A2B" w:rsidRPr="007C3060" w:rsidRDefault="000A2A2B" w:rsidP="007C3060">
            <w:r w:rsidRPr="007C3060">
              <w:t>Transport i byområder mv.:</w:t>
            </w:r>
          </w:p>
        </w:tc>
        <w:tc>
          <w:tcPr>
            <w:tcW w:w="1717" w:type="dxa"/>
            <w:tcBorders>
              <w:top w:val="nil"/>
              <w:left w:val="nil"/>
              <w:bottom w:val="nil"/>
              <w:right w:val="nil"/>
            </w:tcBorders>
            <w:tcMar>
              <w:top w:w="128" w:type="dxa"/>
              <w:left w:w="43" w:type="dxa"/>
              <w:bottom w:w="43" w:type="dxa"/>
              <w:right w:w="43" w:type="dxa"/>
            </w:tcMar>
            <w:vAlign w:val="bottom"/>
          </w:tcPr>
          <w:p w14:paraId="2409EB2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B8E602E" w14:textId="77777777" w:rsidR="000A2A2B" w:rsidRPr="007C3060" w:rsidRDefault="000A2A2B" w:rsidP="007C3060"/>
        </w:tc>
      </w:tr>
      <w:tr w:rsidR="004B729E" w:rsidRPr="007C3060" w14:paraId="6D6FCDC9"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A15337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A64C21D" w14:textId="77777777" w:rsidR="000A2A2B" w:rsidRPr="007C3060" w:rsidRDefault="000A2A2B" w:rsidP="007C3060">
            <w:r w:rsidRPr="007C3060">
              <w:t>63</w:t>
            </w:r>
          </w:p>
        </w:tc>
        <w:tc>
          <w:tcPr>
            <w:tcW w:w="4819" w:type="dxa"/>
            <w:tcBorders>
              <w:top w:val="nil"/>
              <w:left w:val="nil"/>
              <w:bottom w:val="nil"/>
              <w:right w:val="nil"/>
            </w:tcBorders>
            <w:tcMar>
              <w:top w:w="128" w:type="dxa"/>
              <w:left w:w="43" w:type="dxa"/>
              <w:bottom w:w="43" w:type="dxa"/>
              <w:right w:w="43" w:type="dxa"/>
            </w:tcMar>
            <w:vAlign w:val="bottom"/>
          </w:tcPr>
          <w:p w14:paraId="7677907F" w14:textId="6D556A05" w:rsidR="000A2A2B" w:rsidRPr="007C3060" w:rsidRDefault="000A2A2B" w:rsidP="007C3060">
            <w:r w:rsidRPr="007C3060">
              <w:t xml:space="preserve">Særskilt tilskudd til store kollektivprosjekter,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63EF60A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15BE512" w14:textId="77777777" w:rsidR="000A2A2B" w:rsidRPr="007C3060" w:rsidRDefault="000A2A2B" w:rsidP="007C3060">
            <w:r w:rsidRPr="007C3060">
              <w:t>330 000 000</w:t>
            </w:r>
          </w:p>
        </w:tc>
      </w:tr>
      <w:tr w:rsidR="004B729E" w:rsidRPr="007C3060" w14:paraId="3A7A65E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53687B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80230E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71B06A1" w14:textId="77777777" w:rsidR="000A2A2B" w:rsidRPr="007C3060" w:rsidRDefault="000A2A2B" w:rsidP="007C3060">
            <w:r w:rsidRPr="007C3060">
              <w:t>fra kr 2 365 000 000 til kr 2 035 000 000</w:t>
            </w:r>
          </w:p>
        </w:tc>
        <w:tc>
          <w:tcPr>
            <w:tcW w:w="1717" w:type="dxa"/>
            <w:tcBorders>
              <w:top w:val="nil"/>
              <w:left w:val="nil"/>
              <w:bottom w:val="nil"/>
              <w:right w:val="nil"/>
            </w:tcBorders>
            <w:tcMar>
              <w:top w:w="128" w:type="dxa"/>
              <w:left w:w="43" w:type="dxa"/>
              <w:bottom w:w="43" w:type="dxa"/>
              <w:right w:w="43" w:type="dxa"/>
            </w:tcMar>
            <w:vAlign w:val="bottom"/>
          </w:tcPr>
          <w:p w14:paraId="02DA19D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41F2927" w14:textId="77777777" w:rsidR="000A2A2B" w:rsidRPr="007C3060" w:rsidRDefault="000A2A2B" w:rsidP="007C3060"/>
        </w:tc>
      </w:tr>
      <w:tr w:rsidR="004B729E" w:rsidRPr="007C3060" w14:paraId="2588E56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4A5451B" w14:textId="77777777" w:rsidR="000A2A2B" w:rsidRPr="007C3060" w:rsidRDefault="000A2A2B" w:rsidP="007C3060">
            <w:r w:rsidRPr="007C3060">
              <w:t>1352</w:t>
            </w:r>
          </w:p>
        </w:tc>
        <w:tc>
          <w:tcPr>
            <w:tcW w:w="992" w:type="dxa"/>
            <w:tcBorders>
              <w:top w:val="nil"/>
              <w:left w:val="nil"/>
              <w:bottom w:val="nil"/>
              <w:right w:val="nil"/>
            </w:tcBorders>
            <w:tcMar>
              <w:top w:w="128" w:type="dxa"/>
              <w:left w:w="43" w:type="dxa"/>
              <w:bottom w:w="43" w:type="dxa"/>
              <w:right w:w="123" w:type="dxa"/>
            </w:tcMar>
          </w:tcPr>
          <w:p w14:paraId="5358C55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F97A514" w14:textId="77777777" w:rsidR="000A2A2B" w:rsidRPr="007C3060" w:rsidRDefault="000A2A2B" w:rsidP="007C3060">
            <w:r w:rsidRPr="007C3060">
              <w:t>Jernbanedirektoratet:</w:t>
            </w:r>
          </w:p>
        </w:tc>
        <w:tc>
          <w:tcPr>
            <w:tcW w:w="1717" w:type="dxa"/>
            <w:tcBorders>
              <w:top w:val="nil"/>
              <w:left w:val="nil"/>
              <w:bottom w:val="nil"/>
              <w:right w:val="nil"/>
            </w:tcBorders>
            <w:tcMar>
              <w:top w:w="128" w:type="dxa"/>
              <w:left w:w="43" w:type="dxa"/>
              <w:bottom w:w="43" w:type="dxa"/>
              <w:right w:w="43" w:type="dxa"/>
            </w:tcMar>
            <w:vAlign w:val="bottom"/>
          </w:tcPr>
          <w:p w14:paraId="47A4972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047976D" w14:textId="77777777" w:rsidR="000A2A2B" w:rsidRPr="007C3060" w:rsidRDefault="000A2A2B" w:rsidP="007C3060"/>
        </w:tc>
      </w:tr>
      <w:tr w:rsidR="004B729E" w:rsidRPr="007C3060" w14:paraId="0826E896"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0FD63C4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8D218D3"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1F0F2BA0" w14:textId="77777777" w:rsidR="000A2A2B" w:rsidRPr="007C3060" w:rsidRDefault="000A2A2B" w:rsidP="007C3060">
            <w:r w:rsidRPr="007C3060">
              <w:t xml:space="preserve">Kjøp av persontransport med tog, </w:t>
            </w:r>
            <w:r w:rsidRPr="007C3060">
              <w:rPr>
                <w:rStyle w:val="kursiv"/>
              </w:rPr>
              <w:t>kan overføres</w:t>
            </w:r>
            <w:r w:rsidRPr="007C3060">
              <w:t>,</w:t>
            </w:r>
          </w:p>
          <w:p w14:paraId="24094BDA" w14:textId="77777777" w:rsidR="000A2A2B" w:rsidRPr="007C3060" w:rsidRDefault="000A2A2B" w:rsidP="007C3060">
            <w:r w:rsidRPr="007C3060">
              <w:rPr>
                <w:rStyle w:val="kursiv"/>
              </w:rPr>
              <w:t xml:space="preserve">kan nyttes under post 71,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13AFC2E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8D540E1" w14:textId="77777777" w:rsidR="000A2A2B" w:rsidRPr="007C3060" w:rsidRDefault="000A2A2B" w:rsidP="007C3060">
            <w:r w:rsidRPr="007C3060">
              <w:t>314 500 000</w:t>
            </w:r>
          </w:p>
        </w:tc>
      </w:tr>
      <w:tr w:rsidR="004B729E" w:rsidRPr="007C3060" w14:paraId="6DB1EED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7B564B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4E65A8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42B21BD" w14:textId="77777777" w:rsidR="000A2A2B" w:rsidRPr="007C3060" w:rsidRDefault="000A2A2B" w:rsidP="007C3060">
            <w:r w:rsidRPr="007C3060">
              <w:t>fra kr 5 982 100 000 til kr 5 667 600 000</w:t>
            </w:r>
          </w:p>
        </w:tc>
        <w:tc>
          <w:tcPr>
            <w:tcW w:w="1717" w:type="dxa"/>
            <w:tcBorders>
              <w:top w:val="nil"/>
              <w:left w:val="nil"/>
              <w:bottom w:val="nil"/>
              <w:right w:val="nil"/>
            </w:tcBorders>
            <w:tcMar>
              <w:top w:w="128" w:type="dxa"/>
              <w:left w:w="43" w:type="dxa"/>
              <w:bottom w:w="43" w:type="dxa"/>
              <w:right w:w="43" w:type="dxa"/>
            </w:tcMar>
            <w:vAlign w:val="bottom"/>
          </w:tcPr>
          <w:p w14:paraId="35BA3AC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46EE773" w14:textId="77777777" w:rsidR="000A2A2B" w:rsidRPr="007C3060" w:rsidRDefault="000A2A2B" w:rsidP="007C3060"/>
        </w:tc>
      </w:tr>
      <w:tr w:rsidR="004B729E" w:rsidRPr="007C3060" w14:paraId="51366A70"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E253DB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5BDA6EA"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67B94E80" w14:textId="00D135A9" w:rsidR="000A2A2B" w:rsidRPr="007C3060" w:rsidRDefault="000A2A2B" w:rsidP="007C3060">
            <w:r w:rsidRPr="007C3060">
              <w:t>Kjøp av infrastrukturtjenester – drift og vedlikehold,</w:t>
            </w:r>
            <w:r w:rsidRPr="007C3060">
              <w:rPr>
                <w:rStyle w:val="kursiv"/>
              </w:rPr>
              <w:t xml:space="preserve"> kan nyttes under post 70, </w:t>
            </w:r>
            <w:r w:rsidRPr="007C3060">
              <w:t xml:space="preserve">forhøyes med </w:t>
            </w:r>
          </w:p>
        </w:tc>
        <w:tc>
          <w:tcPr>
            <w:tcW w:w="1717" w:type="dxa"/>
            <w:tcBorders>
              <w:top w:val="nil"/>
              <w:left w:val="nil"/>
              <w:bottom w:val="nil"/>
              <w:right w:val="nil"/>
            </w:tcBorders>
            <w:tcMar>
              <w:top w:w="128" w:type="dxa"/>
              <w:left w:w="43" w:type="dxa"/>
              <w:bottom w:w="43" w:type="dxa"/>
              <w:right w:w="43" w:type="dxa"/>
            </w:tcMar>
            <w:vAlign w:val="bottom"/>
          </w:tcPr>
          <w:p w14:paraId="4B05692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99EEEA8" w14:textId="77777777" w:rsidR="000A2A2B" w:rsidRPr="007C3060" w:rsidRDefault="000A2A2B" w:rsidP="007C3060">
            <w:r w:rsidRPr="007C3060">
              <w:t>300 000 000</w:t>
            </w:r>
          </w:p>
        </w:tc>
      </w:tr>
      <w:tr w:rsidR="004B729E" w:rsidRPr="007C3060" w14:paraId="2D84C40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F9E288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18479D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243D214" w14:textId="77777777" w:rsidR="000A2A2B" w:rsidRPr="007C3060" w:rsidRDefault="000A2A2B" w:rsidP="007C3060">
            <w:r w:rsidRPr="007C3060">
              <w:t>fra kr 6 596 700 000 til kr 6 896 700 000</w:t>
            </w:r>
          </w:p>
        </w:tc>
        <w:tc>
          <w:tcPr>
            <w:tcW w:w="1717" w:type="dxa"/>
            <w:tcBorders>
              <w:top w:val="nil"/>
              <w:left w:val="nil"/>
              <w:bottom w:val="nil"/>
              <w:right w:val="nil"/>
            </w:tcBorders>
            <w:tcMar>
              <w:top w:w="128" w:type="dxa"/>
              <w:left w:w="43" w:type="dxa"/>
              <w:bottom w:w="43" w:type="dxa"/>
              <w:right w:w="43" w:type="dxa"/>
            </w:tcMar>
            <w:vAlign w:val="bottom"/>
          </w:tcPr>
          <w:p w14:paraId="6EDF04F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CCF0877" w14:textId="77777777" w:rsidR="000A2A2B" w:rsidRPr="007C3060" w:rsidRDefault="000A2A2B" w:rsidP="007C3060"/>
        </w:tc>
      </w:tr>
      <w:tr w:rsidR="004B729E" w:rsidRPr="007C3060" w14:paraId="5C2D7279"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96111B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BF08246"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54C2A280" w14:textId="750440F9" w:rsidR="000A2A2B" w:rsidRPr="007C3060" w:rsidRDefault="000A2A2B" w:rsidP="007C3060">
            <w:r w:rsidRPr="007C3060">
              <w:t>Kjøp av infrastrukturtjenester – fornying og mindre investeringer, forhøyes med</w:t>
            </w:r>
          </w:p>
        </w:tc>
        <w:tc>
          <w:tcPr>
            <w:tcW w:w="1717" w:type="dxa"/>
            <w:tcBorders>
              <w:top w:val="nil"/>
              <w:left w:val="nil"/>
              <w:bottom w:val="nil"/>
              <w:right w:val="nil"/>
            </w:tcBorders>
            <w:tcMar>
              <w:top w:w="128" w:type="dxa"/>
              <w:left w:w="43" w:type="dxa"/>
              <w:bottom w:w="43" w:type="dxa"/>
              <w:right w:w="43" w:type="dxa"/>
            </w:tcMar>
            <w:vAlign w:val="bottom"/>
          </w:tcPr>
          <w:p w14:paraId="49E0F81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6998FC6" w14:textId="77777777" w:rsidR="000A2A2B" w:rsidRPr="007C3060" w:rsidRDefault="000A2A2B" w:rsidP="007C3060">
            <w:r w:rsidRPr="007C3060">
              <w:t>66 800 000</w:t>
            </w:r>
          </w:p>
        </w:tc>
      </w:tr>
      <w:tr w:rsidR="004B729E" w:rsidRPr="007C3060" w14:paraId="75EDD6A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68D7A1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C9211B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ABF2E6A" w14:textId="77777777" w:rsidR="000A2A2B" w:rsidRPr="007C3060" w:rsidRDefault="000A2A2B" w:rsidP="007C3060">
            <w:r w:rsidRPr="007C3060">
              <w:t>fra kr 7 445 000 000 til kr 7 511 800 000</w:t>
            </w:r>
          </w:p>
        </w:tc>
        <w:tc>
          <w:tcPr>
            <w:tcW w:w="1717" w:type="dxa"/>
            <w:tcBorders>
              <w:top w:val="nil"/>
              <w:left w:val="nil"/>
              <w:bottom w:val="nil"/>
              <w:right w:val="nil"/>
            </w:tcBorders>
            <w:tcMar>
              <w:top w:w="128" w:type="dxa"/>
              <w:left w:w="43" w:type="dxa"/>
              <w:bottom w:w="43" w:type="dxa"/>
              <w:right w:w="43" w:type="dxa"/>
            </w:tcMar>
            <w:vAlign w:val="bottom"/>
          </w:tcPr>
          <w:p w14:paraId="73647F8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17D7B3D" w14:textId="77777777" w:rsidR="000A2A2B" w:rsidRPr="007C3060" w:rsidRDefault="000A2A2B" w:rsidP="007C3060"/>
        </w:tc>
      </w:tr>
      <w:tr w:rsidR="004B729E" w:rsidRPr="007C3060" w14:paraId="2A3E484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050E2D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A1B3D06" w14:textId="77777777" w:rsidR="000A2A2B" w:rsidRPr="007C3060" w:rsidRDefault="000A2A2B" w:rsidP="007C3060">
            <w:r w:rsidRPr="007C3060">
              <w:t>74</w:t>
            </w:r>
          </w:p>
        </w:tc>
        <w:tc>
          <w:tcPr>
            <w:tcW w:w="4819" w:type="dxa"/>
            <w:tcBorders>
              <w:top w:val="nil"/>
              <w:left w:val="nil"/>
              <w:bottom w:val="nil"/>
              <w:right w:val="nil"/>
            </w:tcBorders>
            <w:tcMar>
              <w:top w:w="128" w:type="dxa"/>
              <w:left w:w="43" w:type="dxa"/>
              <w:bottom w:w="43" w:type="dxa"/>
              <w:right w:w="43" w:type="dxa"/>
            </w:tcMar>
            <w:vAlign w:val="bottom"/>
          </w:tcPr>
          <w:p w14:paraId="0201171B" w14:textId="77777777" w:rsidR="000A2A2B" w:rsidRPr="007C3060" w:rsidRDefault="000A2A2B" w:rsidP="007C3060">
            <w:r w:rsidRPr="007C3060">
              <w:t xml:space="preserve">Tilskudd til togmateriell mv.,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EE0071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37D554C" w14:textId="77777777" w:rsidR="000A2A2B" w:rsidRPr="007C3060" w:rsidRDefault="000A2A2B" w:rsidP="007C3060">
            <w:r w:rsidRPr="007C3060">
              <w:t>110 500 000</w:t>
            </w:r>
          </w:p>
        </w:tc>
      </w:tr>
      <w:tr w:rsidR="004B729E" w:rsidRPr="007C3060" w14:paraId="4A018A9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266EB5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1600B0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C93E6E1" w14:textId="77777777" w:rsidR="000A2A2B" w:rsidRPr="007C3060" w:rsidRDefault="000A2A2B" w:rsidP="007C3060">
            <w:r w:rsidRPr="007C3060">
              <w:t>fra kr 154 600 000 til kr 44 100 000</w:t>
            </w:r>
          </w:p>
        </w:tc>
        <w:tc>
          <w:tcPr>
            <w:tcW w:w="1717" w:type="dxa"/>
            <w:tcBorders>
              <w:top w:val="nil"/>
              <w:left w:val="nil"/>
              <w:bottom w:val="nil"/>
              <w:right w:val="nil"/>
            </w:tcBorders>
            <w:tcMar>
              <w:top w:w="128" w:type="dxa"/>
              <w:left w:w="43" w:type="dxa"/>
              <w:bottom w:w="43" w:type="dxa"/>
              <w:right w:w="43" w:type="dxa"/>
            </w:tcMar>
            <w:vAlign w:val="bottom"/>
          </w:tcPr>
          <w:p w14:paraId="610D2FA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1EB46A2" w14:textId="77777777" w:rsidR="000A2A2B" w:rsidRPr="007C3060" w:rsidRDefault="000A2A2B" w:rsidP="007C3060"/>
        </w:tc>
      </w:tr>
      <w:tr w:rsidR="004B729E" w:rsidRPr="007C3060" w14:paraId="66697F09"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82DD51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15482DC"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322D11E8" w14:textId="3F3D9395" w:rsidR="000A2A2B" w:rsidRPr="007C3060" w:rsidRDefault="000A2A2B" w:rsidP="007C3060">
            <w:r w:rsidRPr="007C3060">
              <w:t>Tilskudd til godsoverføring fra vei til jernbane, forhøyes med</w:t>
            </w:r>
          </w:p>
        </w:tc>
        <w:tc>
          <w:tcPr>
            <w:tcW w:w="1717" w:type="dxa"/>
            <w:tcBorders>
              <w:top w:val="nil"/>
              <w:left w:val="nil"/>
              <w:bottom w:val="nil"/>
              <w:right w:val="nil"/>
            </w:tcBorders>
            <w:tcMar>
              <w:top w:w="128" w:type="dxa"/>
              <w:left w:w="43" w:type="dxa"/>
              <w:bottom w:w="43" w:type="dxa"/>
              <w:right w:w="43" w:type="dxa"/>
            </w:tcMar>
            <w:vAlign w:val="bottom"/>
          </w:tcPr>
          <w:p w14:paraId="0614BEE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4ECAB03" w14:textId="77777777" w:rsidR="000A2A2B" w:rsidRPr="007C3060" w:rsidRDefault="000A2A2B" w:rsidP="007C3060">
            <w:r w:rsidRPr="007C3060">
              <w:t>30 000 000</w:t>
            </w:r>
          </w:p>
        </w:tc>
      </w:tr>
      <w:tr w:rsidR="004B729E" w:rsidRPr="007C3060" w14:paraId="282159E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83B5A2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7FE7AD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8BC2AF5" w14:textId="77777777" w:rsidR="000A2A2B" w:rsidRPr="007C3060" w:rsidRDefault="000A2A2B" w:rsidP="007C3060">
            <w:r w:rsidRPr="007C3060">
              <w:t>fra kr 104 800 000 til kr 134 800 000</w:t>
            </w:r>
          </w:p>
        </w:tc>
        <w:tc>
          <w:tcPr>
            <w:tcW w:w="1717" w:type="dxa"/>
            <w:tcBorders>
              <w:top w:val="nil"/>
              <w:left w:val="nil"/>
              <w:bottom w:val="nil"/>
              <w:right w:val="nil"/>
            </w:tcBorders>
            <w:tcMar>
              <w:top w:w="128" w:type="dxa"/>
              <w:left w:w="43" w:type="dxa"/>
              <w:bottom w:w="43" w:type="dxa"/>
              <w:right w:w="43" w:type="dxa"/>
            </w:tcMar>
            <w:vAlign w:val="bottom"/>
          </w:tcPr>
          <w:p w14:paraId="05C8B51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FD84D7B" w14:textId="77777777" w:rsidR="000A2A2B" w:rsidRPr="007C3060" w:rsidRDefault="000A2A2B" w:rsidP="007C3060"/>
        </w:tc>
      </w:tr>
      <w:tr w:rsidR="004B729E" w:rsidRPr="007C3060" w14:paraId="30454088"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281B953"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65AF5B8C" w14:textId="77777777" w:rsidR="000A2A2B" w:rsidRPr="007C3060" w:rsidRDefault="000A2A2B" w:rsidP="007C3060">
            <w:r w:rsidRPr="007C3060">
              <w:t>77</w:t>
            </w:r>
          </w:p>
        </w:tc>
        <w:tc>
          <w:tcPr>
            <w:tcW w:w="4819" w:type="dxa"/>
            <w:tcBorders>
              <w:top w:val="nil"/>
              <w:left w:val="nil"/>
              <w:bottom w:val="nil"/>
              <w:right w:val="nil"/>
            </w:tcBorders>
            <w:tcMar>
              <w:top w:w="128" w:type="dxa"/>
              <w:left w:w="43" w:type="dxa"/>
              <w:bottom w:w="43" w:type="dxa"/>
              <w:right w:w="43" w:type="dxa"/>
            </w:tcMar>
            <w:vAlign w:val="bottom"/>
          </w:tcPr>
          <w:p w14:paraId="1358051F" w14:textId="38539B90" w:rsidR="000A2A2B" w:rsidRPr="007C3060" w:rsidRDefault="000A2A2B" w:rsidP="007C3060">
            <w:r w:rsidRPr="007C3060">
              <w:t>Kompensasjon til godstogselskaper etter uforutsette hendelser, bevilges med</w:t>
            </w:r>
          </w:p>
        </w:tc>
        <w:tc>
          <w:tcPr>
            <w:tcW w:w="1717" w:type="dxa"/>
            <w:tcBorders>
              <w:top w:val="nil"/>
              <w:left w:val="nil"/>
              <w:bottom w:val="nil"/>
              <w:right w:val="nil"/>
            </w:tcBorders>
            <w:tcMar>
              <w:top w:w="128" w:type="dxa"/>
              <w:left w:w="43" w:type="dxa"/>
              <w:bottom w:w="43" w:type="dxa"/>
              <w:right w:w="43" w:type="dxa"/>
            </w:tcMar>
            <w:vAlign w:val="bottom"/>
          </w:tcPr>
          <w:p w14:paraId="32C9220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92AF6A6" w14:textId="77777777" w:rsidR="000A2A2B" w:rsidRPr="007C3060" w:rsidRDefault="000A2A2B" w:rsidP="007C3060">
            <w:r w:rsidRPr="007C3060">
              <w:t>70 000 000</w:t>
            </w:r>
          </w:p>
        </w:tc>
      </w:tr>
      <w:tr w:rsidR="004B729E" w:rsidRPr="007C3060" w14:paraId="321A071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BC96F67" w14:textId="77777777" w:rsidR="000A2A2B" w:rsidRPr="007C3060" w:rsidRDefault="000A2A2B" w:rsidP="007C3060">
            <w:r w:rsidRPr="007C3060">
              <w:t>1353</w:t>
            </w:r>
          </w:p>
        </w:tc>
        <w:tc>
          <w:tcPr>
            <w:tcW w:w="992" w:type="dxa"/>
            <w:tcBorders>
              <w:top w:val="nil"/>
              <w:left w:val="nil"/>
              <w:bottom w:val="nil"/>
              <w:right w:val="nil"/>
            </w:tcBorders>
            <w:tcMar>
              <w:top w:w="128" w:type="dxa"/>
              <w:left w:w="43" w:type="dxa"/>
              <w:bottom w:w="43" w:type="dxa"/>
              <w:right w:w="123" w:type="dxa"/>
            </w:tcMar>
          </w:tcPr>
          <w:p w14:paraId="29C3C5F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68F799D" w14:textId="77777777" w:rsidR="000A2A2B" w:rsidRPr="007C3060" w:rsidRDefault="000A2A2B" w:rsidP="007C3060">
            <w:proofErr w:type="spellStart"/>
            <w:r w:rsidRPr="007C3060">
              <w:t>Vygruppen</w:t>
            </w:r>
            <w:proofErr w:type="spellEnd"/>
            <w:r w:rsidRPr="007C3060">
              <w:t xml:space="preserve"> AS:</w:t>
            </w:r>
          </w:p>
        </w:tc>
        <w:tc>
          <w:tcPr>
            <w:tcW w:w="1717" w:type="dxa"/>
            <w:tcBorders>
              <w:top w:val="nil"/>
              <w:left w:val="nil"/>
              <w:bottom w:val="nil"/>
              <w:right w:val="nil"/>
            </w:tcBorders>
            <w:tcMar>
              <w:top w:w="128" w:type="dxa"/>
              <w:left w:w="43" w:type="dxa"/>
              <w:bottom w:w="43" w:type="dxa"/>
              <w:right w:w="43" w:type="dxa"/>
            </w:tcMar>
            <w:vAlign w:val="bottom"/>
          </w:tcPr>
          <w:p w14:paraId="59395BC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88359D5" w14:textId="77777777" w:rsidR="000A2A2B" w:rsidRPr="007C3060" w:rsidRDefault="000A2A2B" w:rsidP="007C3060"/>
        </w:tc>
      </w:tr>
      <w:tr w:rsidR="004B729E" w:rsidRPr="007C3060" w14:paraId="6B19B05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B8FA8FF"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415300B9" w14:textId="77777777" w:rsidR="000A2A2B" w:rsidRPr="007C3060" w:rsidRDefault="000A2A2B" w:rsidP="007C3060">
            <w:r w:rsidRPr="007C3060">
              <w:t>96</w:t>
            </w:r>
          </w:p>
        </w:tc>
        <w:tc>
          <w:tcPr>
            <w:tcW w:w="4819" w:type="dxa"/>
            <w:tcBorders>
              <w:top w:val="nil"/>
              <w:left w:val="nil"/>
              <w:bottom w:val="nil"/>
              <w:right w:val="nil"/>
            </w:tcBorders>
            <w:tcMar>
              <w:top w:w="128" w:type="dxa"/>
              <w:left w:w="43" w:type="dxa"/>
              <w:bottom w:w="43" w:type="dxa"/>
              <w:right w:w="43" w:type="dxa"/>
            </w:tcMar>
            <w:vAlign w:val="bottom"/>
          </w:tcPr>
          <w:p w14:paraId="284F9AFD" w14:textId="77777777" w:rsidR="000A2A2B" w:rsidRPr="007C3060" w:rsidRDefault="000A2A2B" w:rsidP="007C3060">
            <w:r w:rsidRPr="007C3060">
              <w:t>Aksjer, bevilges med</w:t>
            </w:r>
          </w:p>
        </w:tc>
        <w:tc>
          <w:tcPr>
            <w:tcW w:w="1717" w:type="dxa"/>
            <w:tcBorders>
              <w:top w:val="nil"/>
              <w:left w:val="nil"/>
              <w:bottom w:val="nil"/>
              <w:right w:val="nil"/>
            </w:tcBorders>
            <w:tcMar>
              <w:top w:w="128" w:type="dxa"/>
              <w:left w:w="43" w:type="dxa"/>
              <w:bottom w:w="43" w:type="dxa"/>
              <w:right w:w="43" w:type="dxa"/>
            </w:tcMar>
            <w:vAlign w:val="bottom"/>
          </w:tcPr>
          <w:p w14:paraId="10F9B75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6FAB5B4" w14:textId="77777777" w:rsidR="000A2A2B" w:rsidRPr="007C3060" w:rsidRDefault="000A2A2B" w:rsidP="007C3060">
            <w:r w:rsidRPr="007C3060">
              <w:t>617 900 000</w:t>
            </w:r>
          </w:p>
        </w:tc>
      </w:tr>
      <w:tr w:rsidR="004B729E" w:rsidRPr="007C3060" w14:paraId="426FC34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38E5C9B" w14:textId="77777777" w:rsidR="000A2A2B" w:rsidRPr="007C3060" w:rsidRDefault="000A2A2B" w:rsidP="007C3060">
            <w:r w:rsidRPr="007C3060">
              <w:t>1358</w:t>
            </w:r>
          </w:p>
        </w:tc>
        <w:tc>
          <w:tcPr>
            <w:tcW w:w="992" w:type="dxa"/>
            <w:tcBorders>
              <w:top w:val="nil"/>
              <w:left w:val="nil"/>
              <w:bottom w:val="nil"/>
              <w:right w:val="nil"/>
            </w:tcBorders>
            <w:tcMar>
              <w:top w:w="128" w:type="dxa"/>
              <w:left w:w="43" w:type="dxa"/>
              <w:bottom w:w="43" w:type="dxa"/>
              <w:right w:w="123" w:type="dxa"/>
            </w:tcMar>
          </w:tcPr>
          <w:p w14:paraId="17839B4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EE894A9" w14:textId="77777777" w:rsidR="000A2A2B" w:rsidRPr="007C3060" w:rsidRDefault="000A2A2B" w:rsidP="007C3060">
            <w:r w:rsidRPr="007C3060">
              <w:t>Norske tog AS:</w:t>
            </w:r>
          </w:p>
        </w:tc>
        <w:tc>
          <w:tcPr>
            <w:tcW w:w="1717" w:type="dxa"/>
            <w:tcBorders>
              <w:top w:val="nil"/>
              <w:left w:val="nil"/>
              <w:bottom w:val="nil"/>
              <w:right w:val="nil"/>
            </w:tcBorders>
            <w:tcMar>
              <w:top w:w="128" w:type="dxa"/>
              <w:left w:w="43" w:type="dxa"/>
              <w:bottom w:w="43" w:type="dxa"/>
              <w:right w:w="43" w:type="dxa"/>
            </w:tcMar>
            <w:vAlign w:val="bottom"/>
          </w:tcPr>
          <w:p w14:paraId="2B9BF52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917D5BF" w14:textId="77777777" w:rsidR="000A2A2B" w:rsidRPr="007C3060" w:rsidRDefault="000A2A2B" w:rsidP="007C3060"/>
        </w:tc>
      </w:tr>
      <w:tr w:rsidR="004B729E" w:rsidRPr="007C3060" w14:paraId="0362C8A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4A41C51"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36DF23DF"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296FF0B0" w14:textId="77777777" w:rsidR="000A2A2B" w:rsidRPr="007C3060" w:rsidRDefault="000A2A2B" w:rsidP="007C3060">
            <w:r w:rsidRPr="007C3060">
              <w:t xml:space="preserve">Lån, </w:t>
            </w:r>
            <w:r w:rsidRPr="007C3060">
              <w:rPr>
                <w:rStyle w:val="kursiv"/>
              </w:rPr>
              <w:t>kan overføres,</w:t>
            </w:r>
            <w:r w:rsidRPr="007C3060">
              <w:t xml:space="preserve"> bevilges med</w:t>
            </w:r>
          </w:p>
        </w:tc>
        <w:tc>
          <w:tcPr>
            <w:tcW w:w="1717" w:type="dxa"/>
            <w:tcBorders>
              <w:top w:val="nil"/>
              <w:left w:val="nil"/>
              <w:bottom w:val="nil"/>
              <w:right w:val="nil"/>
            </w:tcBorders>
            <w:tcMar>
              <w:top w:w="128" w:type="dxa"/>
              <w:left w:w="43" w:type="dxa"/>
              <w:bottom w:w="43" w:type="dxa"/>
              <w:right w:w="43" w:type="dxa"/>
            </w:tcMar>
            <w:vAlign w:val="bottom"/>
          </w:tcPr>
          <w:p w14:paraId="46715F2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65B9B55" w14:textId="77777777" w:rsidR="000A2A2B" w:rsidRPr="007C3060" w:rsidRDefault="000A2A2B" w:rsidP="007C3060">
            <w:r w:rsidRPr="007C3060">
              <w:t>214 125 000</w:t>
            </w:r>
          </w:p>
        </w:tc>
      </w:tr>
      <w:tr w:rsidR="004B729E" w:rsidRPr="007C3060" w14:paraId="4B920B9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FB847B1" w14:textId="77777777" w:rsidR="000A2A2B" w:rsidRPr="007C3060" w:rsidRDefault="000A2A2B" w:rsidP="007C3060">
            <w:r w:rsidRPr="007C3060">
              <w:lastRenderedPageBreak/>
              <w:t>(NY)</w:t>
            </w:r>
          </w:p>
        </w:tc>
        <w:tc>
          <w:tcPr>
            <w:tcW w:w="992" w:type="dxa"/>
            <w:tcBorders>
              <w:top w:val="nil"/>
              <w:left w:val="nil"/>
              <w:bottom w:val="nil"/>
              <w:right w:val="nil"/>
            </w:tcBorders>
            <w:tcMar>
              <w:top w:w="128" w:type="dxa"/>
              <w:left w:w="43" w:type="dxa"/>
              <w:bottom w:w="43" w:type="dxa"/>
              <w:right w:w="123" w:type="dxa"/>
            </w:tcMar>
          </w:tcPr>
          <w:p w14:paraId="5BA344C4"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2191E999" w14:textId="77777777" w:rsidR="000A2A2B" w:rsidRPr="007C3060" w:rsidRDefault="000A2A2B" w:rsidP="007C3060">
            <w:r w:rsidRPr="007C3060">
              <w:t>Egenkapitaltilskudd, bevilges med</w:t>
            </w:r>
          </w:p>
        </w:tc>
        <w:tc>
          <w:tcPr>
            <w:tcW w:w="1717" w:type="dxa"/>
            <w:tcBorders>
              <w:top w:val="nil"/>
              <w:left w:val="nil"/>
              <w:bottom w:val="nil"/>
              <w:right w:val="nil"/>
            </w:tcBorders>
            <w:tcMar>
              <w:top w:w="128" w:type="dxa"/>
              <w:left w:w="43" w:type="dxa"/>
              <w:bottom w:w="43" w:type="dxa"/>
              <w:right w:w="43" w:type="dxa"/>
            </w:tcMar>
            <w:vAlign w:val="bottom"/>
          </w:tcPr>
          <w:p w14:paraId="75BB569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EF6C28B" w14:textId="77777777" w:rsidR="000A2A2B" w:rsidRPr="007C3060" w:rsidRDefault="000A2A2B" w:rsidP="007C3060">
            <w:r w:rsidRPr="007C3060">
              <w:t>14 375 000</w:t>
            </w:r>
          </w:p>
        </w:tc>
      </w:tr>
      <w:tr w:rsidR="004B729E" w:rsidRPr="007C3060" w14:paraId="2B6C9D7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CD26E93"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6FE8E061" w14:textId="77777777" w:rsidR="000A2A2B" w:rsidRPr="007C3060" w:rsidRDefault="000A2A2B" w:rsidP="007C3060">
            <w:r w:rsidRPr="007C3060">
              <w:t>86</w:t>
            </w:r>
          </w:p>
        </w:tc>
        <w:tc>
          <w:tcPr>
            <w:tcW w:w="4819" w:type="dxa"/>
            <w:tcBorders>
              <w:top w:val="nil"/>
              <w:left w:val="nil"/>
              <w:bottom w:val="nil"/>
              <w:right w:val="nil"/>
            </w:tcBorders>
            <w:tcMar>
              <w:top w:w="128" w:type="dxa"/>
              <w:left w:w="43" w:type="dxa"/>
              <w:bottom w:w="43" w:type="dxa"/>
              <w:right w:w="43" w:type="dxa"/>
            </w:tcMar>
            <w:vAlign w:val="bottom"/>
          </w:tcPr>
          <w:p w14:paraId="53F4E76B" w14:textId="77777777" w:rsidR="000A2A2B" w:rsidRPr="007C3060" w:rsidRDefault="000A2A2B" w:rsidP="007C3060">
            <w:r w:rsidRPr="007C3060">
              <w:t>Driftskreditt, bevilges med</w:t>
            </w:r>
          </w:p>
        </w:tc>
        <w:tc>
          <w:tcPr>
            <w:tcW w:w="1717" w:type="dxa"/>
            <w:tcBorders>
              <w:top w:val="nil"/>
              <w:left w:val="nil"/>
              <w:bottom w:val="nil"/>
              <w:right w:val="nil"/>
            </w:tcBorders>
            <w:tcMar>
              <w:top w:w="128" w:type="dxa"/>
              <w:left w:w="43" w:type="dxa"/>
              <w:bottom w:w="43" w:type="dxa"/>
              <w:right w:w="43" w:type="dxa"/>
            </w:tcMar>
            <w:vAlign w:val="bottom"/>
          </w:tcPr>
          <w:p w14:paraId="755EC93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05A188C" w14:textId="77777777" w:rsidR="000A2A2B" w:rsidRPr="007C3060" w:rsidRDefault="000A2A2B" w:rsidP="007C3060">
            <w:r w:rsidRPr="007C3060">
              <w:t>250 000 000</w:t>
            </w:r>
          </w:p>
        </w:tc>
      </w:tr>
      <w:tr w:rsidR="004B729E" w:rsidRPr="007C3060" w14:paraId="2A1F467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0E263BC"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0818D3EE" w14:textId="77777777" w:rsidR="000A2A2B" w:rsidRPr="007C3060" w:rsidRDefault="000A2A2B" w:rsidP="007C3060">
            <w:r w:rsidRPr="007C3060">
              <w:t>90</w:t>
            </w:r>
          </w:p>
        </w:tc>
        <w:tc>
          <w:tcPr>
            <w:tcW w:w="4819" w:type="dxa"/>
            <w:tcBorders>
              <w:top w:val="nil"/>
              <w:left w:val="nil"/>
              <w:bottom w:val="nil"/>
              <w:right w:val="nil"/>
            </w:tcBorders>
            <w:tcMar>
              <w:top w:w="128" w:type="dxa"/>
              <w:left w:w="43" w:type="dxa"/>
              <w:bottom w:w="43" w:type="dxa"/>
              <w:right w:w="43" w:type="dxa"/>
            </w:tcMar>
            <w:vAlign w:val="bottom"/>
          </w:tcPr>
          <w:p w14:paraId="3B870085" w14:textId="77777777" w:rsidR="000A2A2B" w:rsidRPr="007C3060" w:rsidRDefault="000A2A2B" w:rsidP="007C3060">
            <w:r w:rsidRPr="007C3060">
              <w:t xml:space="preserve">Lån, </w:t>
            </w:r>
            <w:r w:rsidRPr="007C3060">
              <w:rPr>
                <w:rStyle w:val="kursiv"/>
              </w:rPr>
              <w:t>kan overføres,</w:t>
            </w:r>
            <w:r w:rsidRPr="007C3060">
              <w:t xml:space="preserve"> bevilges med</w:t>
            </w:r>
          </w:p>
        </w:tc>
        <w:tc>
          <w:tcPr>
            <w:tcW w:w="1717" w:type="dxa"/>
            <w:tcBorders>
              <w:top w:val="nil"/>
              <w:left w:val="nil"/>
              <w:bottom w:val="nil"/>
              <w:right w:val="nil"/>
            </w:tcBorders>
            <w:tcMar>
              <w:top w:w="128" w:type="dxa"/>
              <w:left w:w="43" w:type="dxa"/>
              <w:bottom w:w="43" w:type="dxa"/>
              <w:right w:w="43" w:type="dxa"/>
            </w:tcMar>
            <w:vAlign w:val="bottom"/>
          </w:tcPr>
          <w:p w14:paraId="452BAFF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80B71F3" w14:textId="77777777" w:rsidR="000A2A2B" w:rsidRPr="007C3060" w:rsidRDefault="000A2A2B" w:rsidP="007C3060">
            <w:r w:rsidRPr="007C3060">
              <w:t>642 375 000</w:t>
            </w:r>
          </w:p>
        </w:tc>
      </w:tr>
      <w:tr w:rsidR="004B729E" w:rsidRPr="007C3060" w14:paraId="5E6A922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CDF8FF0"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77A1A6F4" w14:textId="77777777" w:rsidR="000A2A2B" w:rsidRPr="007C3060" w:rsidRDefault="000A2A2B" w:rsidP="007C3060">
            <w:r w:rsidRPr="007C3060">
              <w:t>91</w:t>
            </w:r>
          </w:p>
        </w:tc>
        <w:tc>
          <w:tcPr>
            <w:tcW w:w="4819" w:type="dxa"/>
            <w:tcBorders>
              <w:top w:val="nil"/>
              <w:left w:val="nil"/>
              <w:bottom w:val="nil"/>
              <w:right w:val="nil"/>
            </w:tcBorders>
            <w:tcMar>
              <w:top w:w="128" w:type="dxa"/>
              <w:left w:w="43" w:type="dxa"/>
              <w:bottom w:w="43" w:type="dxa"/>
              <w:right w:w="43" w:type="dxa"/>
            </w:tcMar>
            <w:vAlign w:val="bottom"/>
          </w:tcPr>
          <w:p w14:paraId="0F8EC466" w14:textId="77777777" w:rsidR="000A2A2B" w:rsidRPr="007C3060" w:rsidRDefault="000A2A2B" w:rsidP="007C3060">
            <w:r w:rsidRPr="007C3060">
              <w:t>Driftskreditt, bevilges med</w:t>
            </w:r>
          </w:p>
        </w:tc>
        <w:tc>
          <w:tcPr>
            <w:tcW w:w="1717" w:type="dxa"/>
            <w:tcBorders>
              <w:top w:val="nil"/>
              <w:left w:val="nil"/>
              <w:bottom w:val="nil"/>
              <w:right w:val="nil"/>
            </w:tcBorders>
            <w:tcMar>
              <w:top w:w="128" w:type="dxa"/>
              <w:left w:w="43" w:type="dxa"/>
              <w:bottom w:w="43" w:type="dxa"/>
              <w:right w:w="43" w:type="dxa"/>
            </w:tcMar>
            <w:vAlign w:val="bottom"/>
          </w:tcPr>
          <w:p w14:paraId="731123F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39CB8CD" w14:textId="77777777" w:rsidR="000A2A2B" w:rsidRPr="007C3060" w:rsidRDefault="000A2A2B" w:rsidP="007C3060">
            <w:r w:rsidRPr="007C3060">
              <w:t>750 000 000</w:t>
            </w:r>
          </w:p>
        </w:tc>
      </w:tr>
      <w:tr w:rsidR="004B729E" w:rsidRPr="007C3060" w14:paraId="65ADFF2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9768C02"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13E60365" w14:textId="77777777" w:rsidR="000A2A2B" w:rsidRPr="007C3060" w:rsidRDefault="000A2A2B" w:rsidP="007C3060">
            <w:r w:rsidRPr="007C3060">
              <w:t>92</w:t>
            </w:r>
          </w:p>
        </w:tc>
        <w:tc>
          <w:tcPr>
            <w:tcW w:w="4819" w:type="dxa"/>
            <w:tcBorders>
              <w:top w:val="nil"/>
              <w:left w:val="nil"/>
              <w:bottom w:val="nil"/>
              <w:right w:val="nil"/>
            </w:tcBorders>
            <w:tcMar>
              <w:top w:w="128" w:type="dxa"/>
              <w:left w:w="43" w:type="dxa"/>
              <w:bottom w:w="43" w:type="dxa"/>
              <w:right w:w="43" w:type="dxa"/>
            </w:tcMar>
            <w:vAlign w:val="bottom"/>
          </w:tcPr>
          <w:p w14:paraId="7A1CE4EC" w14:textId="77777777" w:rsidR="000A2A2B" w:rsidRPr="007C3060" w:rsidRDefault="000A2A2B" w:rsidP="007C3060">
            <w:r w:rsidRPr="007C3060">
              <w:t>Refinansiering av eksisterende lån, bevilges med</w:t>
            </w:r>
          </w:p>
        </w:tc>
        <w:tc>
          <w:tcPr>
            <w:tcW w:w="1717" w:type="dxa"/>
            <w:tcBorders>
              <w:top w:val="nil"/>
              <w:left w:val="nil"/>
              <w:bottom w:val="nil"/>
              <w:right w:val="nil"/>
            </w:tcBorders>
            <w:tcMar>
              <w:top w:w="128" w:type="dxa"/>
              <w:left w:w="43" w:type="dxa"/>
              <w:bottom w:w="43" w:type="dxa"/>
              <w:right w:w="43" w:type="dxa"/>
            </w:tcMar>
            <w:vAlign w:val="bottom"/>
          </w:tcPr>
          <w:p w14:paraId="41872A8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97702A9" w14:textId="77777777" w:rsidR="000A2A2B" w:rsidRPr="007C3060" w:rsidRDefault="000A2A2B" w:rsidP="007C3060">
            <w:r w:rsidRPr="007C3060">
              <w:t>2 000 000 000</w:t>
            </w:r>
          </w:p>
        </w:tc>
      </w:tr>
      <w:tr w:rsidR="004B729E" w:rsidRPr="007C3060" w14:paraId="4783543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F21B15D"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2A9E19D9" w14:textId="77777777" w:rsidR="000A2A2B" w:rsidRPr="007C3060" w:rsidRDefault="000A2A2B" w:rsidP="007C3060">
            <w:r w:rsidRPr="007C3060">
              <w:t>96</w:t>
            </w:r>
          </w:p>
        </w:tc>
        <w:tc>
          <w:tcPr>
            <w:tcW w:w="4819" w:type="dxa"/>
            <w:tcBorders>
              <w:top w:val="nil"/>
              <w:left w:val="nil"/>
              <w:bottom w:val="nil"/>
              <w:right w:val="nil"/>
            </w:tcBorders>
            <w:tcMar>
              <w:top w:w="128" w:type="dxa"/>
              <w:left w:w="43" w:type="dxa"/>
              <w:bottom w:w="43" w:type="dxa"/>
              <w:right w:w="43" w:type="dxa"/>
            </w:tcMar>
            <w:vAlign w:val="bottom"/>
          </w:tcPr>
          <w:p w14:paraId="0E52643D" w14:textId="77777777" w:rsidR="000A2A2B" w:rsidRPr="007C3060" w:rsidRDefault="000A2A2B" w:rsidP="007C3060">
            <w:r w:rsidRPr="007C3060">
              <w:t>Aksjer, bevilges med</w:t>
            </w:r>
          </w:p>
        </w:tc>
        <w:tc>
          <w:tcPr>
            <w:tcW w:w="1717" w:type="dxa"/>
            <w:tcBorders>
              <w:top w:val="nil"/>
              <w:left w:val="nil"/>
              <w:bottom w:val="nil"/>
              <w:right w:val="nil"/>
            </w:tcBorders>
            <w:tcMar>
              <w:top w:w="128" w:type="dxa"/>
              <w:left w:w="43" w:type="dxa"/>
              <w:bottom w:w="43" w:type="dxa"/>
              <w:right w:w="43" w:type="dxa"/>
            </w:tcMar>
            <w:vAlign w:val="bottom"/>
          </w:tcPr>
          <w:p w14:paraId="09DC39C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A22571" w14:textId="77777777" w:rsidR="000A2A2B" w:rsidRPr="007C3060" w:rsidRDefault="000A2A2B" w:rsidP="007C3060">
            <w:r w:rsidRPr="007C3060">
              <w:t>395 225 000</w:t>
            </w:r>
          </w:p>
        </w:tc>
      </w:tr>
      <w:tr w:rsidR="004B729E" w:rsidRPr="007C3060" w14:paraId="4B9465C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441A41C" w14:textId="77777777" w:rsidR="000A2A2B" w:rsidRPr="007C3060" w:rsidRDefault="000A2A2B" w:rsidP="007C3060">
            <w:r w:rsidRPr="007C3060">
              <w:t>1400</w:t>
            </w:r>
          </w:p>
        </w:tc>
        <w:tc>
          <w:tcPr>
            <w:tcW w:w="992" w:type="dxa"/>
            <w:tcBorders>
              <w:top w:val="nil"/>
              <w:left w:val="nil"/>
              <w:bottom w:val="nil"/>
              <w:right w:val="nil"/>
            </w:tcBorders>
            <w:tcMar>
              <w:top w:w="128" w:type="dxa"/>
              <w:left w:w="43" w:type="dxa"/>
              <w:bottom w:w="43" w:type="dxa"/>
              <w:right w:w="123" w:type="dxa"/>
            </w:tcMar>
          </w:tcPr>
          <w:p w14:paraId="3541848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D85743A" w14:textId="77777777" w:rsidR="000A2A2B" w:rsidRPr="007C3060" w:rsidRDefault="000A2A2B" w:rsidP="007C3060">
            <w:r w:rsidRPr="007C3060">
              <w:t>Klima- og miljødepartementet:</w:t>
            </w:r>
          </w:p>
        </w:tc>
        <w:tc>
          <w:tcPr>
            <w:tcW w:w="1717" w:type="dxa"/>
            <w:tcBorders>
              <w:top w:val="nil"/>
              <w:left w:val="nil"/>
              <w:bottom w:val="nil"/>
              <w:right w:val="nil"/>
            </w:tcBorders>
            <w:tcMar>
              <w:top w:w="128" w:type="dxa"/>
              <w:left w:w="43" w:type="dxa"/>
              <w:bottom w:w="43" w:type="dxa"/>
              <w:right w:w="43" w:type="dxa"/>
            </w:tcMar>
            <w:vAlign w:val="bottom"/>
          </w:tcPr>
          <w:p w14:paraId="73C8985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189B93E" w14:textId="77777777" w:rsidR="000A2A2B" w:rsidRPr="007C3060" w:rsidRDefault="000A2A2B" w:rsidP="007C3060"/>
        </w:tc>
      </w:tr>
      <w:tr w:rsidR="004B729E" w:rsidRPr="007C3060" w14:paraId="37172EE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712411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256E99E"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4B4D0DF7"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661DA61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A7935F1" w14:textId="77777777" w:rsidR="000A2A2B" w:rsidRPr="007C3060" w:rsidRDefault="000A2A2B" w:rsidP="007C3060">
            <w:r w:rsidRPr="007C3060">
              <w:t>3 150 000</w:t>
            </w:r>
          </w:p>
        </w:tc>
      </w:tr>
      <w:tr w:rsidR="004B729E" w:rsidRPr="007C3060" w14:paraId="5791766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F6E166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D5F1F4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53FABCE" w14:textId="77777777" w:rsidR="000A2A2B" w:rsidRPr="007C3060" w:rsidRDefault="000A2A2B" w:rsidP="007C3060">
            <w:r w:rsidRPr="007C3060">
              <w:t>fra kr 352 514 000 til kr 355 664 000</w:t>
            </w:r>
          </w:p>
        </w:tc>
        <w:tc>
          <w:tcPr>
            <w:tcW w:w="1717" w:type="dxa"/>
            <w:tcBorders>
              <w:top w:val="nil"/>
              <w:left w:val="nil"/>
              <w:bottom w:val="nil"/>
              <w:right w:val="nil"/>
            </w:tcBorders>
            <w:tcMar>
              <w:top w:w="128" w:type="dxa"/>
              <w:left w:w="43" w:type="dxa"/>
              <w:bottom w:w="43" w:type="dxa"/>
              <w:right w:w="43" w:type="dxa"/>
            </w:tcMar>
            <w:vAlign w:val="bottom"/>
          </w:tcPr>
          <w:p w14:paraId="46AEBC7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8816877" w14:textId="77777777" w:rsidR="000A2A2B" w:rsidRPr="007C3060" w:rsidRDefault="000A2A2B" w:rsidP="007C3060"/>
        </w:tc>
      </w:tr>
      <w:tr w:rsidR="004B729E" w:rsidRPr="007C3060" w14:paraId="08D6840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277E06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BE79AFE"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0F31CD22" w14:textId="77777777" w:rsidR="000A2A2B" w:rsidRPr="007C3060" w:rsidRDefault="000A2A2B" w:rsidP="007C3060">
            <w:r w:rsidRPr="007C3060">
              <w:t>Spesielle 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0497471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A8E86CF" w14:textId="77777777" w:rsidR="000A2A2B" w:rsidRPr="007C3060" w:rsidRDefault="000A2A2B" w:rsidP="007C3060">
            <w:r w:rsidRPr="007C3060">
              <w:t>1 150 000</w:t>
            </w:r>
          </w:p>
        </w:tc>
      </w:tr>
      <w:tr w:rsidR="004B729E" w:rsidRPr="007C3060" w14:paraId="67D6DBA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89499D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7DE08D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C063477" w14:textId="77777777" w:rsidR="000A2A2B" w:rsidRPr="007C3060" w:rsidRDefault="000A2A2B" w:rsidP="007C3060">
            <w:r w:rsidRPr="007C3060">
              <w:t>fra kr 99 693 000 til kr 98 543 000</w:t>
            </w:r>
          </w:p>
        </w:tc>
        <w:tc>
          <w:tcPr>
            <w:tcW w:w="1717" w:type="dxa"/>
            <w:tcBorders>
              <w:top w:val="nil"/>
              <w:left w:val="nil"/>
              <w:bottom w:val="nil"/>
              <w:right w:val="nil"/>
            </w:tcBorders>
            <w:tcMar>
              <w:top w:w="128" w:type="dxa"/>
              <w:left w:w="43" w:type="dxa"/>
              <w:bottom w:w="43" w:type="dxa"/>
              <w:right w:w="43" w:type="dxa"/>
            </w:tcMar>
            <w:vAlign w:val="bottom"/>
          </w:tcPr>
          <w:p w14:paraId="2517859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26C827E" w14:textId="77777777" w:rsidR="000A2A2B" w:rsidRPr="007C3060" w:rsidRDefault="000A2A2B" w:rsidP="007C3060"/>
        </w:tc>
      </w:tr>
      <w:tr w:rsidR="004B729E" w:rsidRPr="007C3060" w14:paraId="53E5DF22"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8B6C67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6E82FF9" w14:textId="77777777" w:rsidR="000A2A2B" w:rsidRPr="007C3060" w:rsidRDefault="000A2A2B" w:rsidP="007C3060">
            <w:r w:rsidRPr="007C3060">
              <w:t>76</w:t>
            </w:r>
          </w:p>
        </w:tc>
        <w:tc>
          <w:tcPr>
            <w:tcW w:w="4819" w:type="dxa"/>
            <w:tcBorders>
              <w:top w:val="nil"/>
              <w:left w:val="nil"/>
              <w:bottom w:val="nil"/>
              <w:right w:val="nil"/>
            </w:tcBorders>
            <w:tcMar>
              <w:top w:w="128" w:type="dxa"/>
              <w:left w:w="43" w:type="dxa"/>
              <w:bottom w:w="43" w:type="dxa"/>
              <w:right w:w="43" w:type="dxa"/>
            </w:tcMar>
            <w:vAlign w:val="bottom"/>
          </w:tcPr>
          <w:p w14:paraId="24854983" w14:textId="7A83B462" w:rsidR="000A2A2B" w:rsidRPr="007C3060" w:rsidRDefault="000A2A2B" w:rsidP="007C3060">
            <w:r w:rsidRPr="007C3060">
              <w:t xml:space="preserve">Støtte til nasjonale og internasjonale miljøtiltak,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2861E93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F3C35B9" w14:textId="77777777" w:rsidR="000A2A2B" w:rsidRPr="007C3060" w:rsidRDefault="000A2A2B" w:rsidP="007C3060">
            <w:r w:rsidRPr="007C3060">
              <w:t>2 000 000</w:t>
            </w:r>
          </w:p>
        </w:tc>
      </w:tr>
      <w:tr w:rsidR="004B729E" w:rsidRPr="007C3060" w14:paraId="7BC9944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4AE0EE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47E1E1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5561DD8" w14:textId="77777777" w:rsidR="000A2A2B" w:rsidRPr="007C3060" w:rsidRDefault="000A2A2B" w:rsidP="007C3060">
            <w:r w:rsidRPr="007C3060">
              <w:t>fra kr 111 244 000 til kr 109 244 000</w:t>
            </w:r>
          </w:p>
        </w:tc>
        <w:tc>
          <w:tcPr>
            <w:tcW w:w="1717" w:type="dxa"/>
            <w:tcBorders>
              <w:top w:val="nil"/>
              <w:left w:val="nil"/>
              <w:bottom w:val="nil"/>
              <w:right w:val="nil"/>
            </w:tcBorders>
            <w:tcMar>
              <w:top w:w="128" w:type="dxa"/>
              <w:left w:w="43" w:type="dxa"/>
              <w:bottom w:w="43" w:type="dxa"/>
              <w:right w:w="43" w:type="dxa"/>
            </w:tcMar>
            <w:vAlign w:val="bottom"/>
          </w:tcPr>
          <w:p w14:paraId="13C3C31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820C244" w14:textId="77777777" w:rsidR="000A2A2B" w:rsidRPr="007C3060" w:rsidRDefault="000A2A2B" w:rsidP="007C3060"/>
        </w:tc>
      </w:tr>
      <w:tr w:rsidR="004B729E" w:rsidRPr="007C3060" w14:paraId="18BADA7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F4A3F02" w14:textId="77777777" w:rsidR="000A2A2B" w:rsidRPr="007C3060" w:rsidRDefault="000A2A2B" w:rsidP="007C3060">
            <w:r w:rsidRPr="007C3060">
              <w:t>1412</w:t>
            </w:r>
          </w:p>
        </w:tc>
        <w:tc>
          <w:tcPr>
            <w:tcW w:w="992" w:type="dxa"/>
            <w:tcBorders>
              <w:top w:val="nil"/>
              <w:left w:val="nil"/>
              <w:bottom w:val="nil"/>
              <w:right w:val="nil"/>
            </w:tcBorders>
            <w:tcMar>
              <w:top w:w="128" w:type="dxa"/>
              <w:left w:w="43" w:type="dxa"/>
              <w:bottom w:w="43" w:type="dxa"/>
              <w:right w:w="123" w:type="dxa"/>
            </w:tcMar>
          </w:tcPr>
          <w:p w14:paraId="5E601A0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7D434F9" w14:textId="77777777" w:rsidR="000A2A2B" w:rsidRPr="007C3060" w:rsidRDefault="000A2A2B" w:rsidP="007C3060">
            <w:r w:rsidRPr="007C3060">
              <w:t>Meteorologiformål:</w:t>
            </w:r>
          </w:p>
        </w:tc>
        <w:tc>
          <w:tcPr>
            <w:tcW w:w="1717" w:type="dxa"/>
            <w:tcBorders>
              <w:top w:val="nil"/>
              <w:left w:val="nil"/>
              <w:bottom w:val="nil"/>
              <w:right w:val="nil"/>
            </w:tcBorders>
            <w:tcMar>
              <w:top w:w="128" w:type="dxa"/>
              <w:left w:w="43" w:type="dxa"/>
              <w:bottom w:w="43" w:type="dxa"/>
              <w:right w:w="43" w:type="dxa"/>
            </w:tcMar>
            <w:vAlign w:val="bottom"/>
          </w:tcPr>
          <w:p w14:paraId="1300FC8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7E509EF" w14:textId="77777777" w:rsidR="000A2A2B" w:rsidRPr="007C3060" w:rsidRDefault="000A2A2B" w:rsidP="007C3060"/>
        </w:tc>
      </w:tr>
      <w:tr w:rsidR="004B729E" w:rsidRPr="007C3060" w14:paraId="52768E0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35BA30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D8A2C4A"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38D2108A" w14:textId="77777777" w:rsidR="000A2A2B" w:rsidRPr="007C3060" w:rsidRDefault="000A2A2B" w:rsidP="007C3060">
            <w:r w:rsidRPr="007C3060">
              <w:t>Internasjonale samarbeidsprosjekter, nedsettes med</w:t>
            </w:r>
          </w:p>
        </w:tc>
        <w:tc>
          <w:tcPr>
            <w:tcW w:w="1717" w:type="dxa"/>
            <w:tcBorders>
              <w:top w:val="nil"/>
              <w:left w:val="nil"/>
              <w:bottom w:val="nil"/>
              <w:right w:val="nil"/>
            </w:tcBorders>
            <w:tcMar>
              <w:top w:w="128" w:type="dxa"/>
              <w:left w:w="43" w:type="dxa"/>
              <w:bottom w:w="43" w:type="dxa"/>
              <w:right w:w="43" w:type="dxa"/>
            </w:tcMar>
            <w:vAlign w:val="bottom"/>
          </w:tcPr>
          <w:p w14:paraId="6DD1492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0EF96BD" w14:textId="77777777" w:rsidR="000A2A2B" w:rsidRPr="007C3060" w:rsidRDefault="000A2A2B" w:rsidP="007C3060">
            <w:r w:rsidRPr="007C3060">
              <w:t>13 670 000</w:t>
            </w:r>
          </w:p>
        </w:tc>
      </w:tr>
      <w:tr w:rsidR="004B729E" w:rsidRPr="007C3060" w14:paraId="05A4743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933735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5DBBCE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9EB830C" w14:textId="77777777" w:rsidR="000A2A2B" w:rsidRPr="007C3060" w:rsidRDefault="000A2A2B" w:rsidP="007C3060">
            <w:r w:rsidRPr="007C3060">
              <w:t>fra kr 163 000 000 til kr 149 330 000</w:t>
            </w:r>
          </w:p>
        </w:tc>
        <w:tc>
          <w:tcPr>
            <w:tcW w:w="1717" w:type="dxa"/>
            <w:tcBorders>
              <w:top w:val="nil"/>
              <w:left w:val="nil"/>
              <w:bottom w:val="nil"/>
              <w:right w:val="nil"/>
            </w:tcBorders>
            <w:tcMar>
              <w:top w:w="128" w:type="dxa"/>
              <w:left w:w="43" w:type="dxa"/>
              <w:bottom w:w="43" w:type="dxa"/>
              <w:right w:w="43" w:type="dxa"/>
            </w:tcMar>
            <w:vAlign w:val="bottom"/>
          </w:tcPr>
          <w:p w14:paraId="6B0F50F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5A27D0F" w14:textId="77777777" w:rsidR="000A2A2B" w:rsidRPr="007C3060" w:rsidRDefault="000A2A2B" w:rsidP="007C3060"/>
        </w:tc>
      </w:tr>
      <w:tr w:rsidR="004B729E" w:rsidRPr="007C3060" w14:paraId="27F4C49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10ABADF" w14:textId="77777777" w:rsidR="000A2A2B" w:rsidRPr="007C3060" w:rsidRDefault="000A2A2B" w:rsidP="007C3060">
            <w:r w:rsidRPr="007C3060">
              <w:t>1420</w:t>
            </w:r>
          </w:p>
        </w:tc>
        <w:tc>
          <w:tcPr>
            <w:tcW w:w="992" w:type="dxa"/>
            <w:tcBorders>
              <w:top w:val="nil"/>
              <w:left w:val="nil"/>
              <w:bottom w:val="nil"/>
              <w:right w:val="nil"/>
            </w:tcBorders>
            <w:tcMar>
              <w:top w:w="128" w:type="dxa"/>
              <w:left w:w="43" w:type="dxa"/>
              <w:bottom w:w="43" w:type="dxa"/>
              <w:right w:w="123" w:type="dxa"/>
            </w:tcMar>
          </w:tcPr>
          <w:p w14:paraId="63AFB78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720B0EC" w14:textId="77777777" w:rsidR="000A2A2B" w:rsidRPr="007C3060" w:rsidRDefault="000A2A2B" w:rsidP="007C3060">
            <w:r w:rsidRPr="007C3060">
              <w:t>Miljødirektoratet:</w:t>
            </w:r>
          </w:p>
        </w:tc>
        <w:tc>
          <w:tcPr>
            <w:tcW w:w="1717" w:type="dxa"/>
            <w:tcBorders>
              <w:top w:val="nil"/>
              <w:left w:val="nil"/>
              <w:bottom w:val="nil"/>
              <w:right w:val="nil"/>
            </w:tcBorders>
            <w:tcMar>
              <w:top w:w="128" w:type="dxa"/>
              <w:left w:w="43" w:type="dxa"/>
              <w:bottom w:w="43" w:type="dxa"/>
              <w:right w:w="43" w:type="dxa"/>
            </w:tcMar>
            <w:vAlign w:val="bottom"/>
          </w:tcPr>
          <w:p w14:paraId="6C3049B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389C91B" w14:textId="77777777" w:rsidR="000A2A2B" w:rsidRPr="007C3060" w:rsidRDefault="000A2A2B" w:rsidP="007C3060"/>
        </w:tc>
      </w:tr>
      <w:tr w:rsidR="004B729E" w:rsidRPr="007C3060" w14:paraId="0B344C7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42675A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27D36C2"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18AA59EA"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5A482AA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D98D51C" w14:textId="77777777" w:rsidR="000A2A2B" w:rsidRPr="007C3060" w:rsidRDefault="000A2A2B" w:rsidP="007C3060">
            <w:r w:rsidRPr="007C3060">
              <w:t>5 600 000</w:t>
            </w:r>
          </w:p>
        </w:tc>
      </w:tr>
      <w:tr w:rsidR="004B729E" w:rsidRPr="007C3060" w14:paraId="3D31AAB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06755E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756D6A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976BCBB" w14:textId="77777777" w:rsidR="000A2A2B" w:rsidRPr="007C3060" w:rsidRDefault="000A2A2B" w:rsidP="007C3060">
            <w:r w:rsidRPr="007C3060">
              <w:t>fra kr 934 095 000 til kr 939 695 000</w:t>
            </w:r>
          </w:p>
        </w:tc>
        <w:tc>
          <w:tcPr>
            <w:tcW w:w="1717" w:type="dxa"/>
            <w:tcBorders>
              <w:top w:val="nil"/>
              <w:left w:val="nil"/>
              <w:bottom w:val="nil"/>
              <w:right w:val="nil"/>
            </w:tcBorders>
            <w:tcMar>
              <w:top w:w="128" w:type="dxa"/>
              <w:left w:w="43" w:type="dxa"/>
              <w:bottom w:w="43" w:type="dxa"/>
              <w:right w:w="43" w:type="dxa"/>
            </w:tcMar>
            <w:vAlign w:val="bottom"/>
          </w:tcPr>
          <w:p w14:paraId="0B3344E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8E61147" w14:textId="77777777" w:rsidR="000A2A2B" w:rsidRPr="007C3060" w:rsidRDefault="000A2A2B" w:rsidP="007C3060"/>
        </w:tc>
      </w:tr>
      <w:tr w:rsidR="004B729E" w:rsidRPr="007C3060" w14:paraId="27D57C1D"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56EBA6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3F189F5" w14:textId="77777777" w:rsidR="000A2A2B" w:rsidRPr="007C3060" w:rsidRDefault="000A2A2B" w:rsidP="007C3060">
            <w:r w:rsidRPr="007C3060">
              <w:t>30</w:t>
            </w:r>
          </w:p>
        </w:tc>
        <w:tc>
          <w:tcPr>
            <w:tcW w:w="4819" w:type="dxa"/>
            <w:tcBorders>
              <w:top w:val="nil"/>
              <w:left w:val="nil"/>
              <w:bottom w:val="nil"/>
              <w:right w:val="nil"/>
            </w:tcBorders>
            <w:tcMar>
              <w:top w:w="128" w:type="dxa"/>
              <w:left w:w="43" w:type="dxa"/>
              <w:bottom w:w="43" w:type="dxa"/>
              <w:right w:w="43" w:type="dxa"/>
            </w:tcMar>
            <w:vAlign w:val="bottom"/>
          </w:tcPr>
          <w:p w14:paraId="144670F8" w14:textId="29AC01F9" w:rsidR="000A2A2B" w:rsidRPr="007C3060" w:rsidRDefault="000A2A2B" w:rsidP="007C3060">
            <w:r w:rsidRPr="007C3060">
              <w:t xml:space="preserve">Statlige erverv, bevaring av viktige friluftslivsområder, </w:t>
            </w:r>
            <w:r w:rsidRPr="007C3060">
              <w:rPr>
                <w:rStyle w:val="kursiv"/>
              </w:rPr>
              <w:t xml:space="preserve">kan overføres, </w:t>
            </w:r>
            <w:r w:rsidRPr="007C3060">
              <w:t>forhøyes med</w:t>
            </w:r>
          </w:p>
        </w:tc>
        <w:tc>
          <w:tcPr>
            <w:tcW w:w="1717" w:type="dxa"/>
            <w:tcBorders>
              <w:top w:val="nil"/>
              <w:left w:val="nil"/>
              <w:bottom w:val="nil"/>
              <w:right w:val="nil"/>
            </w:tcBorders>
            <w:tcMar>
              <w:top w:w="128" w:type="dxa"/>
              <w:left w:w="43" w:type="dxa"/>
              <w:bottom w:w="43" w:type="dxa"/>
              <w:right w:w="43" w:type="dxa"/>
            </w:tcMar>
            <w:vAlign w:val="bottom"/>
          </w:tcPr>
          <w:p w14:paraId="6D68A26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22B07C2" w14:textId="77777777" w:rsidR="000A2A2B" w:rsidRPr="007C3060" w:rsidRDefault="000A2A2B" w:rsidP="007C3060">
            <w:r w:rsidRPr="007C3060">
              <w:t>4 785 000</w:t>
            </w:r>
          </w:p>
        </w:tc>
      </w:tr>
      <w:tr w:rsidR="004B729E" w:rsidRPr="007C3060" w14:paraId="4EE2890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40727D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18F817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966E528" w14:textId="77777777" w:rsidR="000A2A2B" w:rsidRPr="007C3060" w:rsidRDefault="000A2A2B" w:rsidP="007C3060">
            <w:r w:rsidRPr="007C3060">
              <w:t>fra kr 23 054 000 til kr 27 839 000</w:t>
            </w:r>
          </w:p>
        </w:tc>
        <w:tc>
          <w:tcPr>
            <w:tcW w:w="1717" w:type="dxa"/>
            <w:tcBorders>
              <w:top w:val="nil"/>
              <w:left w:val="nil"/>
              <w:bottom w:val="nil"/>
              <w:right w:val="nil"/>
            </w:tcBorders>
            <w:tcMar>
              <w:top w:w="128" w:type="dxa"/>
              <w:left w:w="43" w:type="dxa"/>
              <w:bottom w:w="43" w:type="dxa"/>
              <w:right w:w="43" w:type="dxa"/>
            </w:tcMar>
            <w:vAlign w:val="bottom"/>
          </w:tcPr>
          <w:p w14:paraId="5B72267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539A101" w14:textId="77777777" w:rsidR="000A2A2B" w:rsidRPr="007C3060" w:rsidRDefault="000A2A2B" w:rsidP="007C3060"/>
        </w:tc>
      </w:tr>
      <w:tr w:rsidR="004B729E" w:rsidRPr="007C3060" w14:paraId="350DCE62"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3B0312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959996C" w14:textId="77777777" w:rsidR="000A2A2B" w:rsidRPr="007C3060" w:rsidRDefault="000A2A2B" w:rsidP="007C3060">
            <w:r w:rsidRPr="007C3060">
              <w:t>31</w:t>
            </w:r>
          </w:p>
        </w:tc>
        <w:tc>
          <w:tcPr>
            <w:tcW w:w="4819" w:type="dxa"/>
            <w:tcBorders>
              <w:top w:val="nil"/>
              <w:left w:val="nil"/>
              <w:bottom w:val="nil"/>
              <w:right w:val="nil"/>
            </w:tcBorders>
            <w:tcMar>
              <w:top w:w="128" w:type="dxa"/>
              <w:left w:w="43" w:type="dxa"/>
              <w:bottom w:w="43" w:type="dxa"/>
              <w:right w:w="43" w:type="dxa"/>
            </w:tcMar>
            <w:vAlign w:val="bottom"/>
          </w:tcPr>
          <w:p w14:paraId="7D5FCDA6" w14:textId="77777777" w:rsidR="000A2A2B" w:rsidRPr="007C3060" w:rsidRDefault="000A2A2B" w:rsidP="007C3060">
            <w:r w:rsidRPr="007C3060">
              <w:t xml:space="preserve">Tiltak i verneområder og naturrestaurering, </w:t>
            </w:r>
            <w:r w:rsidRPr="007C3060">
              <w:rPr>
                <w:rStyle w:val="kursiv"/>
              </w:rPr>
              <w:t>kan overføres,</w:t>
            </w:r>
            <w:r w:rsidRPr="007C3060">
              <w:t xml:space="preserve"> </w:t>
            </w:r>
            <w:r w:rsidRPr="007C3060">
              <w:br/>
              <w:t>nedsettes med</w:t>
            </w:r>
          </w:p>
        </w:tc>
        <w:tc>
          <w:tcPr>
            <w:tcW w:w="1717" w:type="dxa"/>
            <w:tcBorders>
              <w:top w:val="nil"/>
              <w:left w:val="nil"/>
              <w:bottom w:val="nil"/>
              <w:right w:val="nil"/>
            </w:tcBorders>
            <w:tcMar>
              <w:top w:w="128" w:type="dxa"/>
              <w:left w:w="43" w:type="dxa"/>
              <w:bottom w:w="43" w:type="dxa"/>
              <w:right w:w="43" w:type="dxa"/>
            </w:tcMar>
            <w:vAlign w:val="bottom"/>
          </w:tcPr>
          <w:p w14:paraId="5F615E9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577192E" w14:textId="77777777" w:rsidR="000A2A2B" w:rsidRPr="007C3060" w:rsidRDefault="000A2A2B" w:rsidP="007C3060">
            <w:r w:rsidRPr="007C3060">
              <w:t>3 200 000</w:t>
            </w:r>
          </w:p>
        </w:tc>
      </w:tr>
      <w:tr w:rsidR="004B729E" w:rsidRPr="007C3060" w14:paraId="2DB8765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DB342D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117352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25DE75D" w14:textId="77777777" w:rsidR="000A2A2B" w:rsidRPr="007C3060" w:rsidRDefault="000A2A2B" w:rsidP="007C3060">
            <w:r w:rsidRPr="007C3060">
              <w:t>fra kr 181 252 000 til kr 178 052 000</w:t>
            </w:r>
          </w:p>
        </w:tc>
        <w:tc>
          <w:tcPr>
            <w:tcW w:w="1717" w:type="dxa"/>
            <w:tcBorders>
              <w:top w:val="nil"/>
              <w:left w:val="nil"/>
              <w:bottom w:val="nil"/>
              <w:right w:val="nil"/>
            </w:tcBorders>
            <w:tcMar>
              <w:top w:w="128" w:type="dxa"/>
              <w:left w:w="43" w:type="dxa"/>
              <w:bottom w:w="43" w:type="dxa"/>
              <w:right w:w="43" w:type="dxa"/>
            </w:tcMar>
            <w:vAlign w:val="bottom"/>
          </w:tcPr>
          <w:p w14:paraId="2781B35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5CA51FF" w14:textId="77777777" w:rsidR="000A2A2B" w:rsidRPr="007C3060" w:rsidRDefault="000A2A2B" w:rsidP="007C3060"/>
        </w:tc>
      </w:tr>
      <w:tr w:rsidR="004B729E" w:rsidRPr="007C3060" w14:paraId="44791A7C"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8A16F4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436D80E" w14:textId="77777777" w:rsidR="000A2A2B" w:rsidRPr="007C3060" w:rsidRDefault="000A2A2B" w:rsidP="007C3060">
            <w:r w:rsidRPr="007C3060">
              <w:t>60</w:t>
            </w:r>
          </w:p>
        </w:tc>
        <w:tc>
          <w:tcPr>
            <w:tcW w:w="4819" w:type="dxa"/>
            <w:tcBorders>
              <w:top w:val="nil"/>
              <w:left w:val="nil"/>
              <w:bottom w:val="nil"/>
              <w:right w:val="nil"/>
            </w:tcBorders>
            <w:tcMar>
              <w:top w:w="128" w:type="dxa"/>
              <w:left w:w="43" w:type="dxa"/>
              <w:bottom w:w="43" w:type="dxa"/>
              <w:right w:w="43" w:type="dxa"/>
            </w:tcMar>
            <w:vAlign w:val="bottom"/>
          </w:tcPr>
          <w:p w14:paraId="470B3BB8" w14:textId="46D4765D" w:rsidR="000A2A2B" w:rsidRPr="007C3060" w:rsidRDefault="000A2A2B" w:rsidP="007C3060">
            <w:r w:rsidRPr="007C3060">
              <w:t xml:space="preserve">Tilskudd til natursats – tiltak og planlegging for natur i kommunene, </w:t>
            </w:r>
            <w:r w:rsidRPr="007C3060">
              <w:rPr>
                <w:rStyle w:val="kursiv"/>
              </w:rPr>
              <w:t xml:space="preserve">kan overføres, </w:t>
            </w:r>
            <w:r w:rsidRPr="007C3060">
              <w:t>nedsettes med</w:t>
            </w:r>
            <w:r w:rsidRPr="007C3060">
              <w:rPr>
                <w:rStyle w:val="kursiv"/>
              </w:rPr>
              <w:t xml:space="preserve"> </w:t>
            </w:r>
          </w:p>
        </w:tc>
        <w:tc>
          <w:tcPr>
            <w:tcW w:w="1717" w:type="dxa"/>
            <w:tcBorders>
              <w:top w:val="nil"/>
              <w:left w:val="nil"/>
              <w:bottom w:val="nil"/>
              <w:right w:val="nil"/>
            </w:tcBorders>
            <w:tcMar>
              <w:top w:w="128" w:type="dxa"/>
              <w:left w:w="43" w:type="dxa"/>
              <w:bottom w:w="43" w:type="dxa"/>
              <w:right w:w="43" w:type="dxa"/>
            </w:tcMar>
            <w:vAlign w:val="bottom"/>
          </w:tcPr>
          <w:p w14:paraId="14FEE93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246E2D7" w14:textId="77777777" w:rsidR="000A2A2B" w:rsidRPr="007C3060" w:rsidRDefault="000A2A2B" w:rsidP="007C3060">
            <w:r w:rsidRPr="007C3060">
              <w:t>32 400 000</w:t>
            </w:r>
          </w:p>
        </w:tc>
      </w:tr>
      <w:tr w:rsidR="004B729E" w:rsidRPr="007C3060" w14:paraId="76340EE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4F9F2B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3E1575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6E12814" w14:textId="77777777" w:rsidR="000A2A2B" w:rsidRPr="007C3060" w:rsidRDefault="000A2A2B" w:rsidP="007C3060">
            <w:r w:rsidRPr="007C3060">
              <w:t>fra kr 118 226 000 til kr 85 826 000</w:t>
            </w:r>
          </w:p>
        </w:tc>
        <w:tc>
          <w:tcPr>
            <w:tcW w:w="1717" w:type="dxa"/>
            <w:tcBorders>
              <w:top w:val="nil"/>
              <w:left w:val="nil"/>
              <w:bottom w:val="nil"/>
              <w:right w:val="nil"/>
            </w:tcBorders>
            <w:tcMar>
              <w:top w:w="128" w:type="dxa"/>
              <w:left w:w="43" w:type="dxa"/>
              <w:bottom w:w="43" w:type="dxa"/>
              <w:right w:w="43" w:type="dxa"/>
            </w:tcMar>
            <w:vAlign w:val="bottom"/>
          </w:tcPr>
          <w:p w14:paraId="66CB884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93876D8" w14:textId="77777777" w:rsidR="000A2A2B" w:rsidRPr="007C3060" w:rsidRDefault="000A2A2B" w:rsidP="007C3060"/>
        </w:tc>
      </w:tr>
      <w:tr w:rsidR="004B729E" w:rsidRPr="007C3060" w14:paraId="01AEEE0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62C132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3E870CD" w14:textId="77777777" w:rsidR="000A2A2B" w:rsidRPr="007C3060" w:rsidRDefault="000A2A2B" w:rsidP="007C3060">
            <w:r w:rsidRPr="007C3060">
              <w:t>61</w:t>
            </w:r>
          </w:p>
        </w:tc>
        <w:tc>
          <w:tcPr>
            <w:tcW w:w="4819" w:type="dxa"/>
            <w:tcBorders>
              <w:top w:val="nil"/>
              <w:left w:val="nil"/>
              <w:bottom w:val="nil"/>
              <w:right w:val="nil"/>
            </w:tcBorders>
            <w:tcMar>
              <w:top w:w="128" w:type="dxa"/>
              <w:left w:w="43" w:type="dxa"/>
              <w:bottom w:w="43" w:type="dxa"/>
              <w:right w:w="43" w:type="dxa"/>
            </w:tcMar>
            <w:vAlign w:val="bottom"/>
          </w:tcPr>
          <w:p w14:paraId="273C3EF1" w14:textId="77777777" w:rsidR="000A2A2B" w:rsidRPr="007C3060" w:rsidRDefault="000A2A2B" w:rsidP="007C3060">
            <w:r w:rsidRPr="007C3060">
              <w:t xml:space="preserve">Tilskudd til klimatiltak og klimatilpasning, </w:t>
            </w:r>
            <w:r w:rsidRPr="007C3060">
              <w:rPr>
                <w:rStyle w:val="kursiv"/>
              </w:rPr>
              <w:t>kan overføres,</w:t>
            </w:r>
            <w:r w:rsidRPr="007C3060">
              <w:t xml:space="preserve"> </w:t>
            </w:r>
            <w:r w:rsidRPr="007C3060">
              <w:br/>
              <w:t>nedsettes med</w:t>
            </w:r>
          </w:p>
        </w:tc>
        <w:tc>
          <w:tcPr>
            <w:tcW w:w="1717" w:type="dxa"/>
            <w:tcBorders>
              <w:top w:val="nil"/>
              <w:left w:val="nil"/>
              <w:bottom w:val="nil"/>
              <w:right w:val="nil"/>
            </w:tcBorders>
            <w:tcMar>
              <w:top w:w="128" w:type="dxa"/>
              <w:left w:w="43" w:type="dxa"/>
              <w:bottom w:w="43" w:type="dxa"/>
              <w:right w:w="43" w:type="dxa"/>
            </w:tcMar>
            <w:vAlign w:val="bottom"/>
          </w:tcPr>
          <w:p w14:paraId="4D476E8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869109B" w14:textId="77777777" w:rsidR="000A2A2B" w:rsidRPr="007C3060" w:rsidRDefault="000A2A2B" w:rsidP="007C3060">
            <w:r w:rsidRPr="007C3060">
              <w:t>100 000 000</w:t>
            </w:r>
          </w:p>
        </w:tc>
      </w:tr>
      <w:tr w:rsidR="004B729E" w:rsidRPr="007C3060" w14:paraId="2A3B72A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EEEC66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93E564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780D21D" w14:textId="77777777" w:rsidR="000A2A2B" w:rsidRPr="007C3060" w:rsidRDefault="000A2A2B" w:rsidP="007C3060">
            <w:r w:rsidRPr="007C3060">
              <w:t>fra kr 273 300 000 til kr 173 300 000</w:t>
            </w:r>
          </w:p>
        </w:tc>
        <w:tc>
          <w:tcPr>
            <w:tcW w:w="1717" w:type="dxa"/>
            <w:tcBorders>
              <w:top w:val="nil"/>
              <w:left w:val="nil"/>
              <w:bottom w:val="nil"/>
              <w:right w:val="nil"/>
            </w:tcBorders>
            <w:tcMar>
              <w:top w:w="128" w:type="dxa"/>
              <w:left w:w="43" w:type="dxa"/>
              <w:bottom w:w="43" w:type="dxa"/>
              <w:right w:w="43" w:type="dxa"/>
            </w:tcMar>
            <w:vAlign w:val="bottom"/>
          </w:tcPr>
          <w:p w14:paraId="740960B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6D09045" w14:textId="77777777" w:rsidR="000A2A2B" w:rsidRPr="007C3060" w:rsidRDefault="000A2A2B" w:rsidP="007C3060"/>
        </w:tc>
      </w:tr>
      <w:tr w:rsidR="004B729E" w:rsidRPr="007C3060" w14:paraId="2380818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5AAEE8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98D73CE" w14:textId="77777777" w:rsidR="000A2A2B" w:rsidRPr="007C3060" w:rsidRDefault="000A2A2B" w:rsidP="007C3060">
            <w:r w:rsidRPr="007C3060">
              <w:t>62</w:t>
            </w:r>
          </w:p>
        </w:tc>
        <w:tc>
          <w:tcPr>
            <w:tcW w:w="4819" w:type="dxa"/>
            <w:tcBorders>
              <w:top w:val="nil"/>
              <w:left w:val="nil"/>
              <w:bottom w:val="nil"/>
              <w:right w:val="nil"/>
            </w:tcBorders>
            <w:tcMar>
              <w:top w:w="128" w:type="dxa"/>
              <w:left w:w="43" w:type="dxa"/>
              <w:bottom w:w="43" w:type="dxa"/>
              <w:right w:w="43" w:type="dxa"/>
            </w:tcMar>
            <w:vAlign w:val="bottom"/>
          </w:tcPr>
          <w:p w14:paraId="52A0799B" w14:textId="77777777" w:rsidR="000A2A2B" w:rsidRPr="007C3060" w:rsidRDefault="000A2A2B" w:rsidP="007C3060">
            <w:r w:rsidRPr="007C3060">
              <w:t xml:space="preserve">Tilskudd til grønn skipsfart,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71660BF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2E7038F" w14:textId="77777777" w:rsidR="000A2A2B" w:rsidRPr="007C3060" w:rsidRDefault="000A2A2B" w:rsidP="007C3060">
            <w:r w:rsidRPr="007C3060">
              <w:t>11 514 000</w:t>
            </w:r>
          </w:p>
        </w:tc>
      </w:tr>
      <w:tr w:rsidR="004B729E" w:rsidRPr="007C3060" w14:paraId="0554F4A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3F7012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5F2E89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2D2AD85" w14:textId="77777777" w:rsidR="000A2A2B" w:rsidRPr="007C3060" w:rsidRDefault="000A2A2B" w:rsidP="007C3060">
            <w:r w:rsidRPr="007C3060">
              <w:t>fra kr 34 027 000 til kr 45 541 000</w:t>
            </w:r>
          </w:p>
        </w:tc>
        <w:tc>
          <w:tcPr>
            <w:tcW w:w="1717" w:type="dxa"/>
            <w:tcBorders>
              <w:top w:val="nil"/>
              <w:left w:val="nil"/>
              <w:bottom w:val="nil"/>
              <w:right w:val="nil"/>
            </w:tcBorders>
            <w:tcMar>
              <w:top w:w="128" w:type="dxa"/>
              <w:left w:w="43" w:type="dxa"/>
              <w:bottom w:w="43" w:type="dxa"/>
              <w:right w:w="43" w:type="dxa"/>
            </w:tcMar>
            <w:vAlign w:val="bottom"/>
          </w:tcPr>
          <w:p w14:paraId="7757A30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81629F8" w14:textId="77777777" w:rsidR="000A2A2B" w:rsidRPr="007C3060" w:rsidRDefault="000A2A2B" w:rsidP="007C3060"/>
        </w:tc>
      </w:tr>
      <w:tr w:rsidR="004B729E" w:rsidRPr="007C3060" w14:paraId="74EB2A2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739566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DB44A57" w14:textId="77777777" w:rsidR="000A2A2B" w:rsidRPr="007C3060" w:rsidRDefault="000A2A2B" w:rsidP="007C3060">
            <w:r w:rsidRPr="007C3060">
              <w:t>76</w:t>
            </w:r>
          </w:p>
        </w:tc>
        <w:tc>
          <w:tcPr>
            <w:tcW w:w="4819" w:type="dxa"/>
            <w:tcBorders>
              <w:top w:val="nil"/>
              <w:left w:val="nil"/>
              <w:bottom w:val="nil"/>
              <w:right w:val="nil"/>
            </w:tcBorders>
            <w:tcMar>
              <w:top w:w="128" w:type="dxa"/>
              <w:left w:w="43" w:type="dxa"/>
              <w:bottom w:w="43" w:type="dxa"/>
              <w:right w:w="43" w:type="dxa"/>
            </w:tcMar>
            <w:vAlign w:val="bottom"/>
          </w:tcPr>
          <w:p w14:paraId="6894C9CA" w14:textId="5FCD9D82" w:rsidR="000A2A2B" w:rsidRPr="007C3060" w:rsidRDefault="000A2A2B" w:rsidP="007C3060">
            <w:r w:rsidRPr="007C3060">
              <w:t>Refusjon ved innlevering av klima- og miljøskadelige stoffer,</w:t>
            </w:r>
            <w:r w:rsidRPr="007C3060">
              <w:rPr>
                <w:rStyle w:val="kursiv"/>
              </w:rPr>
              <w:t xml:space="preserve"> 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2F0E309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F965296" w14:textId="77777777" w:rsidR="000A2A2B" w:rsidRPr="007C3060" w:rsidRDefault="000A2A2B" w:rsidP="007C3060">
            <w:r w:rsidRPr="007C3060">
              <w:t>70 200 000</w:t>
            </w:r>
          </w:p>
        </w:tc>
      </w:tr>
      <w:tr w:rsidR="004B729E" w:rsidRPr="007C3060" w14:paraId="66B9116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CBDA03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1B7594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1E90522" w14:textId="77777777" w:rsidR="000A2A2B" w:rsidRPr="007C3060" w:rsidRDefault="000A2A2B" w:rsidP="007C3060">
            <w:r w:rsidRPr="007C3060">
              <w:t>fra kr 179 800 000 til kr 250 000 000</w:t>
            </w:r>
          </w:p>
        </w:tc>
        <w:tc>
          <w:tcPr>
            <w:tcW w:w="1717" w:type="dxa"/>
            <w:tcBorders>
              <w:top w:val="nil"/>
              <w:left w:val="nil"/>
              <w:bottom w:val="nil"/>
              <w:right w:val="nil"/>
            </w:tcBorders>
            <w:tcMar>
              <w:top w:w="128" w:type="dxa"/>
              <w:left w:w="43" w:type="dxa"/>
              <w:bottom w:w="43" w:type="dxa"/>
              <w:right w:w="43" w:type="dxa"/>
            </w:tcMar>
            <w:vAlign w:val="bottom"/>
          </w:tcPr>
          <w:p w14:paraId="2376CB5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F645261" w14:textId="77777777" w:rsidR="000A2A2B" w:rsidRPr="007C3060" w:rsidRDefault="000A2A2B" w:rsidP="007C3060"/>
        </w:tc>
      </w:tr>
      <w:tr w:rsidR="004B729E" w:rsidRPr="007C3060" w14:paraId="1B03B648"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4DE79A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5EE13EC" w14:textId="77777777" w:rsidR="000A2A2B" w:rsidRPr="007C3060" w:rsidRDefault="000A2A2B" w:rsidP="007C3060">
            <w:r w:rsidRPr="007C3060">
              <w:t>80</w:t>
            </w:r>
          </w:p>
        </w:tc>
        <w:tc>
          <w:tcPr>
            <w:tcW w:w="4819" w:type="dxa"/>
            <w:tcBorders>
              <w:top w:val="nil"/>
              <w:left w:val="nil"/>
              <w:bottom w:val="nil"/>
              <w:right w:val="nil"/>
            </w:tcBorders>
            <w:tcMar>
              <w:top w:w="128" w:type="dxa"/>
              <w:left w:w="43" w:type="dxa"/>
              <w:bottom w:w="43" w:type="dxa"/>
              <w:right w:w="43" w:type="dxa"/>
            </w:tcMar>
            <w:vAlign w:val="bottom"/>
          </w:tcPr>
          <w:p w14:paraId="597F222B" w14:textId="6E206841" w:rsidR="000A2A2B" w:rsidRPr="007C3060" w:rsidRDefault="000A2A2B" w:rsidP="007C3060">
            <w:r w:rsidRPr="007C3060">
              <w:t xml:space="preserve">Tilskudd til tiltak for å ta vare på natur,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D4EB8D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016F00B" w14:textId="77777777" w:rsidR="000A2A2B" w:rsidRPr="007C3060" w:rsidRDefault="000A2A2B" w:rsidP="007C3060">
            <w:r w:rsidRPr="007C3060">
              <w:t>1 400 000</w:t>
            </w:r>
          </w:p>
        </w:tc>
      </w:tr>
      <w:tr w:rsidR="004B729E" w:rsidRPr="007C3060" w14:paraId="0C7FF1A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874AB4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EDC2C7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FA3CC4B" w14:textId="77777777" w:rsidR="000A2A2B" w:rsidRPr="007C3060" w:rsidRDefault="000A2A2B" w:rsidP="007C3060">
            <w:r w:rsidRPr="007C3060">
              <w:t>fra kr 214 908 000 til kr 213 508 000</w:t>
            </w:r>
          </w:p>
        </w:tc>
        <w:tc>
          <w:tcPr>
            <w:tcW w:w="1717" w:type="dxa"/>
            <w:tcBorders>
              <w:top w:val="nil"/>
              <w:left w:val="nil"/>
              <w:bottom w:val="nil"/>
              <w:right w:val="nil"/>
            </w:tcBorders>
            <w:tcMar>
              <w:top w:w="128" w:type="dxa"/>
              <w:left w:w="43" w:type="dxa"/>
              <w:bottom w:w="43" w:type="dxa"/>
              <w:right w:w="43" w:type="dxa"/>
            </w:tcMar>
            <w:vAlign w:val="bottom"/>
          </w:tcPr>
          <w:p w14:paraId="59E1300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EFBC9F8" w14:textId="77777777" w:rsidR="000A2A2B" w:rsidRPr="007C3060" w:rsidRDefault="000A2A2B" w:rsidP="007C3060"/>
        </w:tc>
      </w:tr>
      <w:tr w:rsidR="004B729E" w:rsidRPr="007C3060" w14:paraId="7D8BA78C"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36592B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ABA5F89" w14:textId="77777777" w:rsidR="000A2A2B" w:rsidRPr="007C3060" w:rsidRDefault="000A2A2B" w:rsidP="007C3060">
            <w:r w:rsidRPr="007C3060">
              <w:t>85</w:t>
            </w:r>
          </w:p>
        </w:tc>
        <w:tc>
          <w:tcPr>
            <w:tcW w:w="4819" w:type="dxa"/>
            <w:tcBorders>
              <w:top w:val="nil"/>
              <w:left w:val="nil"/>
              <w:bottom w:val="nil"/>
              <w:right w:val="nil"/>
            </w:tcBorders>
            <w:tcMar>
              <w:top w:w="128" w:type="dxa"/>
              <w:left w:w="43" w:type="dxa"/>
              <w:bottom w:w="43" w:type="dxa"/>
              <w:right w:w="43" w:type="dxa"/>
            </w:tcMar>
            <w:vAlign w:val="bottom"/>
          </w:tcPr>
          <w:p w14:paraId="2AEFB136" w14:textId="6C4C7242" w:rsidR="000A2A2B" w:rsidRPr="007C3060" w:rsidRDefault="000A2A2B" w:rsidP="007C3060">
            <w:r w:rsidRPr="007C3060">
              <w:t xml:space="preserve">Tilskudd til besøkssenter for natur og verdensarv, </w:t>
            </w:r>
            <w:r w:rsidRPr="007C3060">
              <w:rPr>
                <w:rStyle w:val="kursiv"/>
              </w:rPr>
              <w:t>kan overføres,</w:t>
            </w:r>
            <w:r w:rsidRPr="007C3060">
              <w:t xml:space="preserve"> forhøyes med </w:t>
            </w:r>
          </w:p>
        </w:tc>
        <w:tc>
          <w:tcPr>
            <w:tcW w:w="1717" w:type="dxa"/>
            <w:tcBorders>
              <w:top w:val="nil"/>
              <w:left w:val="nil"/>
              <w:bottom w:val="nil"/>
              <w:right w:val="nil"/>
            </w:tcBorders>
            <w:tcMar>
              <w:top w:w="128" w:type="dxa"/>
              <w:left w:w="43" w:type="dxa"/>
              <w:bottom w:w="43" w:type="dxa"/>
              <w:right w:w="43" w:type="dxa"/>
            </w:tcMar>
            <w:vAlign w:val="bottom"/>
          </w:tcPr>
          <w:p w14:paraId="486E1F1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AA765D" w14:textId="77777777" w:rsidR="000A2A2B" w:rsidRPr="007C3060" w:rsidRDefault="000A2A2B" w:rsidP="007C3060">
            <w:r w:rsidRPr="007C3060">
              <w:t>800 000</w:t>
            </w:r>
          </w:p>
        </w:tc>
      </w:tr>
      <w:tr w:rsidR="004B729E" w:rsidRPr="007C3060" w14:paraId="0BA0CE5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1A796E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555DFA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A731179" w14:textId="77777777" w:rsidR="000A2A2B" w:rsidRPr="007C3060" w:rsidRDefault="000A2A2B" w:rsidP="007C3060">
            <w:r w:rsidRPr="007C3060">
              <w:t>fra kr 103 898 000 til kr 104 698 000</w:t>
            </w:r>
          </w:p>
        </w:tc>
        <w:tc>
          <w:tcPr>
            <w:tcW w:w="1717" w:type="dxa"/>
            <w:tcBorders>
              <w:top w:val="nil"/>
              <w:left w:val="nil"/>
              <w:bottom w:val="nil"/>
              <w:right w:val="nil"/>
            </w:tcBorders>
            <w:tcMar>
              <w:top w:w="128" w:type="dxa"/>
              <w:left w:w="43" w:type="dxa"/>
              <w:bottom w:w="43" w:type="dxa"/>
              <w:right w:w="43" w:type="dxa"/>
            </w:tcMar>
            <w:vAlign w:val="bottom"/>
          </w:tcPr>
          <w:p w14:paraId="7B71FAB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EAC1B51" w14:textId="77777777" w:rsidR="000A2A2B" w:rsidRPr="007C3060" w:rsidRDefault="000A2A2B" w:rsidP="007C3060"/>
        </w:tc>
      </w:tr>
      <w:tr w:rsidR="004B729E" w:rsidRPr="007C3060" w14:paraId="3A173F3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3199AC1" w14:textId="77777777" w:rsidR="000A2A2B" w:rsidRPr="007C3060" w:rsidRDefault="000A2A2B" w:rsidP="007C3060">
            <w:r w:rsidRPr="007C3060">
              <w:t>1425</w:t>
            </w:r>
          </w:p>
        </w:tc>
        <w:tc>
          <w:tcPr>
            <w:tcW w:w="992" w:type="dxa"/>
            <w:tcBorders>
              <w:top w:val="nil"/>
              <w:left w:val="nil"/>
              <w:bottom w:val="nil"/>
              <w:right w:val="nil"/>
            </w:tcBorders>
            <w:tcMar>
              <w:top w:w="128" w:type="dxa"/>
              <w:left w:w="43" w:type="dxa"/>
              <w:bottom w:w="43" w:type="dxa"/>
              <w:right w:w="123" w:type="dxa"/>
            </w:tcMar>
          </w:tcPr>
          <w:p w14:paraId="7852B73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84B1E9C" w14:textId="77777777" w:rsidR="000A2A2B" w:rsidRPr="007C3060" w:rsidRDefault="000A2A2B" w:rsidP="007C3060">
            <w:r w:rsidRPr="007C3060">
              <w:t>Fisketiltak:</w:t>
            </w:r>
          </w:p>
        </w:tc>
        <w:tc>
          <w:tcPr>
            <w:tcW w:w="1717" w:type="dxa"/>
            <w:tcBorders>
              <w:top w:val="nil"/>
              <w:left w:val="nil"/>
              <w:bottom w:val="nil"/>
              <w:right w:val="nil"/>
            </w:tcBorders>
            <w:tcMar>
              <w:top w:w="128" w:type="dxa"/>
              <w:left w:w="43" w:type="dxa"/>
              <w:bottom w:w="43" w:type="dxa"/>
              <w:right w:w="43" w:type="dxa"/>
            </w:tcMar>
            <w:vAlign w:val="bottom"/>
          </w:tcPr>
          <w:p w14:paraId="14E1FC8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CA25157" w14:textId="77777777" w:rsidR="000A2A2B" w:rsidRPr="007C3060" w:rsidRDefault="000A2A2B" w:rsidP="007C3060"/>
        </w:tc>
      </w:tr>
      <w:tr w:rsidR="004B729E" w:rsidRPr="007C3060" w14:paraId="580BDFD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8E0D4D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451BD87"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5EE0CF30" w14:textId="77777777" w:rsidR="000A2A2B" w:rsidRPr="007C3060" w:rsidRDefault="000A2A2B" w:rsidP="007C3060">
            <w:r w:rsidRPr="007C3060">
              <w:t xml:space="preserve">Tilskudd til fiskeformål,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1795AE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7A10A10" w14:textId="77777777" w:rsidR="000A2A2B" w:rsidRPr="007C3060" w:rsidRDefault="000A2A2B" w:rsidP="007C3060">
            <w:r w:rsidRPr="007C3060">
              <w:t>2 374 000</w:t>
            </w:r>
          </w:p>
        </w:tc>
      </w:tr>
      <w:tr w:rsidR="004B729E" w:rsidRPr="007C3060" w14:paraId="3224BDD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A97987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4C0169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83096FF" w14:textId="77777777" w:rsidR="000A2A2B" w:rsidRPr="007C3060" w:rsidRDefault="000A2A2B" w:rsidP="007C3060">
            <w:r w:rsidRPr="007C3060">
              <w:t>fra kr 17 553 000 til kr 15 179 000</w:t>
            </w:r>
          </w:p>
        </w:tc>
        <w:tc>
          <w:tcPr>
            <w:tcW w:w="1717" w:type="dxa"/>
            <w:tcBorders>
              <w:top w:val="nil"/>
              <w:left w:val="nil"/>
              <w:bottom w:val="nil"/>
              <w:right w:val="nil"/>
            </w:tcBorders>
            <w:tcMar>
              <w:top w:w="128" w:type="dxa"/>
              <w:left w:w="43" w:type="dxa"/>
              <w:bottom w:w="43" w:type="dxa"/>
              <w:right w:w="43" w:type="dxa"/>
            </w:tcMar>
            <w:vAlign w:val="bottom"/>
          </w:tcPr>
          <w:p w14:paraId="5B1D882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6FE3ADC" w14:textId="77777777" w:rsidR="000A2A2B" w:rsidRPr="007C3060" w:rsidRDefault="000A2A2B" w:rsidP="007C3060"/>
        </w:tc>
      </w:tr>
      <w:tr w:rsidR="004B729E" w:rsidRPr="007C3060" w14:paraId="7BC9C81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69402F3" w14:textId="77777777" w:rsidR="000A2A2B" w:rsidRPr="007C3060" w:rsidRDefault="000A2A2B" w:rsidP="007C3060">
            <w:r w:rsidRPr="007C3060">
              <w:t>1429</w:t>
            </w:r>
          </w:p>
        </w:tc>
        <w:tc>
          <w:tcPr>
            <w:tcW w:w="992" w:type="dxa"/>
            <w:tcBorders>
              <w:top w:val="nil"/>
              <w:left w:val="nil"/>
              <w:bottom w:val="nil"/>
              <w:right w:val="nil"/>
            </w:tcBorders>
            <w:tcMar>
              <w:top w:w="128" w:type="dxa"/>
              <w:left w:w="43" w:type="dxa"/>
              <w:bottom w:w="43" w:type="dxa"/>
              <w:right w:w="123" w:type="dxa"/>
            </w:tcMar>
          </w:tcPr>
          <w:p w14:paraId="37420B4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BB87FCE" w14:textId="77777777" w:rsidR="000A2A2B" w:rsidRPr="007C3060" w:rsidRDefault="000A2A2B" w:rsidP="007C3060">
            <w:r w:rsidRPr="007C3060">
              <w:t>Riksantikvaren:</w:t>
            </w:r>
          </w:p>
        </w:tc>
        <w:tc>
          <w:tcPr>
            <w:tcW w:w="1717" w:type="dxa"/>
            <w:tcBorders>
              <w:top w:val="nil"/>
              <w:left w:val="nil"/>
              <w:bottom w:val="nil"/>
              <w:right w:val="nil"/>
            </w:tcBorders>
            <w:tcMar>
              <w:top w:w="128" w:type="dxa"/>
              <w:left w:w="43" w:type="dxa"/>
              <w:bottom w:w="43" w:type="dxa"/>
              <w:right w:w="43" w:type="dxa"/>
            </w:tcMar>
            <w:vAlign w:val="bottom"/>
          </w:tcPr>
          <w:p w14:paraId="700C052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82FC5F3" w14:textId="77777777" w:rsidR="000A2A2B" w:rsidRPr="007C3060" w:rsidRDefault="000A2A2B" w:rsidP="007C3060"/>
        </w:tc>
      </w:tr>
      <w:tr w:rsidR="004B729E" w:rsidRPr="007C3060" w14:paraId="382C9D4D"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070D881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D2A0E74"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417951E8" w14:textId="77777777" w:rsidR="000A2A2B" w:rsidRPr="007C3060" w:rsidRDefault="000A2A2B" w:rsidP="007C3060">
            <w:r w:rsidRPr="007C3060">
              <w:t>Tilskudd til bygninger og anlegg fra middelalderen og brannsikring,</w:t>
            </w:r>
            <w:r w:rsidRPr="007C3060">
              <w:rPr>
                <w:rStyle w:val="kursiv"/>
              </w:rPr>
              <w:t xml:space="preserve"> kan overføres</w:t>
            </w:r>
            <w:r w:rsidRPr="007C3060">
              <w:t xml:space="preserve">, nedsettes med </w:t>
            </w:r>
          </w:p>
        </w:tc>
        <w:tc>
          <w:tcPr>
            <w:tcW w:w="1717" w:type="dxa"/>
            <w:tcBorders>
              <w:top w:val="nil"/>
              <w:left w:val="nil"/>
              <w:bottom w:val="nil"/>
              <w:right w:val="nil"/>
            </w:tcBorders>
            <w:tcMar>
              <w:top w:w="128" w:type="dxa"/>
              <w:left w:w="43" w:type="dxa"/>
              <w:bottom w:w="43" w:type="dxa"/>
              <w:right w:w="43" w:type="dxa"/>
            </w:tcMar>
            <w:vAlign w:val="bottom"/>
          </w:tcPr>
          <w:p w14:paraId="6647FBF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29AD00E" w14:textId="77777777" w:rsidR="000A2A2B" w:rsidRPr="007C3060" w:rsidRDefault="000A2A2B" w:rsidP="007C3060">
            <w:r w:rsidRPr="007C3060">
              <w:t>5 000 000</w:t>
            </w:r>
          </w:p>
        </w:tc>
      </w:tr>
      <w:tr w:rsidR="004B729E" w:rsidRPr="007C3060" w14:paraId="389BDAA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29B625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E17CB5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1E0A37F" w14:textId="77777777" w:rsidR="000A2A2B" w:rsidRPr="007C3060" w:rsidRDefault="000A2A2B" w:rsidP="007C3060">
            <w:r w:rsidRPr="007C3060">
              <w:t>fra kr 52 850 000 til kr 47 850 000</w:t>
            </w:r>
          </w:p>
        </w:tc>
        <w:tc>
          <w:tcPr>
            <w:tcW w:w="1717" w:type="dxa"/>
            <w:tcBorders>
              <w:top w:val="nil"/>
              <w:left w:val="nil"/>
              <w:bottom w:val="nil"/>
              <w:right w:val="nil"/>
            </w:tcBorders>
            <w:tcMar>
              <w:top w:w="128" w:type="dxa"/>
              <w:left w:w="43" w:type="dxa"/>
              <w:bottom w:w="43" w:type="dxa"/>
              <w:right w:w="43" w:type="dxa"/>
            </w:tcMar>
            <w:vAlign w:val="bottom"/>
          </w:tcPr>
          <w:p w14:paraId="11ECFF4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C0A0CDA" w14:textId="77777777" w:rsidR="000A2A2B" w:rsidRPr="007C3060" w:rsidRDefault="000A2A2B" w:rsidP="007C3060"/>
        </w:tc>
      </w:tr>
      <w:tr w:rsidR="004B729E" w:rsidRPr="007C3060" w14:paraId="11AC850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E2092EF" w14:textId="77777777" w:rsidR="000A2A2B" w:rsidRPr="007C3060" w:rsidRDefault="000A2A2B" w:rsidP="007C3060">
            <w:r w:rsidRPr="007C3060">
              <w:t>1432</w:t>
            </w:r>
          </w:p>
        </w:tc>
        <w:tc>
          <w:tcPr>
            <w:tcW w:w="992" w:type="dxa"/>
            <w:tcBorders>
              <w:top w:val="nil"/>
              <w:left w:val="nil"/>
              <w:bottom w:val="nil"/>
              <w:right w:val="nil"/>
            </w:tcBorders>
            <w:tcMar>
              <w:top w:w="128" w:type="dxa"/>
              <w:left w:w="43" w:type="dxa"/>
              <w:bottom w:w="43" w:type="dxa"/>
              <w:right w:w="123" w:type="dxa"/>
            </w:tcMar>
          </w:tcPr>
          <w:p w14:paraId="52B1B93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71C078B" w14:textId="77777777" w:rsidR="000A2A2B" w:rsidRPr="007C3060" w:rsidRDefault="000A2A2B" w:rsidP="007C3060">
            <w:r w:rsidRPr="007C3060">
              <w:t>Norsk kulturminnefond:</w:t>
            </w:r>
          </w:p>
        </w:tc>
        <w:tc>
          <w:tcPr>
            <w:tcW w:w="1717" w:type="dxa"/>
            <w:tcBorders>
              <w:top w:val="nil"/>
              <w:left w:val="nil"/>
              <w:bottom w:val="nil"/>
              <w:right w:val="nil"/>
            </w:tcBorders>
            <w:tcMar>
              <w:top w:w="128" w:type="dxa"/>
              <w:left w:w="43" w:type="dxa"/>
              <w:bottom w:w="43" w:type="dxa"/>
              <w:right w:w="43" w:type="dxa"/>
            </w:tcMar>
            <w:vAlign w:val="bottom"/>
          </w:tcPr>
          <w:p w14:paraId="595A23A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217AF49" w14:textId="77777777" w:rsidR="000A2A2B" w:rsidRPr="007C3060" w:rsidRDefault="000A2A2B" w:rsidP="007C3060"/>
        </w:tc>
      </w:tr>
      <w:tr w:rsidR="004B729E" w:rsidRPr="007C3060" w14:paraId="182FF7F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276FFA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A3B9645" w14:textId="77777777" w:rsidR="000A2A2B" w:rsidRPr="007C3060" w:rsidRDefault="000A2A2B" w:rsidP="007C3060">
            <w:r w:rsidRPr="007C3060">
              <w:t>50</w:t>
            </w:r>
          </w:p>
        </w:tc>
        <w:tc>
          <w:tcPr>
            <w:tcW w:w="4819" w:type="dxa"/>
            <w:tcBorders>
              <w:top w:val="nil"/>
              <w:left w:val="nil"/>
              <w:bottom w:val="nil"/>
              <w:right w:val="nil"/>
            </w:tcBorders>
            <w:tcMar>
              <w:top w:w="128" w:type="dxa"/>
              <w:left w:w="43" w:type="dxa"/>
              <w:bottom w:w="43" w:type="dxa"/>
              <w:right w:w="43" w:type="dxa"/>
            </w:tcMar>
            <w:vAlign w:val="bottom"/>
          </w:tcPr>
          <w:p w14:paraId="6B00A9A8" w14:textId="77777777" w:rsidR="000A2A2B" w:rsidRPr="007C3060" w:rsidRDefault="000A2A2B" w:rsidP="007C3060">
            <w:r w:rsidRPr="007C3060">
              <w:t>Til disposisjon for tiltak på kulturmiljøfeltet, nedsettes med</w:t>
            </w:r>
          </w:p>
        </w:tc>
        <w:tc>
          <w:tcPr>
            <w:tcW w:w="1717" w:type="dxa"/>
            <w:tcBorders>
              <w:top w:val="nil"/>
              <w:left w:val="nil"/>
              <w:bottom w:val="nil"/>
              <w:right w:val="nil"/>
            </w:tcBorders>
            <w:tcMar>
              <w:top w:w="128" w:type="dxa"/>
              <w:left w:w="43" w:type="dxa"/>
              <w:bottom w:w="43" w:type="dxa"/>
              <w:right w:w="43" w:type="dxa"/>
            </w:tcMar>
            <w:vAlign w:val="bottom"/>
          </w:tcPr>
          <w:p w14:paraId="1379950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A5634AF" w14:textId="77777777" w:rsidR="000A2A2B" w:rsidRPr="007C3060" w:rsidRDefault="000A2A2B" w:rsidP="007C3060">
            <w:r w:rsidRPr="007C3060">
              <w:t>20 000 000</w:t>
            </w:r>
          </w:p>
        </w:tc>
      </w:tr>
      <w:tr w:rsidR="004B729E" w:rsidRPr="007C3060" w14:paraId="1F9C8F1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3478E4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B29F65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3DC1218" w14:textId="77777777" w:rsidR="000A2A2B" w:rsidRPr="007C3060" w:rsidRDefault="000A2A2B" w:rsidP="007C3060">
            <w:r w:rsidRPr="007C3060">
              <w:t>fra kr 137 254 000 til kr 117 254 000</w:t>
            </w:r>
          </w:p>
        </w:tc>
        <w:tc>
          <w:tcPr>
            <w:tcW w:w="1717" w:type="dxa"/>
            <w:tcBorders>
              <w:top w:val="nil"/>
              <w:left w:val="nil"/>
              <w:bottom w:val="nil"/>
              <w:right w:val="nil"/>
            </w:tcBorders>
            <w:tcMar>
              <w:top w:w="128" w:type="dxa"/>
              <w:left w:w="43" w:type="dxa"/>
              <w:bottom w:w="43" w:type="dxa"/>
              <w:right w:w="43" w:type="dxa"/>
            </w:tcMar>
            <w:vAlign w:val="bottom"/>
          </w:tcPr>
          <w:p w14:paraId="6CAEECD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DC026C8" w14:textId="77777777" w:rsidR="000A2A2B" w:rsidRPr="007C3060" w:rsidRDefault="000A2A2B" w:rsidP="007C3060"/>
        </w:tc>
      </w:tr>
      <w:tr w:rsidR="004B729E" w:rsidRPr="007C3060" w14:paraId="0FB2C0D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42B17D0" w14:textId="77777777" w:rsidR="000A2A2B" w:rsidRPr="007C3060" w:rsidRDefault="000A2A2B" w:rsidP="007C3060">
            <w:r w:rsidRPr="007C3060">
              <w:t>1471</w:t>
            </w:r>
          </w:p>
        </w:tc>
        <w:tc>
          <w:tcPr>
            <w:tcW w:w="992" w:type="dxa"/>
            <w:tcBorders>
              <w:top w:val="nil"/>
              <w:left w:val="nil"/>
              <w:bottom w:val="nil"/>
              <w:right w:val="nil"/>
            </w:tcBorders>
            <w:tcMar>
              <w:top w:w="128" w:type="dxa"/>
              <w:left w:w="43" w:type="dxa"/>
              <w:bottom w:w="43" w:type="dxa"/>
              <w:right w:w="123" w:type="dxa"/>
            </w:tcMar>
          </w:tcPr>
          <w:p w14:paraId="143D5CF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123E70B" w14:textId="77777777" w:rsidR="000A2A2B" w:rsidRPr="007C3060" w:rsidRDefault="000A2A2B" w:rsidP="007C3060">
            <w:r w:rsidRPr="007C3060">
              <w:t>Norsk Polarinstitutt:</w:t>
            </w:r>
          </w:p>
        </w:tc>
        <w:tc>
          <w:tcPr>
            <w:tcW w:w="1717" w:type="dxa"/>
            <w:tcBorders>
              <w:top w:val="nil"/>
              <w:left w:val="nil"/>
              <w:bottom w:val="nil"/>
              <w:right w:val="nil"/>
            </w:tcBorders>
            <w:tcMar>
              <w:top w:w="128" w:type="dxa"/>
              <w:left w:w="43" w:type="dxa"/>
              <w:bottom w:w="43" w:type="dxa"/>
              <w:right w:w="43" w:type="dxa"/>
            </w:tcMar>
            <w:vAlign w:val="bottom"/>
          </w:tcPr>
          <w:p w14:paraId="296341C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FDF2C48" w14:textId="77777777" w:rsidR="000A2A2B" w:rsidRPr="007C3060" w:rsidRDefault="000A2A2B" w:rsidP="007C3060"/>
        </w:tc>
      </w:tr>
      <w:tr w:rsidR="004B729E" w:rsidRPr="007C3060" w14:paraId="3F3F9BC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79BD2A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FED9B34"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2967CC65"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0E19028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081D119" w14:textId="77777777" w:rsidR="000A2A2B" w:rsidRPr="007C3060" w:rsidRDefault="000A2A2B" w:rsidP="007C3060">
            <w:r w:rsidRPr="007C3060">
              <w:t>85 034 000</w:t>
            </w:r>
          </w:p>
        </w:tc>
      </w:tr>
      <w:tr w:rsidR="004B729E" w:rsidRPr="007C3060" w14:paraId="45844C4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648DAB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3FB971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5E11E4F" w14:textId="77777777" w:rsidR="000A2A2B" w:rsidRPr="007C3060" w:rsidRDefault="000A2A2B" w:rsidP="007C3060">
            <w:r w:rsidRPr="007C3060">
              <w:t>fra kr 265 927 000 til kr 350 961 000</w:t>
            </w:r>
          </w:p>
        </w:tc>
        <w:tc>
          <w:tcPr>
            <w:tcW w:w="1717" w:type="dxa"/>
            <w:tcBorders>
              <w:top w:val="nil"/>
              <w:left w:val="nil"/>
              <w:bottom w:val="nil"/>
              <w:right w:val="nil"/>
            </w:tcBorders>
            <w:tcMar>
              <w:top w:w="128" w:type="dxa"/>
              <w:left w:w="43" w:type="dxa"/>
              <w:bottom w:w="43" w:type="dxa"/>
              <w:right w:w="43" w:type="dxa"/>
            </w:tcMar>
            <w:vAlign w:val="bottom"/>
          </w:tcPr>
          <w:p w14:paraId="3854905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F31688B" w14:textId="77777777" w:rsidR="000A2A2B" w:rsidRPr="007C3060" w:rsidRDefault="000A2A2B" w:rsidP="007C3060"/>
        </w:tc>
      </w:tr>
      <w:tr w:rsidR="004B729E" w:rsidRPr="007C3060" w14:paraId="601D5FF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F6FFB7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60EE7BD"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04DCF988" w14:textId="77777777" w:rsidR="000A2A2B" w:rsidRPr="007C3060" w:rsidRDefault="000A2A2B" w:rsidP="007C3060">
            <w:r w:rsidRPr="007C3060">
              <w:t xml:space="preserve">Spesielle driftsutgifter,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2C5D8EE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C400C1C" w14:textId="77777777" w:rsidR="000A2A2B" w:rsidRPr="007C3060" w:rsidRDefault="000A2A2B" w:rsidP="007C3060">
            <w:r w:rsidRPr="007C3060">
              <w:t>21 300 000</w:t>
            </w:r>
          </w:p>
        </w:tc>
      </w:tr>
      <w:tr w:rsidR="004B729E" w:rsidRPr="007C3060" w14:paraId="6F17501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1F87A9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4842BE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D9615F7" w14:textId="77777777" w:rsidR="000A2A2B" w:rsidRPr="007C3060" w:rsidRDefault="000A2A2B" w:rsidP="007C3060">
            <w:r w:rsidRPr="007C3060">
              <w:t>fra kr 129 623 000 til kr 150 923 000</w:t>
            </w:r>
          </w:p>
        </w:tc>
        <w:tc>
          <w:tcPr>
            <w:tcW w:w="1717" w:type="dxa"/>
            <w:tcBorders>
              <w:top w:val="nil"/>
              <w:left w:val="nil"/>
              <w:bottom w:val="nil"/>
              <w:right w:val="nil"/>
            </w:tcBorders>
            <w:tcMar>
              <w:top w:w="128" w:type="dxa"/>
              <w:left w:w="43" w:type="dxa"/>
              <w:bottom w:w="43" w:type="dxa"/>
              <w:right w:w="43" w:type="dxa"/>
            </w:tcMar>
            <w:vAlign w:val="bottom"/>
          </w:tcPr>
          <w:p w14:paraId="71D569A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3437CCB" w14:textId="77777777" w:rsidR="000A2A2B" w:rsidRPr="007C3060" w:rsidRDefault="000A2A2B" w:rsidP="007C3060"/>
        </w:tc>
      </w:tr>
      <w:tr w:rsidR="004B729E" w:rsidRPr="007C3060" w14:paraId="438745A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C683BC0" w14:textId="77777777" w:rsidR="000A2A2B" w:rsidRPr="007C3060" w:rsidRDefault="000A2A2B" w:rsidP="007C3060">
            <w:r w:rsidRPr="007C3060">
              <w:t>1481</w:t>
            </w:r>
          </w:p>
        </w:tc>
        <w:tc>
          <w:tcPr>
            <w:tcW w:w="992" w:type="dxa"/>
            <w:tcBorders>
              <w:top w:val="nil"/>
              <w:left w:val="nil"/>
              <w:bottom w:val="nil"/>
              <w:right w:val="nil"/>
            </w:tcBorders>
            <w:tcMar>
              <w:top w:w="128" w:type="dxa"/>
              <w:left w:w="43" w:type="dxa"/>
              <w:bottom w:w="43" w:type="dxa"/>
              <w:right w:w="123" w:type="dxa"/>
            </w:tcMar>
          </w:tcPr>
          <w:p w14:paraId="75C913F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E107F4B" w14:textId="77777777" w:rsidR="000A2A2B" w:rsidRPr="007C3060" w:rsidRDefault="000A2A2B" w:rsidP="007C3060">
            <w:r w:rsidRPr="007C3060">
              <w:t>Klimakvoter:</w:t>
            </w:r>
          </w:p>
        </w:tc>
        <w:tc>
          <w:tcPr>
            <w:tcW w:w="1717" w:type="dxa"/>
            <w:tcBorders>
              <w:top w:val="nil"/>
              <w:left w:val="nil"/>
              <w:bottom w:val="nil"/>
              <w:right w:val="nil"/>
            </w:tcBorders>
            <w:tcMar>
              <w:top w:w="128" w:type="dxa"/>
              <w:left w:w="43" w:type="dxa"/>
              <w:bottom w:w="43" w:type="dxa"/>
              <w:right w:w="43" w:type="dxa"/>
            </w:tcMar>
            <w:vAlign w:val="bottom"/>
          </w:tcPr>
          <w:p w14:paraId="19F0248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CB554E9" w14:textId="77777777" w:rsidR="000A2A2B" w:rsidRPr="007C3060" w:rsidRDefault="000A2A2B" w:rsidP="007C3060"/>
        </w:tc>
      </w:tr>
      <w:tr w:rsidR="004B729E" w:rsidRPr="007C3060" w14:paraId="6245567C"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78753A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DA04A63"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69529E51" w14:textId="77777777" w:rsidR="000A2A2B" w:rsidRPr="007C3060" w:rsidRDefault="000A2A2B" w:rsidP="007C3060">
            <w:r w:rsidRPr="007C3060">
              <w:t xml:space="preserve">Internasjonalt samarbeid under Parisavtalens artikkel 6, </w:t>
            </w:r>
            <w:r w:rsidRPr="007C3060">
              <w:rPr>
                <w:rStyle w:val="kursiv"/>
              </w:rPr>
              <w:t xml:space="preserve">kan overføres,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219067E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BEF315B" w14:textId="77777777" w:rsidR="000A2A2B" w:rsidRPr="007C3060" w:rsidRDefault="000A2A2B" w:rsidP="007C3060">
            <w:r w:rsidRPr="007C3060">
              <w:t>142 000 000</w:t>
            </w:r>
          </w:p>
        </w:tc>
      </w:tr>
      <w:tr w:rsidR="004B729E" w:rsidRPr="007C3060" w14:paraId="02BE39A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913B88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499DE1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DE9FF28" w14:textId="77777777" w:rsidR="000A2A2B" w:rsidRPr="007C3060" w:rsidRDefault="000A2A2B" w:rsidP="007C3060">
            <w:r w:rsidRPr="007C3060">
              <w:t>fra kr 300 000 000 til kr 158 000 000</w:t>
            </w:r>
          </w:p>
        </w:tc>
        <w:tc>
          <w:tcPr>
            <w:tcW w:w="1717" w:type="dxa"/>
            <w:tcBorders>
              <w:top w:val="nil"/>
              <w:left w:val="nil"/>
              <w:bottom w:val="nil"/>
              <w:right w:val="nil"/>
            </w:tcBorders>
            <w:tcMar>
              <w:top w:w="128" w:type="dxa"/>
              <w:left w:w="43" w:type="dxa"/>
              <w:bottom w:w="43" w:type="dxa"/>
              <w:right w:w="43" w:type="dxa"/>
            </w:tcMar>
            <w:vAlign w:val="bottom"/>
          </w:tcPr>
          <w:p w14:paraId="54EE837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D362F37" w14:textId="77777777" w:rsidR="000A2A2B" w:rsidRPr="007C3060" w:rsidRDefault="000A2A2B" w:rsidP="007C3060"/>
        </w:tc>
      </w:tr>
      <w:tr w:rsidR="004B729E" w:rsidRPr="007C3060" w14:paraId="30DAA3A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6B6B25A" w14:textId="77777777" w:rsidR="000A2A2B" w:rsidRPr="007C3060" w:rsidRDefault="000A2A2B" w:rsidP="007C3060">
            <w:r w:rsidRPr="007C3060">
              <w:t>1500</w:t>
            </w:r>
          </w:p>
        </w:tc>
        <w:tc>
          <w:tcPr>
            <w:tcW w:w="992" w:type="dxa"/>
            <w:tcBorders>
              <w:top w:val="nil"/>
              <w:left w:val="nil"/>
              <w:bottom w:val="nil"/>
              <w:right w:val="nil"/>
            </w:tcBorders>
            <w:tcMar>
              <w:top w:w="128" w:type="dxa"/>
              <w:left w:w="43" w:type="dxa"/>
              <w:bottom w:w="43" w:type="dxa"/>
              <w:right w:w="123" w:type="dxa"/>
            </w:tcMar>
          </w:tcPr>
          <w:p w14:paraId="39E51C1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57440DB" w14:textId="77777777" w:rsidR="000A2A2B" w:rsidRPr="007C3060" w:rsidRDefault="000A2A2B" w:rsidP="007C3060">
            <w:r w:rsidRPr="007C3060">
              <w:t>Digitaliserings- og forvaltningsdepartementet:</w:t>
            </w:r>
          </w:p>
        </w:tc>
        <w:tc>
          <w:tcPr>
            <w:tcW w:w="1717" w:type="dxa"/>
            <w:tcBorders>
              <w:top w:val="nil"/>
              <w:left w:val="nil"/>
              <w:bottom w:val="nil"/>
              <w:right w:val="nil"/>
            </w:tcBorders>
            <w:tcMar>
              <w:top w:w="128" w:type="dxa"/>
              <w:left w:w="43" w:type="dxa"/>
              <w:bottom w:w="43" w:type="dxa"/>
              <w:right w:w="43" w:type="dxa"/>
            </w:tcMar>
            <w:vAlign w:val="bottom"/>
          </w:tcPr>
          <w:p w14:paraId="77E8CD8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9208D54" w14:textId="77777777" w:rsidR="000A2A2B" w:rsidRPr="007C3060" w:rsidRDefault="000A2A2B" w:rsidP="007C3060"/>
        </w:tc>
      </w:tr>
      <w:tr w:rsidR="004B729E" w:rsidRPr="007C3060" w14:paraId="10E8564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EC5638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58944A3"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7E1AD2F7"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661C3EF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4A7B56F" w14:textId="77777777" w:rsidR="000A2A2B" w:rsidRPr="007C3060" w:rsidRDefault="000A2A2B" w:rsidP="007C3060">
            <w:r w:rsidRPr="007C3060">
              <w:t>2 000 000</w:t>
            </w:r>
          </w:p>
        </w:tc>
      </w:tr>
      <w:tr w:rsidR="004B729E" w:rsidRPr="007C3060" w14:paraId="532C951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C423A9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3CF263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CFA3159" w14:textId="77777777" w:rsidR="000A2A2B" w:rsidRPr="007C3060" w:rsidRDefault="000A2A2B" w:rsidP="007C3060">
            <w:r w:rsidRPr="007C3060">
              <w:t>fra kr 237 765 000 til kr 239 765 000</w:t>
            </w:r>
          </w:p>
        </w:tc>
        <w:tc>
          <w:tcPr>
            <w:tcW w:w="1717" w:type="dxa"/>
            <w:tcBorders>
              <w:top w:val="nil"/>
              <w:left w:val="nil"/>
              <w:bottom w:val="nil"/>
              <w:right w:val="nil"/>
            </w:tcBorders>
            <w:tcMar>
              <w:top w:w="128" w:type="dxa"/>
              <w:left w:w="43" w:type="dxa"/>
              <w:bottom w:w="43" w:type="dxa"/>
              <w:right w:w="43" w:type="dxa"/>
            </w:tcMar>
            <w:vAlign w:val="bottom"/>
          </w:tcPr>
          <w:p w14:paraId="3543F89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BA4FA8C" w14:textId="77777777" w:rsidR="000A2A2B" w:rsidRPr="007C3060" w:rsidRDefault="000A2A2B" w:rsidP="007C3060"/>
        </w:tc>
      </w:tr>
      <w:tr w:rsidR="004B729E" w:rsidRPr="007C3060" w14:paraId="5C2BFBD5"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7060711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EDF621D"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1AC3B599" w14:textId="4BC83680" w:rsidR="000A2A2B" w:rsidRPr="007C3060" w:rsidRDefault="000A2A2B" w:rsidP="007C3060">
            <w:r w:rsidRPr="007C3060">
              <w:t xml:space="preserve">Spesielle driftsutgifter, </w:t>
            </w:r>
            <w:r w:rsidRPr="007C3060">
              <w:rPr>
                <w:rStyle w:val="kursiv"/>
              </w:rPr>
              <w:t xml:space="preserve">kan overføres, kan nyttes under post 70, </w:t>
            </w:r>
            <w:r w:rsidRPr="007C3060">
              <w:t xml:space="preserve">nedsettes med </w:t>
            </w:r>
          </w:p>
        </w:tc>
        <w:tc>
          <w:tcPr>
            <w:tcW w:w="1717" w:type="dxa"/>
            <w:tcBorders>
              <w:top w:val="nil"/>
              <w:left w:val="nil"/>
              <w:bottom w:val="nil"/>
              <w:right w:val="nil"/>
            </w:tcBorders>
            <w:tcMar>
              <w:top w:w="128" w:type="dxa"/>
              <w:left w:w="43" w:type="dxa"/>
              <w:bottom w:w="43" w:type="dxa"/>
              <w:right w:w="43" w:type="dxa"/>
            </w:tcMar>
            <w:vAlign w:val="bottom"/>
          </w:tcPr>
          <w:p w14:paraId="611A77D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F75257D" w14:textId="77777777" w:rsidR="000A2A2B" w:rsidRPr="007C3060" w:rsidRDefault="000A2A2B" w:rsidP="007C3060">
            <w:r w:rsidRPr="007C3060">
              <w:t>2 500 000</w:t>
            </w:r>
          </w:p>
        </w:tc>
      </w:tr>
      <w:tr w:rsidR="004B729E" w:rsidRPr="007C3060" w14:paraId="5C2F4F0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E6908E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E87365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43BCEAA" w14:textId="77777777" w:rsidR="000A2A2B" w:rsidRPr="007C3060" w:rsidRDefault="000A2A2B" w:rsidP="007C3060">
            <w:r w:rsidRPr="007C3060">
              <w:t>fra kr 59 099 000 til kr 56 599 000</w:t>
            </w:r>
          </w:p>
        </w:tc>
        <w:tc>
          <w:tcPr>
            <w:tcW w:w="1717" w:type="dxa"/>
            <w:tcBorders>
              <w:top w:val="nil"/>
              <w:left w:val="nil"/>
              <w:bottom w:val="nil"/>
              <w:right w:val="nil"/>
            </w:tcBorders>
            <w:tcMar>
              <w:top w:w="128" w:type="dxa"/>
              <w:left w:w="43" w:type="dxa"/>
              <w:bottom w:w="43" w:type="dxa"/>
              <w:right w:w="43" w:type="dxa"/>
            </w:tcMar>
            <w:vAlign w:val="bottom"/>
          </w:tcPr>
          <w:p w14:paraId="657438A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6AE6A43" w14:textId="77777777" w:rsidR="000A2A2B" w:rsidRPr="007C3060" w:rsidRDefault="000A2A2B" w:rsidP="007C3060"/>
        </w:tc>
      </w:tr>
      <w:tr w:rsidR="004B729E" w:rsidRPr="007C3060" w14:paraId="5D53730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DF78C59" w14:textId="77777777" w:rsidR="000A2A2B" w:rsidRPr="007C3060" w:rsidRDefault="000A2A2B" w:rsidP="007C3060">
            <w:r w:rsidRPr="007C3060">
              <w:lastRenderedPageBreak/>
              <w:t>1510</w:t>
            </w:r>
          </w:p>
        </w:tc>
        <w:tc>
          <w:tcPr>
            <w:tcW w:w="992" w:type="dxa"/>
            <w:tcBorders>
              <w:top w:val="nil"/>
              <w:left w:val="nil"/>
              <w:bottom w:val="nil"/>
              <w:right w:val="nil"/>
            </w:tcBorders>
            <w:tcMar>
              <w:top w:w="128" w:type="dxa"/>
              <w:left w:w="43" w:type="dxa"/>
              <w:bottom w:w="43" w:type="dxa"/>
              <w:right w:w="123" w:type="dxa"/>
            </w:tcMar>
          </w:tcPr>
          <w:p w14:paraId="3CCFECC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FBB5BD9" w14:textId="77777777" w:rsidR="000A2A2B" w:rsidRPr="007C3060" w:rsidRDefault="000A2A2B" w:rsidP="007C3060">
            <w:r w:rsidRPr="007C3060">
              <w:t>Departementenes sikkerhets- og serviceorganisasjon:</w:t>
            </w:r>
          </w:p>
        </w:tc>
        <w:tc>
          <w:tcPr>
            <w:tcW w:w="1717" w:type="dxa"/>
            <w:tcBorders>
              <w:top w:val="nil"/>
              <w:left w:val="nil"/>
              <w:bottom w:val="nil"/>
              <w:right w:val="nil"/>
            </w:tcBorders>
            <w:tcMar>
              <w:top w:w="128" w:type="dxa"/>
              <w:left w:w="43" w:type="dxa"/>
              <w:bottom w:w="43" w:type="dxa"/>
              <w:right w:w="43" w:type="dxa"/>
            </w:tcMar>
            <w:vAlign w:val="bottom"/>
          </w:tcPr>
          <w:p w14:paraId="21BF473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21C9380" w14:textId="77777777" w:rsidR="000A2A2B" w:rsidRPr="007C3060" w:rsidRDefault="000A2A2B" w:rsidP="007C3060"/>
        </w:tc>
      </w:tr>
      <w:tr w:rsidR="004B729E" w:rsidRPr="007C3060" w14:paraId="4E9B5F4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57007F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5ED77D4"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521ABA3C"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66676EC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912BAF7" w14:textId="77777777" w:rsidR="000A2A2B" w:rsidRPr="007C3060" w:rsidRDefault="000A2A2B" w:rsidP="007C3060">
            <w:r w:rsidRPr="007C3060">
              <w:t>38 812 000</w:t>
            </w:r>
          </w:p>
        </w:tc>
      </w:tr>
      <w:tr w:rsidR="004B729E" w:rsidRPr="007C3060" w14:paraId="0C3115E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9A441C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D7C2E3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0067D73" w14:textId="77777777" w:rsidR="000A2A2B" w:rsidRPr="007C3060" w:rsidRDefault="000A2A2B" w:rsidP="007C3060">
            <w:r w:rsidRPr="007C3060">
              <w:t>fra kr 675 367 000 til kr 714 179 000</w:t>
            </w:r>
          </w:p>
        </w:tc>
        <w:tc>
          <w:tcPr>
            <w:tcW w:w="1717" w:type="dxa"/>
            <w:tcBorders>
              <w:top w:val="nil"/>
              <w:left w:val="nil"/>
              <w:bottom w:val="nil"/>
              <w:right w:val="nil"/>
            </w:tcBorders>
            <w:tcMar>
              <w:top w:w="128" w:type="dxa"/>
              <w:left w:w="43" w:type="dxa"/>
              <w:bottom w:w="43" w:type="dxa"/>
              <w:right w:w="43" w:type="dxa"/>
            </w:tcMar>
            <w:vAlign w:val="bottom"/>
          </w:tcPr>
          <w:p w14:paraId="240793E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1C1A057" w14:textId="77777777" w:rsidR="000A2A2B" w:rsidRPr="007C3060" w:rsidRDefault="000A2A2B" w:rsidP="007C3060"/>
        </w:tc>
      </w:tr>
      <w:tr w:rsidR="004B729E" w:rsidRPr="007C3060" w14:paraId="1793A46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2211E4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B932C7C"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381E6EB5" w14:textId="77777777" w:rsidR="000A2A2B" w:rsidRPr="007C3060" w:rsidRDefault="000A2A2B" w:rsidP="007C3060">
            <w:r w:rsidRPr="007C3060">
              <w:t>Fellesutgifter,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0289F18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1042888" w14:textId="77777777" w:rsidR="000A2A2B" w:rsidRPr="007C3060" w:rsidRDefault="000A2A2B" w:rsidP="007C3060">
            <w:r w:rsidRPr="007C3060">
              <w:t>29 173 000</w:t>
            </w:r>
          </w:p>
        </w:tc>
      </w:tr>
      <w:tr w:rsidR="004B729E" w:rsidRPr="007C3060" w14:paraId="66E066A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615E5D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11F303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488B7F4" w14:textId="77777777" w:rsidR="000A2A2B" w:rsidRPr="007C3060" w:rsidRDefault="000A2A2B" w:rsidP="007C3060">
            <w:r w:rsidRPr="007C3060">
              <w:t>fra kr 146 048 000 til kr 116 875 000</w:t>
            </w:r>
          </w:p>
        </w:tc>
        <w:tc>
          <w:tcPr>
            <w:tcW w:w="1717" w:type="dxa"/>
            <w:tcBorders>
              <w:top w:val="nil"/>
              <w:left w:val="nil"/>
              <w:bottom w:val="nil"/>
              <w:right w:val="nil"/>
            </w:tcBorders>
            <w:tcMar>
              <w:top w:w="128" w:type="dxa"/>
              <w:left w:w="43" w:type="dxa"/>
              <w:bottom w:w="43" w:type="dxa"/>
              <w:right w:w="43" w:type="dxa"/>
            </w:tcMar>
            <w:vAlign w:val="bottom"/>
          </w:tcPr>
          <w:p w14:paraId="0C05C3C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433EB8D" w14:textId="77777777" w:rsidR="000A2A2B" w:rsidRPr="007C3060" w:rsidRDefault="000A2A2B" w:rsidP="007C3060"/>
        </w:tc>
      </w:tr>
      <w:tr w:rsidR="004B729E" w:rsidRPr="007C3060" w14:paraId="50D6EDC2"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9CED3C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E9E9112" w14:textId="77777777" w:rsidR="000A2A2B" w:rsidRPr="007C3060" w:rsidRDefault="000A2A2B" w:rsidP="007C3060">
            <w:r w:rsidRPr="007C3060">
              <w:t>45</w:t>
            </w:r>
          </w:p>
        </w:tc>
        <w:tc>
          <w:tcPr>
            <w:tcW w:w="4819" w:type="dxa"/>
            <w:tcBorders>
              <w:top w:val="nil"/>
              <w:left w:val="nil"/>
              <w:bottom w:val="nil"/>
              <w:right w:val="nil"/>
            </w:tcBorders>
            <w:tcMar>
              <w:top w:w="128" w:type="dxa"/>
              <w:left w:w="43" w:type="dxa"/>
              <w:bottom w:w="43" w:type="dxa"/>
              <w:right w:w="43" w:type="dxa"/>
            </w:tcMar>
            <w:vAlign w:val="bottom"/>
          </w:tcPr>
          <w:p w14:paraId="44301FFA" w14:textId="77777777" w:rsidR="000A2A2B" w:rsidRPr="007C3060" w:rsidRDefault="000A2A2B" w:rsidP="007C3060">
            <w:r w:rsidRPr="007C3060">
              <w:t xml:space="preserve">Større utstyrsanskaffelser og vedlikehold,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05479BC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72EFE1A" w14:textId="77777777" w:rsidR="000A2A2B" w:rsidRPr="007C3060" w:rsidRDefault="000A2A2B" w:rsidP="007C3060">
            <w:r w:rsidRPr="007C3060">
              <w:t>10 000 000</w:t>
            </w:r>
          </w:p>
        </w:tc>
      </w:tr>
      <w:tr w:rsidR="004B729E" w:rsidRPr="007C3060" w14:paraId="38972BE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06BFBC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9A7B68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211FE5C" w14:textId="77777777" w:rsidR="000A2A2B" w:rsidRPr="007C3060" w:rsidRDefault="000A2A2B" w:rsidP="007C3060">
            <w:r w:rsidRPr="007C3060">
              <w:t>fra kr 21 578 000 til kr 11 578 000</w:t>
            </w:r>
          </w:p>
        </w:tc>
        <w:tc>
          <w:tcPr>
            <w:tcW w:w="1717" w:type="dxa"/>
            <w:tcBorders>
              <w:top w:val="nil"/>
              <w:left w:val="nil"/>
              <w:bottom w:val="nil"/>
              <w:right w:val="nil"/>
            </w:tcBorders>
            <w:tcMar>
              <w:top w:w="128" w:type="dxa"/>
              <w:left w:w="43" w:type="dxa"/>
              <w:bottom w:w="43" w:type="dxa"/>
              <w:right w:w="43" w:type="dxa"/>
            </w:tcMar>
            <w:vAlign w:val="bottom"/>
          </w:tcPr>
          <w:p w14:paraId="2757D46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F7D64F6" w14:textId="77777777" w:rsidR="000A2A2B" w:rsidRPr="007C3060" w:rsidRDefault="000A2A2B" w:rsidP="007C3060"/>
        </w:tc>
      </w:tr>
      <w:tr w:rsidR="004B729E" w:rsidRPr="007C3060" w14:paraId="503B209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A7B099E" w14:textId="77777777" w:rsidR="000A2A2B" w:rsidRPr="007C3060" w:rsidRDefault="000A2A2B" w:rsidP="007C3060">
            <w:r w:rsidRPr="007C3060">
              <w:t>1511</w:t>
            </w:r>
          </w:p>
        </w:tc>
        <w:tc>
          <w:tcPr>
            <w:tcW w:w="992" w:type="dxa"/>
            <w:tcBorders>
              <w:top w:val="nil"/>
              <w:left w:val="nil"/>
              <w:bottom w:val="nil"/>
              <w:right w:val="nil"/>
            </w:tcBorders>
            <w:tcMar>
              <w:top w:w="128" w:type="dxa"/>
              <w:left w:w="43" w:type="dxa"/>
              <w:bottom w:w="43" w:type="dxa"/>
              <w:right w:w="123" w:type="dxa"/>
            </w:tcMar>
          </w:tcPr>
          <w:p w14:paraId="7D2CB2A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6CFDDEF" w14:textId="77777777" w:rsidR="000A2A2B" w:rsidRPr="007C3060" w:rsidRDefault="000A2A2B" w:rsidP="007C3060">
            <w:r w:rsidRPr="007C3060">
              <w:t>Prosjekter tilknyttet nytt regjeringskvartal:</w:t>
            </w:r>
          </w:p>
        </w:tc>
        <w:tc>
          <w:tcPr>
            <w:tcW w:w="1717" w:type="dxa"/>
            <w:tcBorders>
              <w:top w:val="nil"/>
              <w:left w:val="nil"/>
              <w:bottom w:val="nil"/>
              <w:right w:val="nil"/>
            </w:tcBorders>
            <w:tcMar>
              <w:top w:w="128" w:type="dxa"/>
              <w:left w:w="43" w:type="dxa"/>
              <w:bottom w:w="43" w:type="dxa"/>
              <w:right w:w="43" w:type="dxa"/>
            </w:tcMar>
            <w:vAlign w:val="bottom"/>
          </w:tcPr>
          <w:p w14:paraId="5F81E52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53FEB86" w14:textId="77777777" w:rsidR="000A2A2B" w:rsidRPr="007C3060" w:rsidRDefault="000A2A2B" w:rsidP="007C3060"/>
        </w:tc>
      </w:tr>
      <w:tr w:rsidR="004B729E" w:rsidRPr="007C3060" w14:paraId="7A104D8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75D069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6D26CE8" w14:textId="77777777" w:rsidR="000A2A2B" w:rsidRPr="007C3060" w:rsidRDefault="000A2A2B" w:rsidP="007C3060">
            <w:r w:rsidRPr="007C3060">
              <w:t>30</w:t>
            </w:r>
          </w:p>
        </w:tc>
        <w:tc>
          <w:tcPr>
            <w:tcW w:w="4819" w:type="dxa"/>
            <w:tcBorders>
              <w:top w:val="nil"/>
              <w:left w:val="nil"/>
              <w:bottom w:val="nil"/>
              <w:right w:val="nil"/>
            </w:tcBorders>
            <w:tcMar>
              <w:top w:w="128" w:type="dxa"/>
              <w:left w:w="43" w:type="dxa"/>
              <w:bottom w:w="43" w:type="dxa"/>
              <w:right w:w="43" w:type="dxa"/>
            </w:tcMar>
            <w:vAlign w:val="bottom"/>
          </w:tcPr>
          <w:p w14:paraId="21A8AD8A" w14:textId="77777777" w:rsidR="000A2A2B" w:rsidRPr="007C3060" w:rsidRDefault="000A2A2B" w:rsidP="007C3060">
            <w:r w:rsidRPr="007C3060">
              <w:t xml:space="preserve">Ombygging av Ring 1,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5F1655E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6E99544" w14:textId="77777777" w:rsidR="000A2A2B" w:rsidRPr="007C3060" w:rsidRDefault="000A2A2B" w:rsidP="007C3060">
            <w:r w:rsidRPr="007C3060">
              <w:t>153 000 000</w:t>
            </w:r>
          </w:p>
        </w:tc>
      </w:tr>
      <w:tr w:rsidR="004B729E" w:rsidRPr="007C3060" w14:paraId="33D3193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E7C4A8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144065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9B33323" w14:textId="77777777" w:rsidR="000A2A2B" w:rsidRPr="007C3060" w:rsidRDefault="000A2A2B" w:rsidP="007C3060">
            <w:r w:rsidRPr="007C3060">
              <w:t>fra kr 750 000 000 til kr 903 000 000</w:t>
            </w:r>
          </w:p>
        </w:tc>
        <w:tc>
          <w:tcPr>
            <w:tcW w:w="1717" w:type="dxa"/>
            <w:tcBorders>
              <w:top w:val="nil"/>
              <w:left w:val="nil"/>
              <w:bottom w:val="nil"/>
              <w:right w:val="nil"/>
            </w:tcBorders>
            <w:tcMar>
              <w:top w:w="128" w:type="dxa"/>
              <w:left w:w="43" w:type="dxa"/>
              <w:bottom w:w="43" w:type="dxa"/>
              <w:right w:w="43" w:type="dxa"/>
            </w:tcMar>
            <w:vAlign w:val="bottom"/>
          </w:tcPr>
          <w:p w14:paraId="3ABD73C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11027CA" w14:textId="77777777" w:rsidR="000A2A2B" w:rsidRPr="007C3060" w:rsidRDefault="000A2A2B" w:rsidP="007C3060"/>
        </w:tc>
      </w:tr>
      <w:tr w:rsidR="004B729E" w:rsidRPr="007C3060" w14:paraId="745DB2C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47B52F5" w14:textId="77777777" w:rsidR="000A2A2B" w:rsidRPr="007C3060" w:rsidRDefault="000A2A2B" w:rsidP="007C3060">
            <w:r w:rsidRPr="007C3060">
              <w:t>1512</w:t>
            </w:r>
          </w:p>
        </w:tc>
        <w:tc>
          <w:tcPr>
            <w:tcW w:w="992" w:type="dxa"/>
            <w:tcBorders>
              <w:top w:val="nil"/>
              <w:left w:val="nil"/>
              <w:bottom w:val="nil"/>
              <w:right w:val="nil"/>
            </w:tcBorders>
            <w:tcMar>
              <w:top w:w="128" w:type="dxa"/>
              <w:left w:w="43" w:type="dxa"/>
              <w:bottom w:w="43" w:type="dxa"/>
              <w:right w:w="123" w:type="dxa"/>
            </w:tcMar>
          </w:tcPr>
          <w:p w14:paraId="4A2A642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750521A" w14:textId="77777777" w:rsidR="000A2A2B" w:rsidRPr="007C3060" w:rsidRDefault="000A2A2B" w:rsidP="007C3060">
            <w:r w:rsidRPr="007C3060">
              <w:t>Diverse fellestjenester:</w:t>
            </w:r>
          </w:p>
        </w:tc>
        <w:tc>
          <w:tcPr>
            <w:tcW w:w="1717" w:type="dxa"/>
            <w:tcBorders>
              <w:top w:val="nil"/>
              <w:left w:val="nil"/>
              <w:bottom w:val="nil"/>
              <w:right w:val="nil"/>
            </w:tcBorders>
            <w:tcMar>
              <w:top w:w="128" w:type="dxa"/>
              <w:left w:w="43" w:type="dxa"/>
              <w:bottom w:w="43" w:type="dxa"/>
              <w:right w:w="43" w:type="dxa"/>
            </w:tcMar>
            <w:vAlign w:val="bottom"/>
          </w:tcPr>
          <w:p w14:paraId="3F6AA2E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8F89AF5" w14:textId="77777777" w:rsidR="000A2A2B" w:rsidRPr="007C3060" w:rsidRDefault="000A2A2B" w:rsidP="007C3060"/>
        </w:tc>
      </w:tr>
      <w:tr w:rsidR="004B729E" w:rsidRPr="007C3060" w14:paraId="2063CC7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9A1177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40D5A70" w14:textId="77777777" w:rsidR="000A2A2B" w:rsidRPr="007C3060" w:rsidRDefault="000A2A2B" w:rsidP="007C3060">
            <w:r w:rsidRPr="007C3060">
              <w:t>27</w:t>
            </w:r>
          </w:p>
        </w:tc>
        <w:tc>
          <w:tcPr>
            <w:tcW w:w="4819" w:type="dxa"/>
            <w:tcBorders>
              <w:top w:val="nil"/>
              <w:left w:val="nil"/>
              <w:bottom w:val="nil"/>
              <w:right w:val="nil"/>
            </w:tcBorders>
            <w:tcMar>
              <w:top w:w="128" w:type="dxa"/>
              <w:left w:w="43" w:type="dxa"/>
              <w:bottom w:w="43" w:type="dxa"/>
              <w:right w:w="43" w:type="dxa"/>
            </w:tcMar>
            <w:vAlign w:val="bottom"/>
          </w:tcPr>
          <w:p w14:paraId="4F53555A" w14:textId="77777777" w:rsidR="000A2A2B" w:rsidRPr="007C3060" w:rsidRDefault="000A2A2B" w:rsidP="007C3060">
            <w:r w:rsidRPr="007C3060">
              <w:t xml:space="preserve">Sak- og arkivløsning,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4AFE2F4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46922AC" w14:textId="77777777" w:rsidR="000A2A2B" w:rsidRPr="007C3060" w:rsidRDefault="000A2A2B" w:rsidP="007C3060">
            <w:r w:rsidRPr="007C3060">
              <w:t>13 900 000</w:t>
            </w:r>
          </w:p>
        </w:tc>
      </w:tr>
      <w:tr w:rsidR="004B729E" w:rsidRPr="007C3060" w14:paraId="047D8BD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FA7E2F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6BB39F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7AB3B20" w14:textId="77777777" w:rsidR="000A2A2B" w:rsidRPr="007C3060" w:rsidRDefault="000A2A2B" w:rsidP="007C3060">
            <w:r w:rsidRPr="007C3060">
              <w:t>fra kr 44 312 000 til kr 30 412 000</w:t>
            </w:r>
          </w:p>
        </w:tc>
        <w:tc>
          <w:tcPr>
            <w:tcW w:w="1717" w:type="dxa"/>
            <w:tcBorders>
              <w:top w:val="nil"/>
              <w:left w:val="nil"/>
              <w:bottom w:val="nil"/>
              <w:right w:val="nil"/>
            </w:tcBorders>
            <w:tcMar>
              <w:top w:w="128" w:type="dxa"/>
              <w:left w:w="43" w:type="dxa"/>
              <w:bottom w:w="43" w:type="dxa"/>
              <w:right w:w="43" w:type="dxa"/>
            </w:tcMar>
            <w:vAlign w:val="bottom"/>
          </w:tcPr>
          <w:p w14:paraId="2F0833A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8B1B51A" w14:textId="77777777" w:rsidR="000A2A2B" w:rsidRPr="007C3060" w:rsidRDefault="000A2A2B" w:rsidP="007C3060"/>
        </w:tc>
      </w:tr>
      <w:tr w:rsidR="004B729E" w:rsidRPr="007C3060" w14:paraId="4D454AF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F69EE46" w14:textId="77777777" w:rsidR="000A2A2B" w:rsidRPr="007C3060" w:rsidRDefault="000A2A2B" w:rsidP="007C3060">
            <w:r w:rsidRPr="007C3060">
              <w:t>1515</w:t>
            </w:r>
          </w:p>
        </w:tc>
        <w:tc>
          <w:tcPr>
            <w:tcW w:w="992" w:type="dxa"/>
            <w:tcBorders>
              <w:top w:val="nil"/>
              <w:left w:val="nil"/>
              <w:bottom w:val="nil"/>
              <w:right w:val="nil"/>
            </w:tcBorders>
            <w:tcMar>
              <w:top w:w="128" w:type="dxa"/>
              <w:left w:w="43" w:type="dxa"/>
              <w:bottom w:w="43" w:type="dxa"/>
              <w:right w:w="123" w:type="dxa"/>
            </w:tcMar>
          </w:tcPr>
          <w:p w14:paraId="7DE6DE5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CED0441" w14:textId="77777777" w:rsidR="000A2A2B" w:rsidRPr="007C3060" w:rsidRDefault="000A2A2B" w:rsidP="007C3060">
            <w:r w:rsidRPr="007C3060">
              <w:t>Departementenes digitaliseringsorganisasjon:</w:t>
            </w:r>
          </w:p>
        </w:tc>
        <w:tc>
          <w:tcPr>
            <w:tcW w:w="1717" w:type="dxa"/>
            <w:tcBorders>
              <w:top w:val="nil"/>
              <w:left w:val="nil"/>
              <w:bottom w:val="nil"/>
              <w:right w:val="nil"/>
            </w:tcBorders>
            <w:tcMar>
              <w:top w:w="128" w:type="dxa"/>
              <w:left w:w="43" w:type="dxa"/>
              <w:bottom w:w="43" w:type="dxa"/>
              <w:right w:w="43" w:type="dxa"/>
            </w:tcMar>
            <w:vAlign w:val="bottom"/>
          </w:tcPr>
          <w:p w14:paraId="4BC8F84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7E953EB" w14:textId="77777777" w:rsidR="000A2A2B" w:rsidRPr="007C3060" w:rsidRDefault="000A2A2B" w:rsidP="007C3060"/>
        </w:tc>
      </w:tr>
      <w:tr w:rsidR="004B729E" w:rsidRPr="007C3060" w14:paraId="2BFF0EC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658E10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ABDD5CF"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6FC0413C"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3D938F3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EAD520" w14:textId="77777777" w:rsidR="000A2A2B" w:rsidRPr="007C3060" w:rsidRDefault="000A2A2B" w:rsidP="007C3060">
            <w:r w:rsidRPr="007C3060">
              <w:t>13 861 000</w:t>
            </w:r>
          </w:p>
        </w:tc>
      </w:tr>
      <w:tr w:rsidR="004B729E" w:rsidRPr="007C3060" w14:paraId="3ACDAB0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2E6E68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F27652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5611A6E" w14:textId="77777777" w:rsidR="000A2A2B" w:rsidRPr="007C3060" w:rsidRDefault="000A2A2B" w:rsidP="007C3060">
            <w:r w:rsidRPr="007C3060">
              <w:t>fra kr 374 691 000 til kr 388 552 000</w:t>
            </w:r>
          </w:p>
        </w:tc>
        <w:tc>
          <w:tcPr>
            <w:tcW w:w="1717" w:type="dxa"/>
            <w:tcBorders>
              <w:top w:val="nil"/>
              <w:left w:val="nil"/>
              <w:bottom w:val="nil"/>
              <w:right w:val="nil"/>
            </w:tcBorders>
            <w:tcMar>
              <w:top w:w="128" w:type="dxa"/>
              <w:left w:w="43" w:type="dxa"/>
              <w:bottom w:w="43" w:type="dxa"/>
              <w:right w:w="43" w:type="dxa"/>
            </w:tcMar>
            <w:vAlign w:val="bottom"/>
          </w:tcPr>
          <w:p w14:paraId="393FD8C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16D57C9" w14:textId="77777777" w:rsidR="000A2A2B" w:rsidRPr="007C3060" w:rsidRDefault="000A2A2B" w:rsidP="007C3060"/>
        </w:tc>
      </w:tr>
      <w:tr w:rsidR="004B729E" w:rsidRPr="007C3060" w14:paraId="184032C2"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7F2668A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F88E0D2" w14:textId="77777777" w:rsidR="000A2A2B" w:rsidRPr="007C3060" w:rsidRDefault="000A2A2B" w:rsidP="007C3060">
            <w:r w:rsidRPr="007C3060">
              <w:t>45</w:t>
            </w:r>
          </w:p>
        </w:tc>
        <w:tc>
          <w:tcPr>
            <w:tcW w:w="4819" w:type="dxa"/>
            <w:tcBorders>
              <w:top w:val="nil"/>
              <w:left w:val="nil"/>
              <w:bottom w:val="nil"/>
              <w:right w:val="nil"/>
            </w:tcBorders>
            <w:tcMar>
              <w:top w:w="128" w:type="dxa"/>
              <w:left w:w="43" w:type="dxa"/>
              <w:bottom w:w="43" w:type="dxa"/>
              <w:right w:w="43" w:type="dxa"/>
            </w:tcMar>
            <w:vAlign w:val="bottom"/>
          </w:tcPr>
          <w:p w14:paraId="4125CDB4" w14:textId="5ADFB553" w:rsidR="000A2A2B" w:rsidRPr="007C3060" w:rsidRDefault="000A2A2B" w:rsidP="007C3060">
            <w:r w:rsidRPr="007C3060">
              <w:t xml:space="preserve">Større utstyrsanskaffelser og vedlikehold,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62513E2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1C9DD6B" w14:textId="77777777" w:rsidR="000A2A2B" w:rsidRPr="007C3060" w:rsidRDefault="000A2A2B" w:rsidP="007C3060">
            <w:r w:rsidRPr="007C3060">
              <w:t>403 200 000</w:t>
            </w:r>
          </w:p>
        </w:tc>
      </w:tr>
      <w:tr w:rsidR="004B729E" w:rsidRPr="007C3060" w14:paraId="20140BB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1E7EAA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9211E7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69BB94A" w14:textId="77777777" w:rsidR="000A2A2B" w:rsidRPr="007C3060" w:rsidRDefault="000A2A2B" w:rsidP="007C3060">
            <w:r w:rsidRPr="007C3060">
              <w:t>fra kr 316 600 000 til kr 719 800 000</w:t>
            </w:r>
          </w:p>
        </w:tc>
        <w:tc>
          <w:tcPr>
            <w:tcW w:w="1717" w:type="dxa"/>
            <w:tcBorders>
              <w:top w:val="nil"/>
              <w:left w:val="nil"/>
              <w:bottom w:val="nil"/>
              <w:right w:val="nil"/>
            </w:tcBorders>
            <w:tcMar>
              <w:top w:w="128" w:type="dxa"/>
              <w:left w:w="43" w:type="dxa"/>
              <w:bottom w:w="43" w:type="dxa"/>
              <w:right w:w="43" w:type="dxa"/>
            </w:tcMar>
            <w:vAlign w:val="bottom"/>
          </w:tcPr>
          <w:p w14:paraId="0F202CD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650F97" w14:textId="77777777" w:rsidR="000A2A2B" w:rsidRPr="007C3060" w:rsidRDefault="000A2A2B" w:rsidP="007C3060"/>
        </w:tc>
      </w:tr>
      <w:tr w:rsidR="004B729E" w:rsidRPr="007C3060" w14:paraId="1FE0DCA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C13437A" w14:textId="77777777" w:rsidR="000A2A2B" w:rsidRPr="007C3060" w:rsidRDefault="000A2A2B" w:rsidP="007C3060">
            <w:r w:rsidRPr="007C3060">
              <w:t>1530</w:t>
            </w:r>
          </w:p>
        </w:tc>
        <w:tc>
          <w:tcPr>
            <w:tcW w:w="992" w:type="dxa"/>
            <w:tcBorders>
              <w:top w:val="nil"/>
              <w:left w:val="nil"/>
              <w:bottom w:val="nil"/>
              <w:right w:val="nil"/>
            </w:tcBorders>
            <w:tcMar>
              <w:top w:w="128" w:type="dxa"/>
              <w:left w:w="43" w:type="dxa"/>
              <w:bottom w:w="43" w:type="dxa"/>
              <w:right w:w="123" w:type="dxa"/>
            </w:tcMar>
          </w:tcPr>
          <w:p w14:paraId="4A1075C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4839162" w14:textId="77777777" w:rsidR="000A2A2B" w:rsidRPr="007C3060" w:rsidRDefault="000A2A2B" w:rsidP="007C3060">
            <w:r w:rsidRPr="007C3060">
              <w:t>Byggeprosjekter utenfor husleieordningen:</w:t>
            </w:r>
          </w:p>
        </w:tc>
        <w:tc>
          <w:tcPr>
            <w:tcW w:w="1717" w:type="dxa"/>
            <w:tcBorders>
              <w:top w:val="nil"/>
              <w:left w:val="nil"/>
              <w:bottom w:val="nil"/>
              <w:right w:val="nil"/>
            </w:tcBorders>
            <w:tcMar>
              <w:top w:w="128" w:type="dxa"/>
              <w:left w:w="43" w:type="dxa"/>
              <w:bottom w:w="43" w:type="dxa"/>
              <w:right w:w="43" w:type="dxa"/>
            </w:tcMar>
            <w:vAlign w:val="bottom"/>
          </w:tcPr>
          <w:p w14:paraId="766D55F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B888846" w14:textId="77777777" w:rsidR="000A2A2B" w:rsidRPr="007C3060" w:rsidRDefault="000A2A2B" w:rsidP="007C3060"/>
        </w:tc>
      </w:tr>
      <w:tr w:rsidR="004B729E" w:rsidRPr="007C3060" w14:paraId="36CFE267"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07D590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3CDD031" w14:textId="77777777" w:rsidR="000A2A2B" w:rsidRPr="007C3060" w:rsidRDefault="000A2A2B" w:rsidP="007C3060">
            <w:r w:rsidRPr="007C3060">
              <w:t>33</w:t>
            </w:r>
          </w:p>
        </w:tc>
        <w:tc>
          <w:tcPr>
            <w:tcW w:w="4819" w:type="dxa"/>
            <w:tcBorders>
              <w:top w:val="nil"/>
              <w:left w:val="nil"/>
              <w:bottom w:val="nil"/>
              <w:right w:val="nil"/>
            </w:tcBorders>
            <w:tcMar>
              <w:top w:w="128" w:type="dxa"/>
              <w:left w:w="43" w:type="dxa"/>
              <w:bottom w:w="43" w:type="dxa"/>
              <w:right w:w="43" w:type="dxa"/>
            </w:tcMar>
            <w:vAlign w:val="bottom"/>
          </w:tcPr>
          <w:p w14:paraId="79B8AF6E" w14:textId="533C0F69" w:rsidR="000A2A2B" w:rsidRPr="007C3060" w:rsidRDefault="000A2A2B" w:rsidP="007C3060">
            <w:r w:rsidRPr="007C3060">
              <w:t xml:space="preserve">Videreføring av byggeprosjekter,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3D2F01A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F602748" w14:textId="77777777" w:rsidR="000A2A2B" w:rsidRPr="007C3060" w:rsidRDefault="000A2A2B" w:rsidP="007C3060">
            <w:r w:rsidRPr="007C3060">
              <w:t>200 000 000</w:t>
            </w:r>
          </w:p>
        </w:tc>
      </w:tr>
      <w:tr w:rsidR="004B729E" w:rsidRPr="007C3060" w14:paraId="22C6D73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02D5CD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74E77C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855A319" w14:textId="77777777" w:rsidR="000A2A2B" w:rsidRPr="007C3060" w:rsidRDefault="000A2A2B" w:rsidP="007C3060">
            <w:r w:rsidRPr="007C3060">
              <w:t>fra kr 5 246 500 000 til kr 5 046 500 000</w:t>
            </w:r>
          </w:p>
        </w:tc>
        <w:tc>
          <w:tcPr>
            <w:tcW w:w="1717" w:type="dxa"/>
            <w:tcBorders>
              <w:top w:val="nil"/>
              <w:left w:val="nil"/>
              <w:bottom w:val="nil"/>
              <w:right w:val="nil"/>
            </w:tcBorders>
            <w:tcMar>
              <w:top w:w="128" w:type="dxa"/>
              <w:left w:w="43" w:type="dxa"/>
              <w:bottom w:w="43" w:type="dxa"/>
              <w:right w:w="43" w:type="dxa"/>
            </w:tcMar>
            <w:vAlign w:val="bottom"/>
          </w:tcPr>
          <w:p w14:paraId="785ECA7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7898BD8" w14:textId="77777777" w:rsidR="000A2A2B" w:rsidRPr="007C3060" w:rsidRDefault="000A2A2B" w:rsidP="007C3060"/>
        </w:tc>
      </w:tr>
      <w:tr w:rsidR="004B729E" w:rsidRPr="007C3060" w14:paraId="06BDE0C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13BAC4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94D0253" w14:textId="77777777" w:rsidR="000A2A2B" w:rsidRPr="007C3060" w:rsidRDefault="000A2A2B" w:rsidP="007C3060">
            <w:r w:rsidRPr="007C3060">
              <w:t>36</w:t>
            </w:r>
          </w:p>
        </w:tc>
        <w:tc>
          <w:tcPr>
            <w:tcW w:w="4819" w:type="dxa"/>
            <w:tcBorders>
              <w:top w:val="nil"/>
              <w:left w:val="nil"/>
              <w:bottom w:val="nil"/>
              <w:right w:val="nil"/>
            </w:tcBorders>
            <w:tcMar>
              <w:top w:w="128" w:type="dxa"/>
              <w:left w:w="43" w:type="dxa"/>
              <w:bottom w:w="43" w:type="dxa"/>
              <w:right w:w="43" w:type="dxa"/>
            </w:tcMar>
            <w:vAlign w:val="bottom"/>
          </w:tcPr>
          <w:p w14:paraId="0A5EFE86" w14:textId="77777777" w:rsidR="000A2A2B" w:rsidRPr="007C3060" w:rsidRDefault="000A2A2B" w:rsidP="007C3060">
            <w:r w:rsidRPr="007C3060">
              <w:t xml:space="preserve">Kunstnerisk utsmykking,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7957226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ECF034A" w14:textId="77777777" w:rsidR="000A2A2B" w:rsidRPr="007C3060" w:rsidRDefault="000A2A2B" w:rsidP="007C3060">
            <w:r w:rsidRPr="007C3060">
              <w:t>46 500 000</w:t>
            </w:r>
          </w:p>
        </w:tc>
      </w:tr>
      <w:tr w:rsidR="004B729E" w:rsidRPr="007C3060" w14:paraId="279EC8F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D64592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DBC1AF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46400C6" w14:textId="77777777" w:rsidR="000A2A2B" w:rsidRPr="007C3060" w:rsidRDefault="000A2A2B" w:rsidP="007C3060">
            <w:r w:rsidRPr="007C3060">
              <w:t>fra kr 56 181 000 til kr 102 681 000</w:t>
            </w:r>
          </w:p>
        </w:tc>
        <w:tc>
          <w:tcPr>
            <w:tcW w:w="1717" w:type="dxa"/>
            <w:tcBorders>
              <w:top w:val="nil"/>
              <w:left w:val="nil"/>
              <w:bottom w:val="nil"/>
              <w:right w:val="nil"/>
            </w:tcBorders>
            <w:tcMar>
              <w:top w:w="128" w:type="dxa"/>
              <w:left w:w="43" w:type="dxa"/>
              <w:bottom w:w="43" w:type="dxa"/>
              <w:right w:w="43" w:type="dxa"/>
            </w:tcMar>
            <w:vAlign w:val="bottom"/>
          </w:tcPr>
          <w:p w14:paraId="4B7E93D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1FB0FED" w14:textId="77777777" w:rsidR="000A2A2B" w:rsidRPr="007C3060" w:rsidRDefault="000A2A2B" w:rsidP="007C3060"/>
        </w:tc>
      </w:tr>
      <w:tr w:rsidR="004B729E" w:rsidRPr="007C3060" w14:paraId="6A30DF4F"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191A69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BAFF0E7" w14:textId="77777777" w:rsidR="000A2A2B" w:rsidRPr="007C3060" w:rsidRDefault="000A2A2B" w:rsidP="007C3060">
            <w:r w:rsidRPr="007C3060">
              <w:t>45</w:t>
            </w:r>
          </w:p>
        </w:tc>
        <w:tc>
          <w:tcPr>
            <w:tcW w:w="4819" w:type="dxa"/>
            <w:tcBorders>
              <w:top w:val="nil"/>
              <w:left w:val="nil"/>
              <w:bottom w:val="nil"/>
              <w:right w:val="nil"/>
            </w:tcBorders>
            <w:tcMar>
              <w:top w:w="128" w:type="dxa"/>
              <w:left w:w="43" w:type="dxa"/>
              <w:bottom w:w="43" w:type="dxa"/>
              <w:right w:w="43" w:type="dxa"/>
            </w:tcMar>
            <w:vAlign w:val="bottom"/>
          </w:tcPr>
          <w:p w14:paraId="47B99ACB" w14:textId="77777777" w:rsidR="000A2A2B" w:rsidRPr="007C3060" w:rsidRDefault="000A2A2B" w:rsidP="007C3060">
            <w:r w:rsidRPr="007C3060">
              <w:t xml:space="preserve">Større utstyrsanskaffelser og vedlikehold,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3674458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59BEF1D" w14:textId="77777777" w:rsidR="000A2A2B" w:rsidRPr="007C3060" w:rsidRDefault="000A2A2B" w:rsidP="007C3060">
            <w:r w:rsidRPr="007C3060">
              <w:t>400 000 000</w:t>
            </w:r>
          </w:p>
        </w:tc>
      </w:tr>
      <w:tr w:rsidR="004B729E" w:rsidRPr="007C3060" w14:paraId="5E3FFA4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FF3C73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62F84C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8062F8C" w14:textId="77777777" w:rsidR="000A2A2B" w:rsidRPr="007C3060" w:rsidRDefault="000A2A2B" w:rsidP="007C3060">
            <w:r w:rsidRPr="007C3060">
              <w:t>fra kr 1 859 300 000 til kr 1 459 300 000</w:t>
            </w:r>
          </w:p>
        </w:tc>
        <w:tc>
          <w:tcPr>
            <w:tcW w:w="1717" w:type="dxa"/>
            <w:tcBorders>
              <w:top w:val="nil"/>
              <w:left w:val="nil"/>
              <w:bottom w:val="nil"/>
              <w:right w:val="nil"/>
            </w:tcBorders>
            <w:tcMar>
              <w:top w:w="128" w:type="dxa"/>
              <w:left w:w="43" w:type="dxa"/>
              <w:bottom w:w="43" w:type="dxa"/>
              <w:right w:w="43" w:type="dxa"/>
            </w:tcMar>
            <w:vAlign w:val="bottom"/>
          </w:tcPr>
          <w:p w14:paraId="405AD29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74CF42B" w14:textId="77777777" w:rsidR="000A2A2B" w:rsidRPr="007C3060" w:rsidRDefault="000A2A2B" w:rsidP="007C3060"/>
        </w:tc>
      </w:tr>
      <w:tr w:rsidR="004B729E" w:rsidRPr="007C3060" w14:paraId="4701A3E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77040FD" w14:textId="77777777" w:rsidR="000A2A2B" w:rsidRPr="007C3060" w:rsidRDefault="000A2A2B" w:rsidP="007C3060">
            <w:r w:rsidRPr="007C3060">
              <w:t>1540</w:t>
            </w:r>
          </w:p>
        </w:tc>
        <w:tc>
          <w:tcPr>
            <w:tcW w:w="992" w:type="dxa"/>
            <w:tcBorders>
              <w:top w:val="nil"/>
              <w:left w:val="nil"/>
              <w:bottom w:val="nil"/>
              <w:right w:val="nil"/>
            </w:tcBorders>
            <w:tcMar>
              <w:top w:w="128" w:type="dxa"/>
              <w:left w:w="43" w:type="dxa"/>
              <w:bottom w:w="43" w:type="dxa"/>
              <w:right w:w="123" w:type="dxa"/>
            </w:tcMar>
          </w:tcPr>
          <w:p w14:paraId="087A1EA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FF69FFE" w14:textId="77777777" w:rsidR="000A2A2B" w:rsidRPr="007C3060" w:rsidRDefault="000A2A2B" w:rsidP="007C3060">
            <w:r w:rsidRPr="007C3060">
              <w:t>Digitaliseringsdirektoratet:</w:t>
            </w:r>
          </w:p>
        </w:tc>
        <w:tc>
          <w:tcPr>
            <w:tcW w:w="1717" w:type="dxa"/>
            <w:tcBorders>
              <w:top w:val="nil"/>
              <w:left w:val="nil"/>
              <w:bottom w:val="nil"/>
              <w:right w:val="nil"/>
            </w:tcBorders>
            <w:tcMar>
              <w:top w:w="128" w:type="dxa"/>
              <w:left w:w="43" w:type="dxa"/>
              <w:bottom w:w="43" w:type="dxa"/>
              <w:right w:w="43" w:type="dxa"/>
            </w:tcMar>
            <w:vAlign w:val="bottom"/>
          </w:tcPr>
          <w:p w14:paraId="4364BD5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AC1C726" w14:textId="77777777" w:rsidR="000A2A2B" w:rsidRPr="007C3060" w:rsidRDefault="000A2A2B" w:rsidP="007C3060"/>
        </w:tc>
      </w:tr>
      <w:tr w:rsidR="004B729E" w:rsidRPr="007C3060" w14:paraId="1B3FE5DE"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4FA412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FA2DD72" w14:textId="77777777" w:rsidR="000A2A2B" w:rsidRPr="007C3060" w:rsidRDefault="000A2A2B" w:rsidP="007C3060">
            <w:r w:rsidRPr="007C3060">
              <w:t>25</w:t>
            </w:r>
          </w:p>
        </w:tc>
        <w:tc>
          <w:tcPr>
            <w:tcW w:w="4819" w:type="dxa"/>
            <w:tcBorders>
              <w:top w:val="nil"/>
              <w:left w:val="nil"/>
              <w:bottom w:val="nil"/>
              <w:right w:val="nil"/>
            </w:tcBorders>
            <w:tcMar>
              <w:top w:w="128" w:type="dxa"/>
              <w:left w:w="43" w:type="dxa"/>
              <w:bottom w:w="43" w:type="dxa"/>
              <w:right w:w="43" w:type="dxa"/>
            </w:tcMar>
            <w:vAlign w:val="bottom"/>
          </w:tcPr>
          <w:p w14:paraId="16163B8E" w14:textId="42281C51" w:rsidR="000A2A2B" w:rsidRPr="007C3060" w:rsidRDefault="000A2A2B" w:rsidP="007C3060">
            <w:r w:rsidRPr="007C3060">
              <w:t xml:space="preserve">Medfinansieringsordning for digitaliseringsprosjekter, </w:t>
            </w:r>
            <w:r w:rsidRPr="007C3060">
              <w:rPr>
                <w:rStyle w:val="kursiv"/>
              </w:rPr>
              <w:t xml:space="preserve">kan overføres,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6DF7619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667E819" w14:textId="77777777" w:rsidR="000A2A2B" w:rsidRPr="007C3060" w:rsidRDefault="000A2A2B" w:rsidP="007C3060">
            <w:r w:rsidRPr="007C3060">
              <w:t>500 000</w:t>
            </w:r>
          </w:p>
        </w:tc>
      </w:tr>
      <w:tr w:rsidR="004B729E" w:rsidRPr="007C3060" w14:paraId="651199C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D6246D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E45AEF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255ADAC" w14:textId="77777777" w:rsidR="000A2A2B" w:rsidRPr="007C3060" w:rsidRDefault="000A2A2B" w:rsidP="007C3060">
            <w:r w:rsidRPr="007C3060">
              <w:t>fra kr 150 741 000 til kr 150 241 000</w:t>
            </w:r>
          </w:p>
        </w:tc>
        <w:tc>
          <w:tcPr>
            <w:tcW w:w="1717" w:type="dxa"/>
            <w:tcBorders>
              <w:top w:val="nil"/>
              <w:left w:val="nil"/>
              <w:bottom w:val="nil"/>
              <w:right w:val="nil"/>
            </w:tcBorders>
            <w:tcMar>
              <w:top w:w="128" w:type="dxa"/>
              <w:left w:w="43" w:type="dxa"/>
              <w:bottom w:w="43" w:type="dxa"/>
              <w:right w:w="43" w:type="dxa"/>
            </w:tcMar>
            <w:vAlign w:val="bottom"/>
          </w:tcPr>
          <w:p w14:paraId="7BF4499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5B82934" w14:textId="77777777" w:rsidR="000A2A2B" w:rsidRPr="007C3060" w:rsidRDefault="000A2A2B" w:rsidP="007C3060"/>
        </w:tc>
      </w:tr>
      <w:tr w:rsidR="004B729E" w:rsidRPr="007C3060" w14:paraId="433D5CC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F44C0ED" w14:textId="77777777" w:rsidR="000A2A2B" w:rsidRPr="007C3060" w:rsidRDefault="000A2A2B" w:rsidP="007C3060">
            <w:r w:rsidRPr="007C3060">
              <w:t>1541</w:t>
            </w:r>
          </w:p>
        </w:tc>
        <w:tc>
          <w:tcPr>
            <w:tcW w:w="992" w:type="dxa"/>
            <w:tcBorders>
              <w:top w:val="nil"/>
              <w:left w:val="nil"/>
              <w:bottom w:val="nil"/>
              <w:right w:val="nil"/>
            </w:tcBorders>
            <w:tcMar>
              <w:top w:w="128" w:type="dxa"/>
              <w:left w:w="43" w:type="dxa"/>
              <w:bottom w:w="43" w:type="dxa"/>
              <w:right w:w="123" w:type="dxa"/>
            </w:tcMar>
          </w:tcPr>
          <w:p w14:paraId="3BAA444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E0B0FB9" w14:textId="77777777" w:rsidR="000A2A2B" w:rsidRPr="007C3060" w:rsidRDefault="000A2A2B" w:rsidP="007C3060">
            <w:r w:rsidRPr="007C3060">
              <w:t xml:space="preserve">IT- og </w:t>
            </w:r>
            <w:proofErr w:type="spellStart"/>
            <w:r w:rsidRPr="007C3060">
              <w:t>ekompolitikk</w:t>
            </w:r>
            <w:proofErr w:type="spellEnd"/>
            <w:r w:rsidRPr="007C3060">
              <w:t>:</w:t>
            </w:r>
          </w:p>
        </w:tc>
        <w:tc>
          <w:tcPr>
            <w:tcW w:w="1717" w:type="dxa"/>
            <w:tcBorders>
              <w:top w:val="nil"/>
              <w:left w:val="nil"/>
              <w:bottom w:val="nil"/>
              <w:right w:val="nil"/>
            </w:tcBorders>
            <w:tcMar>
              <w:top w:w="128" w:type="dxa"/>
              <w:left w:w="43" w:type="dxa"/>
              <w:bottom w:w="43" w:type="dxa"/>
              <w:right w:w="43" w:type="dxa"/>
            </w:tcMar>
            <w:vAlign w:val="bottom"/>
          </w:tcPr>
          <w:p w14:paraId="5966E63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B9A22FE" w14:textId="77777777" w:rsidR="000A2A2B" w:rsidRPr="007C3060" w:rsidRDefault="000A2A2B" w:rsidP="007C3060"/>
        </w:tc>
      </w:tr>
      <w:tr w:rsidR="004B729E" w:rsidRPr="007C3060" w14:paraId="73ED42B0" w14:textId="77777777" w:rsidTr="00414C2B">
        <w:trPr>
          <w:trHeight w:val="880"/>
          <w:jc w:val="right"/>
        </w:trPr>
        <w:tc>
          <w:tcPr>
            <w:tcW w:w="969" w:type="dxa"/>
            <w:tcBorders>
              <w:top w:val="nil"/>
              <w:left w:val="nil"/>
              <w:bottom w:val="nil"/>
              <w:right w:val="nil"/>
            </w:tcBorders>
            <w:tcMar>
              <w:top w:w="128" w:type="dxa"/>
              <w:left w:w="43" w:type="dxa"/>
              <w:bottom w:w="43" w:type="dxa"/>
              <w:right w:w="123" w:type="dxa"/>
            </w:tcMar>
          </w:tcPr>
          <w:p w14:paraId="241C93A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75986AB"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7A955DD8" w14:textId="039679C1" w:rsidR="000A2A2B" w:rsidRPr="00414C2B" w:rsidRDefault="000A2A2B" w:rsidP="007C3060">
            <w:pPr>
              <w:rPr>
                <w:i/>
              </w:rPr>
            </w:pPr>
            <w:r w:rsidRPr="007C3060">
              <w:t xml:space="preserve">Utvikling, gjennomføring og samordning av IT- og </w:t>
            </w:r>
            <w:proofErr w:type="spellStart"/>
            <w:r w:rsidRPr="007C3060">
              <w:t>ekompolitikken</w:t>
            </w:r>
            <w:proofErr w:type="spellEnd"/>
            <w:r w:rsidRPr="007C3060">
              <w:t xml:space="preserve">, </w:t>
            </w:r>
            <w:r w:rsidRPr="007C3060">
              <w:rPr>
                <w:rStyle w:val="kursiv"/>
              </w:rPr>
              <w:t>kan overføres, kan nyttes under post 70,</w:t>
            </w:r>
            <w:r w:rsidR="00414C2B">
              <w:rPr>
                <w:rStyle w:val="kursiv"/>
              </w:rPr>
              <w:t xml:space="preserve">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4F3E2BF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F289BC9" w14:textId="77777777" w:rsidR="000A2A2B" w:rsidRPr="007C3060" w:rsidRDefault="000A2A2B" w:rsidP="007C3060">
            <w:r w:rsidRPr="007C3060">
              <w:t>4 000 000</w:t>
            </w:r>
          </w:p>
        </w:tc>
      </w:tr>
      <w:tr w:rsidR="004B729E" w:rsidRPr="007C3060" w14:paraId="4B0329B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0243D8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958DA3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0B8C4DB" w14:textId="77777777" w:rsidR="000A2A2B" w:rsidRPr="007C3060" w:rsidRDefault="000A2A2B" w:rsidP="007C3060">
            <w:r w:rsidRPr="007C3060">
              <w:t>fra kr 136 029 000 til kr 132 029 000</w:t>
            </w:r>
          </w:p>
        </w:tc>
        <w:tc>
          <w:tcPr>
            <w:tcW w:w="1717" w:type="dxa"/>
            <w:tcBorders>
              <w:top w:val="nil"/>
              <w:left w:val="nil"/>
              <w:bottom w:val="nil"/>
              <w:right w:val="nil"/>
            </w:tcBorders>
            <w:tcMar>
              <w:top w:w="128" w:type="dxa"/>
              <w:left w:w="43" w:type="dxa"/>
              <w:bottom w:w="43" w:type="dxa"/>
              <w:right w:w="43" w:type="dxa"/>
            </w:tcMar>
            <w:vAlign w:val="bottom"/>
          </w:tcPr>
          <w:p w14:paraId="6B64BA9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257BD3B" w14:textId="77777777" w:rsidR="000A2A2B" w:rsidRPr="007C3060" w:rsidRDefault="000A2A2B" w:rsidP="007C3060"/>
        </w:tc>
      </w:tr>
      <w:tr w:rsidR="004B729E" w:rsidRPr="007C3060" w14:paraId="5A57552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36454E7" w14:textId="77777777" w:rsidR="000A2A2B" w:rsidRPr="007C3060" w:rsidRDefault="000A2A2B" w:rsidP="007C3060">
            <w:r w:rsidRPr="007C3060">
              <w:t>1543</w:t>
            </w:r>
          </w:p>
        </w:tc>
        <w:tc>
          <w:tcPr>
            <w:tcW w:w="992" w:type="dxa"/>
            <w:tcBorders>
              <w:top w:val="nil"/>
              <w:left w:val="nil"/>
              <w:bottom w:val="nil"/>
              <w:right w:val="nil"/>
            </w:tcBorders>
            <w:tcMar>
              <w:top w:w="128" w:type="dxa"/>
              <w:left w:w="43" w:type="dxa"/>
              <w:bottom w:w="43" w:type="dxa"/>
              <w:right w:w="123" w:type="dxa"/>
            </w:tcMar>
          </w:tcPr>
          <w:p w14:paraId="4B1A12A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24BAB93" w14:textId="77777777" w:rsidR="000A2A2B" w:rsidRPr="007C3060" w:rsidRDefault="000A2A2B" w:rsidP="007C3060">
            <w:r w:rsidRPr="007C3060">
              <w:t>Nasjonal kommunikasjonsmyndighet:</w:t>
            </w:r>
          </w:p>
        </w:tc>
        <w:tc>
          <w:tcPr>
            <w:tcW w:w="1717" w:type="dxa"/>
            <w:tcBorders>
              <w:top w:val="nil"/>
              <w:left w:val="nil"/>
              <w:bottom w:val="nil"/>
              <w:right w:val="nil"/>
            </w:tcBorders>
            <w:tcMar>
              <w:top w:w="128" w:type="dxa"/>
              <w:left w:w="43" w:type="dxa"/>
              <w:bottom w:w="43" w:type="dxa"/>
              <w:right w:w="43" w:type="dxa"/>
            </w:tcMar>
            <w:vAlign w:val="bottom"/>
          </w:tcPr>
          <w:p w14:paraId="6C0204B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47C9470" w14:textId="77777777" w:rsidR="000A2A2B" w:rsidRPr="007C3060" w:rsidRDefault="000A2A2B" w:rsidP="007C3060"/>
        </w:tc>
      </w:tr>
      <w:tr w:rsidR="004B729E" w:rsidRPr="007C3060" w14:paraId="4EFE979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36A38B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D0EC13C"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3A180532"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468C264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9A661B2" w14:textId="77777777" w:rsidR="000A2A2B" w:rsidRPr="007C3060" w:rsidRDefault="000A2A2B" w:rsidP="007C3060">
            <w:r w:rsidRPr="007C3060">
              <w:t>2 600 000</w:t>
            </w:r>
          </w:p>
        </w:tc>
      </w:tr>
      <w:tr w:rsidR="004B729E" w:rsidRPr="007C3060" w14:paraId="0212155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80A895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742E63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C873E4D" w14:textId="77777777" w:rsidR="000A2A2B" w:rsidRPr="007C3060" w:rsidRDefault="000A2A2B" w:rsidP="007C3060">
            <w:r w:rsidRPr="007C3060">
              <w:t>fra kr 273 781 000 til kr 276 381 000</w:t>
            </w:r>
          </w:p>
        </w:tc>
        <w:tc>
          <w:tcPr>
            <w:tcW w:w="1717" w:type="dxa"/>
            <w:tcBorders>
              <w:top w:val="nil"/>
              <w:left w:val="nil"/>
              <w:bottom w:val="nil"/>
              <w:right w:val="nil"/>
            </w:tcBorders>
            <w:tcMar>
              <w:top w:w="128" w:type="dxa"/>
              <w:left w:w="43" w:type="dxa"/>
              <w:bottom w:w="43" w:type="dxa"/>
              <w:right w:w="43" w:type="dxa"/>
            </w:tcMar>
            <w:vAlign w:val="bottom"/>
          </w:tcPr>
          <w:p w14:paraId="3B6DD3C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F628841" w14:textId="77777777" w:rsidR="000A2A2B" w:rsidRPr="007C3060" w:rsidRDefault="000A2A2B" w:rsidP="007C3060"/>
        </w:tc>
      </w:tr>
      <w:tr w:rsidR="004B729E" w:rsidRPr="007C3060" w14:paraId="4D38E71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AC9312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36E6AE6"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1E07D4F6" w14:textId="77777777" w:rsidR="000A2A2B" w:rsidRPr="007C3060" w:rsidRDefault="000A2A2B" w:rsidP="007C3060">
            <w:r w:rsidRPr="007C3060">
              <w:t xml:space="preserve">Telesikkerhet og -beredskap,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2D819CA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62E6B0" w14:textId="77777777" w:rsidR="000A2A2B" w:rsidRPr="007C3060" w:rsidRDefault="000A2A2B" w:rsidP="007C3060">
            <w:r w:rsidRPr="007C3060">
              <w:t>8 085 000</w:t>
            </w:r>
          </w:p>
        </w:tc>
      </w:tr>
      <w:tr w:rsidR="004B729E" w:rsidRPr="007C3060" w14:paraId="2EF4FB3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B0678E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259396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3FC8F3F" w14:textId="77777777" w:rsidR="000A2A2B" w:rsidRPr="007C3060" w:rsidRDefault="000A2A2B" w:rsidP="007C3060">
            <w:r w:rsidRPr="007C3060">
              <w:t>fra kr 195 136 000 til kr 203 221 000</w:t>
            </w:r>
          </w:p>
        </w:tc>
        <w:tc>
          <w:tcPr>
            <w:tcW w:w="1717" w:type="dxa"/>
            <w:tcBorders>
              <w:top w:val="nil"/>
              <w:left w:val="nil"/>
              <w:bottom w:val="nil"/>
              <w:right w:val="nil"/>
            </w:tcBorders>
            <w:tcMar>
              <w:top w:w="128" w:type="dxa"/>
              <w:left w:w="43" w:type="dxa"/>
              <w:bottom w:w="43" w:type="dxa"/>
              <w:right w:w="43" w:type="dxa"/>
            </w:tcMar>
            <w:vAlign w:val="bottom"/>
          </w:tcPr>
          <w:p w14:paraId="5B10216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4DE4B21" w14:textId="77777777" w:rsidR="000A2A2B" w:rsidRPr="007C3060" w:rsidRDefault="000A2A2B" w:rsidP="007C3060"/>
        </w:tc>
      </w:tr>
      <w:tr w:rsidR="004B729E" w:rsidRPr="007C3060" w14:paraId="69D536D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7575397" w14:textId="77777777" w:rsidR="000A2A2B" w:rsidRPr="007C3060" w:rsidRDefault="000A2A2B" w:rsidP="007C3060">
            <w:r w:rsidRPr="007C3060">
              <w:t>1560</w:t>
            </w:r>
          </w:p>
        </w:tc>
        <w:tc>
          <w:tcPr>
            <w:tcW w:w="992" w:type="dxa"/>
            <w:tcBorders>
              <w:top w:val="nil"/>
              <w:left w:val="nil"/>
              <w:bottom w:val="nil"/>
              <w:right w:val="nil"/>
            </w:tcBorders>
            <w:tcMar>
              <w:top w:w="128" w:type="dxa"/>
              <w:left w:w="43" w:type="dxa"/>
              <w:bottom w:w="43" w:type="dxa"/>
              <w:right w:w="43" w:type="dxa"/>
            </w:tcMar>
          </w:tcPr>
          <w:p w14:paraId="3C2E881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tcPr>
          <w:p w14:paraId="6026E790" w14:textId="77777777" w:rsidR="000A2A2B" w:rsidRPr="007C3060" w:rsidRDefault="000A2A2B" w:rsidP="007C3060">
            <w:proofErr w:type="spellStart"/>
            <w:r w:rsidRPr="007C3060">
              <w:t>Tariffavtalte</w:t>
            </w:r>
            <w:proofErr w:type="spellEnd"/>
            <w:r w:rsidRPr="007C3060">
              <w:t xml:space="preserve"> avsetninger mv.:</w:t>
            </w:r>
          </w:p>
        </w:tc>
        <w:tc>
          <w:tcPr>
            <w:tcW w:w="1717" w:type="dxa"/>
            <w:tcBorders>
              <w:top w:val="nil"/>
              <w:left w:val="nil"/>
              <w:bottom w:val="nil"/>
              <w:right w:val="nil"/>
            </w:tcBorders>
            <w:tcMar>
              <w:top w:w="128" w:type="dxa"/>
              <w:left w:w="43" w:type="dxa"/>
              <w:bottom w:w="43" w:type="dxa"/>
              <w:right w:w="43" w:type="dxa"/>
            </w:tcMar>
            <w:vAlign w:val="bottom"/>
          </w:tcPr>
          <w:p w14:paraId="4F8E750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tcPr>
          <w:p w14:paraId="272C4EBC" w14:textId="77777777" w:rsidR="000A2A2B" w:rsidRPr="007C3060" w:rsidRDefault="000A2A2B" w:rsidP="007C3060"/>
        </w:tc>
      </w:tr>
      <w:tr w:rsidR="004B729E" w:rsidRPr="007C3060" w14:paraId="07E12593"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3A4FCCB"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41B85B4E" w14:textId="72971CD5"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5893A683" w14:textId="18E05E87" w:rsidR="000A2A2B" w:rsidRPr="007C3060" w:rsidRDefault="000A2A2B" w:rsidP="007C3060">
            <w:r w:rsidRPr="007C3060">
              <w:t xml:space="preserve">Spesielle driftsutgifter, </w:t>
            </w:r>
            <w:r w:rsidRPr="007C3060">
              <w:rPr>
                <w:rStyle w:val="kursiv"/>
              </w:rPr>
              <w:t>kan overføres, kan nyttes under post 70,</w:t>
            </w:r>
            <w:r w:rsidRPr="007C3060">
              <w:t xml:space="preserve"> bevilges med</w:t>
            </w:r>
          </w:p>
        </w:tc>
        <w:tc>
          <w:tcPr>
            <w:tcW w:w="1717" w:type="dxa"/>
            <w:tcBorders>
              <w:top w:val="nil"/>
              <w:left w:val="nil"/>
              <w:bottom w:val="nil"/>
              <w:right w:val="nil"/>
            </w:tcBorders>
            <w:tcMar>
              <w:top w:w="128" w:type="dxa"/>
              <w:left w:w="43" w:type="dxa"/>
              <w:bottom w:w="43" w:type="dxa"/>
              <w:right w:w="43" w:type="dxa"/>
            </w:tcMar>
            <w:vAlign w:val="bottom"/>
          </w:tcPr>
          <w:p w14:paraId="3367CE0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056AABF" w14:textId="77777777" w:rsidR="000A2A2B" w:rsidRPr="007C3060" w:rsidRDefault="000A2A2B" w:rsidP="007C3060">
            <w:r w:rsidRPr="007C3060">
              <w:t>2 000 000</w:t>
            </w:r>
          </w:p>
        </w:tc>
      </w:tr>
      <w:tr w:rsidR="004B729E" w:rsidRPr="007C3060" w14:paraId="7BA60445"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36B371E" w14:textId="77777777" w:rsidR="000A2A2B" w:rsidRPr="007C3060" w:rsidRDefault="000A2A2B" w:rsidP="007C3060">
            <w:r w:rsidRPr="007C3060">
              <w:lastRenderedPageBreak/>
              <w:t>(NY)</w:t>
            </w:r>
          </w:p>
        </w:tc>
        <w:tc>
          <w:tcPr>
            <w:tcW w:w="992" w:type="dxa"/>
            <w:tcBorders>
              <w:top w:val="nil"/>
              <w:left w:val="nil"/>
              <w:bottom w:val="nil"/>
              <w:right w:val="nil"/>
            </w:tcBorders>
            <w:tcMar>
              <w:top w:w="128" w:type="dxa"/>
              <w:left w:w="43" w:type="dxa"/>
              <w:bottom w:w="43" w:type="dxa"/>
              <w:right w:w="123" w:type="dxa"/>
            </w:tcMar>
          </w:tcPr>
          <w:p w14:paraId="232E5503"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43802922" w14:textId="2A3A15A2" w:rsidR="000A2A2B" w:rsidRPr="007C3060" w:rsidRDefault="000A2A2B" w:rsidP="007C3060">
            <w:r w:rsidRPr="007C3060">
              <w:t xml:space="preserve">Kompetanseutvikling mv., </w:t>
            </w:r>
            <w:r w:rsidRPr="007C3060">
              <w:rPr>
                <w:rStyle w:val="kursiv"/>
              </w:rPr>
              <w:t xml:space="preserve">kan overføres, kan nyttes under post 21, </w:t>
            </w:r>
            <w:r w:rsidRPr="007C3060">
              <w:t>bevilges med</w:t>
            </w:r>
          </w:p>
        </w:tc>
        <w:tc>
          <w:tcPr>
            <w:tcW w:w="1717" w:type="dxa"/>
            <w:tcBorders>
              <w:top w:val="nil"/>
              <w:left w:val="nil"/>
              <w:bottom w:val="nil"/>
              <w:right w:val="nil"/>
            </w:tcBorders>
            <w:tcMar>
              <w:top w:w="128" w:type="dxa"/>
              <w:left w:w="43" w:type="dxa"/>
              <w:bottom w:w="43" w:type="dxa"/>
              <w:right w:w="43" w:type="dxa"/>
            </w:tcMar>
            <w:vAlign w:val="bottom"/>
          </w:tcPr>
          <w:p w14:paraId="26B6DD6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058D9BD" w14:textId="77777777" w:rsidR="000A2A2B" w:rsidRPr="007C3060" w:rsidRDefault="000A2A2B" w:rsidP="007C3060">
            <w:r w:rsidRPr="007C3060">
              <w:t>33 000 000</w:t>
            </w:r>
          </w:p>
        </w:tc>
      </w:tr>
      <w:tr w:rsidR="004B729E" w:rsidRPr="007C3060" w14:paraId="3861CAD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AFEB86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8F48868"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2821BA7A" w14:textId="77777777" w:rsidR="000A2A2B" w:rsidRPr="007C3060" w:rsidRDefault="000A2A2B" w:rsidP="007C3060">
            <w:r w:rsidRPr="007C3060">
              <w:t>Opplæring og utvikling av tillitsvalgte, forhøyes med</w:t>
            </w:r>
          </w:p>
        </w:tc>
        <w:tc>
          <w:tcPr>
            <w:tcW w:w="1717" w:type="dxa"/>
            <w:tcBorders>
              <w:top w:val="nil"/>
              <w:left w:val="nil"/>
              <w:bottom w:val="nil"/>
              <w:right w:val="nil"/>
            </w:tcBorders>
            <w:tcMar>
              <w:top w:w="128" w:type="dxa"/>
              <w:left w:w="43" w:type="dxa"/>
              <w:bottom w:w="43" w:type="dxa"/>
              <w:right w:w="43" w:type="dxa"/>
            </w:tcMar>
            <w:vAlign w:val="bottom"/>
          </w:tcPr>
          <w:p w14:paraId="30FB92B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E39543F" w14:textId="77777777" w:rsidR="000A2A2B" w:rsidRPr="007C3060" w:rsidRDefault="000A2A2B" w:rsidP="007C3060">
            <w:r w:rsidRPr="007C3060">
              <w:t>14 200 000</w:t>
            </w:r>
          </w:p>
        </w:tc>
      </w:tr>
      <w:tr w:rsidR="004B729E" w:rsidRPr="007C3060" w14:paraId="43C2506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AAF0DF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8B7AC9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9654AB0" w14:textId="77777777" w:rsidR="000A2A2B" w:rsidRPr="007C3060" w:rsidRDefault="000A2A2B" w:rsidP="007C3060">
            <w:r w:rsidRPr="007C3060">
              <w:t>fra kr 233 100 000 til kr 247 300 000</w:t>
            </w:r>
          </w:p>
        </w:tc>
        <w:tc>
          <w:tcPr>
            <w:tcW w:w="1717" w:type="dxa"/>
            <w:tcBorders>
              <w:top w:val="nil"/>
              <w:left w:val="nil"/>
              <w:bottom w:val="nil"/>
              <w:right w:val="nil"/>
            </w:tcBorders>
            <w:tcMar>
              <w:top w:w="128" w:type="dxa"/>
              <w:left w:w="43" w:type="dxa"/>
              <w:bottom w:w="43" w:type="dxa"/>
              <w:right w:w="43" w:type="dxa"/>
            </w:tcMar>
            <w:vAlign w:val="bottom"/>
          </w:tcPr>
          <w:p w14:paraId="4DEF2B5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B5F5810" w14:textId="77777777" w:rsidR="000A2A2B" w:rsidRPr="007C3060" w:rsidRDefault="000A2A2B" w:rsidP="007C3060"/>
        </w:tc>
      </w:tr>
      <w:tr w:rsidR="004B729E" w:rsidRPr="007C3060" w14:paraId="05EB1D6F"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09268B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BC8E9C8"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45BD96AA" w14:textId="3EC99617" w:rsidR="000A2A2B" w:rsidRPr="007C3060" w:rsidRDefault="000A2A2B" w:rsidP="007C3060">
            <w:r w:rsidRPr="007C3060">
              <w:t>Pensjonskostnader tjenestemannsorganisasjonene, forhøyes med</w:t>
            </w:r>
          </w:p>
        </w:tc>
        <w:tc>
          <w:tcPr>
            <w:tcW w:w="1717" w:type="dxa"/>
            <w:tcBorders>
              <w:top w:val="nil"/>
              <w:left w:val="nil"/>
              <w:bottom w:val="nil"/>
              <w:right w:val="nil"/>
            </w:tcBorders>
            <w:tcMar>
              <w:top w:w="128" w:type="dxa"/>
              <w:left w:w="43" w:type="dxa"/>
              <w:bottom w:w="43" w:type="dxa"/>
              <w:right w:w="43" w:type="dxa"/>
            </w:tcMar>
            <w:vAlign w:val="bottom"/>
          </w:tcPr>
          <w:p w14:paraId="1549DF0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DFD351B" w14:textId="77777777" w:rsidR="000A2A2B" w:rsidRPr="007C3060" w:rsidRDefault="000A2A2B" w:rsidP="007C3060">
            <w:r w:rsidRPr="007C3060">
              <w:t>16 000 000</w:t>
            </w:r>
          </w:p>
        </w:tc>
      </w:tr>
      <w:tr w:rsidR="004B729E" w:rsidRPr="007C3060" w14:paraId="08765B7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7D4EFE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F0392A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71E23E7" w14:textId="77777777" w:rsidR="000A2A2B" w:rsidRPr="007C3060" w:rsidRDefault="000A2A2B" w:rsidP="007C3060">
            <w:r w:rsidRPr="007C3060">
              <w:t>fra kr 43 500 000 til kr 59 500 000</w:t>
            </w:r>
          </w:p>
        </w:tc>
        <w:tc>
          <w:tcPr>
            <w:tcW w:w="1717" w:type="dxa"/>
            <w:tcBorders>
              <w:top w:val="nil"/>
              <w:left w:val="nil"/>
              <w:bottom w:val="nil"/>
              <w:right w:val="nil"/>
            </w:tcBorders>
            <w:tcMar>
              <w:top w:w="128" w:type="dxa"/>
              <w:left w:w="43" w:type="dxa"/>
              <w:bottom w:w="43" w:type="dxa"/>
              <w:right w:w="43" w:type="dxa"/>
            </w:tcMar>
            <w:vAlign w:val="bottom"/>
          </w:tcPr>
          <w:p w14:paraId="1A542BD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A227F32" w14:textId="77777777" w:rsidR="000A2A2B" w:rsidRPr="007C3060" w:rsidRDefault="000A2A2B" w:rsidP="007C3060"/>
        </w:tc>
      </w:tr>
      <w:tr w:rsidR="004B729E" w:rsidRPr="007C3060" w14:paraId="0DBADA5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F9F7D7B" w14:textId="77777777" w:rsidR="000A2A2B" w:rsidRPr="007C3060" w:rsidRDefault="000A2A2B" w:rsidP="007C3060">
            <w:r w:rsidRPr="007C3060">
              <w:t>1565</w:t>
            </w:r>
          </w:p>
        </w:tc>
        <w:tc>
          <w:tcPr>
            <w:tcW w:w="992" w:type="dxa"/>
            <w:tcBorders>
              <w:top w:val="nil"/>
              <w:left w:val="nil"/>
              <w:bottom w:val="nil"/>
              <w:right w:val="nil"/>
            </w:tcBorders>
            <w:tcMar>
              <w:top w:w="128" w:type="dxa"/>
              <w:left w:w="43" w:type="dxa"/>
              <w:bottom w:w="43" w:type="dxa"/>
              <w:right w:w="123" w:type="dxa"/>
            </w:tcMar>
          </w:tcPr>
          <w:p w14:paraId="649DB9B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1E98542" w14:textId="77777777" w:rsidR="000A2A2B" w:rsidRPr="007C3060" w:rsidRDefault="000A2A2B" w:rsidP="007C3060">
            <w:r w:rsidRPr="007C3060">
              <w:t>Boliglånsordningen i Statens pensjonskasse:</w:t>
            </w:r>
          </w:p>
        </w:tc>
        <w:tc>
          <w:tcPr>
            <w:tcW w:w="1717" w:type="dxa"/>
            <w:tcBorders>
              <w:top w:val="nil"/>
              <w:left w:val="nil"/>
              <w:bottom w:val="nil"/>
              <w:right w:val="nil"/>
            </w:tcBorders>
            <w:tcMar>
              <w:top w:w="128" w:type="dxa"/>
              <w:left w:w="43" w:type="dxa"/>
              <w:bottom w:w="43" w:type="dxa"/>
              <w:right w:w="43" w:type="dxa"/>
            </w:tcMar>
            <w:vAlign w:val="bottom"/>
          </w:tcPr>
          <w:p w14:paraId="46A9F32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0E28953" w14:textId="77777777" w:rsidR="000A2A2B" w:rsidRPr="007C3060" w:rsidRDefault="000A2A2B" w:rsidP="007C3060"/>
        </w:tc>
      </w:tr>
      <w:tr w:rsidR="004B729E" w:rsidRPr="007C3060" w14:paraId="6B0E0D6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45632D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9EA1AAC"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750DF420" w14:textId="77777777" w:rsidR="000A2A2B" w:rsidRPr="007C3060" w:rsidRDefault="000A2A2B" w:rsidP="007C3060">
            <w:r w:rsidRPr="007C3060">
              <w:t>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335B5FF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37C852E" w14:textId="77777777" w:rsidR="000A2A2B" w:rsidRPr="007C3060" w:rsidRDefault="000A2A2B" w:rsidP="007C3060">
            <w:r w:rsidRPr="007C3060">
              <w:t>5 000 000</w:t>
            </w:r>
          </w:p>
        </w:tc>
      </w:tr>
      <w:tr w:rsidR="004B729E" w:rsidRPr="007C3060" w14:paraId="12600FC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52409A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292DCD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72E7B57" w14:textId="77777777" w:rsidR="000A2A2B" w:rsidRPr="007C3060" w:rsidRDefault="000A2A2B" w:rsidP="007C3060">
            <w:r w:rsidRPr="007C3060">
              <w:t>fra kr 61 000 000 til kr 56 000 000</w:t>
            </w:r>
          </w:p>
        </w:tc>
        <w:tc>
          <w:tcPr>
            <w:tcW w:w="1717" w:type="dxa"/>
            <w:tcBorders>
              <w:top w:val="nil"/>
              <w:left w:val="nil"/>
              <w:bottom w:val="nil"/>
              <w:right w:val="nil"/>
            </w:tcBorders>
            <w:tcMar>
              <w:top w:w="128" w:type="dxa"/>
              <w:left w:w="43" w:type="dxa"/>
              <w:bottom w:w="43" w:type="dxa"/>
              <w:right w:w="43" w:type="dxa"/>
            </w:tcMar>
            <w:vAlign w:val="bottom"/>
          </w:tcPr>
          <w:p w14:paraId="4D3EC00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B58A287" w14:textId="77777777" w:rsidR="000A2A2B" w:rsidRPr="007C3060" w:rsidRDefault="000A2A2B" w:rsidP="007C3060"/>
        </w:tc>
      </w:tr>
      <w:tr w:rsidR="004B729E" w:rsidRPr="007C3060" w14:paraId="3E1505F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A4A0D2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5E74C10" w14:textId="77777777" w:rsidR="000A2A2B" w:rsidRPr="007C3060" w:rsidRDefault="000A2A2B" w:rsidP="007C3060">
            <w:r w:rsidRPr="007C3060">
              <w:t>90</w:t>
            </w:r>
          </w:p>
        </w:tc>
        <w:tc>
          <w:tcPr>
            <w:tcW w:w="4819" w:type="dxa"/>
            <w:tcBorders>
              <w:top w:val="nil"/>
              <w:left w:val="nil"/>
              <w:bottom w:val="nil"/>
              <w:right w:val="nil"/>
            </w:tcBorders>
            <w:tcMar>
              <w:top w:w="128" w:type="dxa"/>
              <w:left w:w="43" w:type="dxa"/>
              <w:bottom w:w="43" w:type="dxa"/>
              <w:right w:w="43" w:type="dxa"/>
            </w:tcMar>
            <w:vAlign w:val="bottom"/>
          </w:tcPr>
          <w:p w14:paraId="255DD2D0" w14:textId="77777777" w:rsidR="000A2A2B" w:rsidRPr="007C3060" w:rsidRDefault="000A2A2B" w:rsidP="007C3060">
            <w:r w:rsidRPr="007C3060">
              <w:t xml:space="preserve">Utlån,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1B6D369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7D47EE6" w14:textId="77777777" w:rsidR="000A2A2B" w:rsidRPr="007C3060" w:rsidRDefault="000A2A2B" w:rsidP="007C3060">
            <w:r w:rsidRPr="007C3060">
              <w:t>1 500 000 000</w:t>
            </w:r>
          </w:p>
        </w:tc>
      </w:tr>
      <w:tr w:rsidR="004B729E" w:rsidRPr="007C3060" w14:paraId="7C7A7D1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7918D7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5EE1BA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AA79955" w14:textId="77777777" w:rsidR="000A2A2B" w:rsidRPr="007C3060" w:rsidRDefault="000A2A2B" w:rsidP="007C3060">
            <w:r w:rsidRPr="007C3060">
              <w:t>fra kr 7 600 000 000 til kr 9 100 000 000</w:t>
            </w:r>
          </w:p>
        </w:tc>
        <w:tc>
          <w:tcPr>
            <w:tcW w:w="1717" w:type="dxa"/>
            <w:tcBorders>
              <w:top w:val="nil"/>
              <w:left w:val="nil"/>
              <w:bottom w:val="nil"/>
              <w:right w:val="nil"/>
            </w:tcBorders>
            <w:tcMar>
              <w:top w:w="128" w:type="dxa"/>
              <w:left w:w="43" w:type="dxa"/>
              <w:bottom w:w="43" w:type="dxa"/>
              <w:right w:w="43" w:type="dxa"/>
            </w:tcMar>
            <w:vAlign w:val="bottom"/>
          </w:tcPr>
          <w:p w14:paraId="5AB2062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AA3E44E" w14:textId="77777777" w:rsidR="000A2A2B" w:rsidRPr="007C3060" w:rsidRDefault="000A2A2B" w:rsidP="007C3060"/>
        </w:tc>
      </w:tr>
      <w:tr w:rsidR="004B729E" w:rsidRPr="007C3060" w14:paraId="4D80E7F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21EE09D" w14:textId="77777777" w:rsidR="000A2A2B" w:rsidRPr="007C3060" w:rsidRDefault="000A2A2B" w:rsidP="007C3060">
            <w:r w:rsidRPr="007C3060">
              <w:t>1600</w:t>
            </w:r>
          </w:p>
        </w:tc>
        <w:tc>
          <w:tcPr>
            <w:tcW w:w="992" w:type="dxa"/>
            <w:tcBorders>
              <w:top w:val="nil"/>
              <w:left w:val="nil"/>
              <w:bottom w:val="nil"/>
              <w:right w:val="nil"/>
            </w:tcBorders>
            <w:tcMar>
              <w:top w:w="128" w:type="dxa"/>
              <w:left w:w="43" w:type="dxa"/>
              <w:bottom w:w="43" w:type="dxa"/>
              <w:right w:w="123" w:type="dxa"/>
            </w:tcMar>
          </w:tcPr>
          <w:p w14:paraId="759B8C1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B5B7E18" w14:textId="77777777" w:rsidR="000A2A2B" w:rsidRPr="007C3060" w:rsidRDefault="000A2A2B" w:rsidP="007C3060">
            <w:r w:rsidRPr="007C3060">
              <w:t>Finansdepartementet:</w:t>
            </w:r>
          </w:p>
        </w:tc>
        <w:tc>
          <w:tcPr>
            <w:tcW w:w="1717" w:type="dxa"/>
            <w:tcBorders>
              <w:top w:val="nil"/>
              <w:left w:val="nil"/>
              <w:bottom w:val="nil"/>
              <w:right w:val="nil"/>
            </w:tcBorders>
            <w:tcMar>
              <w:top w:w="128" w:type="dxa"/>
              <w:left w:w="43" w:type="dxa"/>
              <w:bottom w:w="43" w:type="dxa"/>
              <w:right w:w="43" w:type="dxa"/>
            </w:tcMar>
            <w:vAlign w:val="bottom"/>
          </w:tcPr>
          <w:p w14:paraId="300140C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B1FC979" w14:textId="77777777" w:rsidR="000A2A2B" w:rsidRPr="007C3060" w:rsidRDefault="000A2A2B" w:rsidP="007C3060"/>
        </w:tc>
      </w:tr>
      <w:tr w:rsidR="004B729E" w:rsidRPr="007C3060" w14:paraId="527FD2E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550EE9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CDDDF3C"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16C9EC79" w14:textId="77777777" w:rsidR="000A2A2B" w:rsidRPr="007C3060" w:rsidRDefault="000A2A2B" w:rsidP="007C3060">
            <w:r w:rsidRPr="007C3060">
              <w:t xml:space="preserve">Spesielle driftsutgifter,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5B81922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4D1DFB5" w14:textId="77777777" w:rsidR="000A2A2B" w:rsidRPr="007C3060" w:rsidRDefault="000A2A2B" w:rsidP="007C3060">
            <w:r w:rsidRPr="007C3060">
              <w:t>9 000 000</w:t>
            </w:r>
          </w:p>
        </w:tc>
      </w:tr>
      <w:tr w:rsidR="004B729E" w:rsidRPr="007C3060" w14:paraId="4174DD3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CCBECC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6481D0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78DB9D5" w14:textId="77777777" w:rsidR="000A2A2B" w:rsidRPr="007C3060" w:rsidRDefault="000A2A2B" w:rsidP="007C3060">
            <w:r w:rsidRPr="007C3060">
              <w:t>fra kr 67 874 000 til kr 58 874 000</w:t>
            </w:r>
          </w:p>
        </w:tc>
        <w:tc>
          <w:tcPr>
            <w:tcW w:w="1717" w:type="dxa"/>
            <w:tcBorders>
              <w:top w:val="nil"/>
              <w:left w:val="nil"/>
              <w:bottom w:val="nil"/>
              <w:right w:val="nil"/>
            </w:tcBorders>
            <w:tcMar>
              <w:top w:w="128" w:type="dxa"/>
              <w:left w:w="43" w:type="dxa"/>
              <w:bottom w:w="43" w:type="dxa"/>
              <w:right w:w="43" w:type="dxa"/>
            </w:tcMar>
            <w:vAlign w:val="bottom"/>
          </w:tcPr>
          <w:p w14:paraId="331EEDA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48F1DBE" w14:textId="77777777" w:rsidR="000A2A2B" w:rsidRPr="007C3060" w:rsidRDefault="000A2A2B" w:rsidP="007C3060"/>
        </w:tc>
      </w:tr>
      <w:tr w:rsidR="004B729E" w:rsidRPr="007C3060" w14:paraId="0026939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B573CA1" w14:textId="77777777" w:rsidR="000A2A2B" w:rsidRPr="007C3060" w:rsidRDefault="000A2A2B" w:rsidP="007C3060">
            <w:r w:rsidRPr="007C3060">
              <w:t>1610</w:t>
            </w:r>
          </w:p>
        </w:tc>
        <w:tc>
          <w:tcPr>
            <w:tcW w:w="992" w:type="dxa"/>
            <w:tcBorders>
              <w:top w:val="nil"/>
              <w:left w:val="nil"/>
              <w:bottom w:val="nil"/>
              <w:right w:val="nil"/>
            </w:tcBorders>
            <w:tcMar>
              <w:top w:w="128" w:type="dxa"/>
              <w:left w:w="43" w:type="dxa"/>
              <w:bottom w:w="43" w:type="dxa"/>
              <w:right w:w="123" w:type="dxa"/>
            </w:tcMar>
          </w:tcPr>
          <w:p w14:paraId="1CBDC86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7BED291" w14:textId="77777777" w:rsidR="000A2A2B" w:rsidRPr="007C3060" w:rsidRDefault="000A2A2B" w:rsidP="007C3060">
            <w:r w:rsidRPr="007C3060">
              <w:t>Tolletaten:</w:t>
            </w:r>
          </w:p>
        </w:tc>
        <w:tc>
          <w:tcPr>
            <w:tcW w:w="1717" w:type="dxa"/>
            <w:tcBorders>
              <w:top w:val="nil"/>
              <w:left w:val="nil"/>
              <w:bottom w:val="nil"/>
              <w:right w:val="nil"/>
            </w:tcBorders>
            <w:tcMar>
              <w:top w:w="128" w:type="dxa"/>
              <w:left w:w="43" w:type="dxa"/>
              <w:bottom w:w="43" w:type="dxa"/>
              <w:right w:w="43" w:type="dxa"/>
            </w:tcMar>
            <w:vAlign w:val="bottom"/>
          </w:tcPr>
          <w:p w14:paraId="2EA0DDC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C6880EA" w14:textId="77777777" w:rsidR="000A2A2B" w:rsidRPr="007C3060" w:rsidRDefault="000A2A2B" w:rsidP="007C3060"/>
        </w:tc>
      </w:tr>
      <w:tr w:rsidR="004B729E" w:rsidRPr="007C3060" w14:paraId="22DB856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2F9923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B6B8AA6"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07B2C06D" w14:textId="77777777" w:rsidR="000A2A2B" w:rsidRPr="007C3060" w:rsidRDefault="000A2A2B" w:rsidP="007C3060">
            <w:r w:rsidRPr="007C3060">
              <w:t>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6F8CB8F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4A0AB62" w14:textId="77777777" w:rsidR="000A2A2B" w:rsidRPr="007C3060" w:rsidRDefault="000A2A2B" w:rsidP="007C3060">
            <w:r w:rsidRPr="007C3060">
              <w:t>443 000</w:t>
            </w:r>
          </w:p>
        </w:tc>
      </w:tr>
      <w:tr w:rsidR="004B729E" w:rsidRPr="007C3060" w14:paraId="18E802F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A98853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83CA5C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9B02EEA" w14:textId="77777777" w:rsidR="000A2A2B" w:rsidRPr="007C3060" w:rsidRDefault="000A2A2B" w:rsidP="007C3060">
            <w:r w:rsidRPr="007C3060">
              <w:t>fra kr 2 042 566 000 til kr 2 042 123 000</w:t>
            </w:r>
          </w:p>
        </w:tc>
        <w:tc>
          <w:tcPr>
            <w:tcW w:w="1717" w:type="dxa"/>
            <w:tcBorders>
              <w:top w:val="nil"/>
              <w:left w:val="nil"/>
              <w:bottom w:val="nil"/>
              <w:right w:val="nil"/>
            </w:tcBorders>
            <w:tcMar>
              <w:top w:w="128" w:type="dxa"/>
              <w:left w:w="43" w:type="dxa"/>
              <w:bottom w:w="43" w:type="dxa"/>
              <w:right w:w="43" w:type="dxa"/>
            </w:tcMar>
            <w:vAlign w:val="bottom"/>
          </w:tcPr>
          <w:p w14:paraId="3704914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5459167" w14:textId="77777777" w:rsidR="000A2A2B" w:rsidRPr="007C3060" w:rsidRDefault="000A2A2B" w:rsidP="007C3060"/>
        </w:tc>
      </w:tr>
      <w:tr w:rsidR="004B729E" w:rsidRPr="007C3060" w14:paraId="56A14EF3" w14:textId="77777777" w:rsidTr="00414C2B">
        <w:trPr>
          <w:trHeight w:val="640"/>
          <w:jc w:val="right"/>
        </w:trPr>
        <w:tc>
          <w:tcPr>
            <w:tcW w:w="969" w:type="dxa"/>
            <w:tcBorders>
              <w:top w:val="single" w:sz="4" w:space="0" w:color="000000"/>
              <w:left w:val="nil"/>
              <w:bottom w:val="nil"/>
              <w:right w:val="nil"/>
            </w:tcBorders>
            <w:tcMar>
              <w:top w:w="128" w:type="dxa"/>
              <w:left w:w="43" w:type="dxa"/>
              <w:bottom w:w="43" w:type="dxa"/>
              <w:right w:w="123" w:type="dxa"/>
            </w:tcMar>
          </w:tcPr>
          <w:p w14:paraId="17C7BDAA" w14:textId="77777777" w:rsidR="000A2A2B" w:rsidRPr="007C3060" w:rsidRDefault="000A2A2B" w:rsidP="007C3060"/>
        </w:tc>
        <w:tc>
          <w:tcPr>
            <w:tcW w:w="992" w:type="dxa"/>
            <w:tcBorders>
              <w:top w:val="single" w:sz="4" w:space="0" w:color="000000"/>
              <w:left w:val="nil"/>
              <w:bottom w:val="nil"/>
              <w:right w:val="nil"/>
            </w:tcBorders>
            <w:tcMar>
              <w:top w:w="128" w:type="dxa"/>
              <w:left w:w="43" w:type="dxa"/>
              <w:bottom w:w="43" w:type="dxa"/>
              <w:right w:w="123" w:type="dxa"/>
            </w:tcMar>
          </w:tcPr>
          <w:p w14:paraId="64C3F21B" w14:textId="77777777" w:rsidR="000A2A2B" w:rsidRPr="007C3060" w:rsidRDefault="000A2A2B" w:rsidP="007C3060">
            <w:r w:rsidRPr="007C3060">
              <w:t>45</w:t>
            </w:r>
          </w:p>
        </w:tc>
        <w:tc>
          <w:tcPr>
            <w:tcW w:w="4819" w:type="dxa"/>
            <w:tcBorders>
              <w:top w:val="single" w:sz="4" w:space="0" w:color="000000"/>
              <w:left w:val="nil"/>
              <w:bottom w:val="nil"/>
              <w:right w:val="nil"/>
            </w:tcBorders>
            <w:tcMar>
              <w:top w:w="128" w:type="dxa"/>
              <w:left w:w="43" w:type="dxa"/>
              <w:bottom w:w="43" w:type="dxa"/>
              <w:right w:w="43" w:type="dxa"/>
            </w:tcMar>
            <w:vAlign w:val="bottom"/>
          </w:tcPr>
          <w:p w14:paraId="4C2BDD5C" w14:textId="77777777" w:rsidR="000A2A2B" w:rsidRPr="007C3060" w:rsidRDefault="000A2A2B" w:rsidP="007C3060">
            <w:r w:rsidRPr="007C3060">
              <w:t xml:space="preserve">Større utstyrsanskaffelser og vedlikehold, </w:t>
            </w:r>
            <w:r w:rsidRPr="007C3060">
              <w:rPr>
                <w:rStyle w:val="kursiv"/>
              </w:rPr>
              <w:t>kan overføres,</w:t>
            </w:r>
            <w:r w:rsidRPr="007C3060">
              <w:t xml:space="preserve"> nedsettes med</w:t>
            </w:r>
          </w:p>
        </w:tc>
        <w:tc>
          <w:tcPr>
            <w:tcW w:w="1717" w:type="dxa"/>
            <w:tcBorders>
              <w:top w:val="single" w:sz="4" w:space="0" w:color="000000"/>
              <w:left w:val="nil"/>
              <w:bottom w:val="nil"/>
              <w:right w:val="nil"/>
            </w:tcBorders>
            <w:tcMar>
              <w:top w:w="128" w:type="dxa"/>
              <w:left w:w="43" w:type="dxa"/>
              <w:bottom w:w="43" w:type="dxa"/>
              <w:right w:w="43" w:type="dxa"/>
            </w:tcMar>
            <w:vAlign w:val="bottom"/>
          </w:tcPr>
          <w:p w14:paraId="49D7ED4F" w14:textId="77777777" w:rsidR="000A2A2B" w:rsidRPr="007C3060" w:rsidRDefault="000A2A2B" w:rsidP="007C3060"/>
        </w:tc>
        <w:tc>
          <w:tcPr>
            <w:tcW w:w="1969" w:type="dxa"/>
            <w:tcBorders>
              <w:top w:val="single" w:sz="4" w:space="0" w:color="000000"/>
              <w:left w:val="nil"/>
              <w:bottom w:val="nil"/>
              <w:right w:val="nil"/>
            </w:tcBorders>
            <w:tcMar>
              <w:top w:w="128" w:type="dxa"/>
              <w:left w:w="43" w:type="dxa"/>
              <w:bottom w:w="43" w:type="dxa"/>
              <w:right w:w="43" w:type="dxa"/>
            </w:tcMar>
            <w:vAlign w:val="bottom"/>
          </w:tcPr>
          <w:p w14:paraId="7BB7D633" w14:textId="77777777" w:rsidR="000A2A2B" w:rsidRPr="007C3060" w:rsidRDefault="000A2A2B" w:rsidP="007C3060">
            <w:r w:rsidRPr="007C3060">
              <w:t>78 000 000</w:t>
            </w:r>
          </w:p>
        </w:tc>
      </w:tr>
      <w:tr w:rsidR="004B729E" w:rsidRPr="007C3060" w14:paraId="6BF4B6A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55E93D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859CD7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82AF59D" w14:textId="77777777" w:rsidR="000A2A2B" w:rsidRPr="007C3060" w:rsidRDefault="000A2A2B" w:rsidP="007C3060">
            <w:r w:rsidRPr="007C3060">
              <w:t>fra kr 321 854 000 til kr 243 854 000</w:t>
            </w:r>
          </w:p>
        </w:tc>
        <w:tc>
          <w:tcPr>
            <w:tcW w:w="1717" w:type="dxa"/>
            <w:tcBorders>
              <w:top w:val="nil"/>
              <w:left w:val="nil"/>
              <w:bottom w:val="nil"/>
              <w:right w:val="nil"/>
            </w:tcBorders>
            <w:tcMar>
              <w:top w:w="128" w:type="dxa"/>
              <w:left w:w="43" w:type="dxa"/>
              <w:bottom w:w="43" w:type="dxa"/>
              <w:right w:w="43" w:type="dxa"/>
            </w:tcMar>
            <w:vAlign w:val="bottom"/>
          </w:tcPr>
          <w:p w14:paraId="331D5D2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88B8833" w14:textId="77777777" w:rsidR="000A2A2B" w:rsidRPr="007C3060" w:rsidRDefault="000A2A2B" w:rsidP="007C3060"/>
        </w:tc>
      </w:tr>
      <w:tr w:rsidR="004B729E" w:rsidRPr="007C3060" w14:paraId="0CBE9C6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60F6834" w14:textId="77777777" w:rsidR="000A2A2B" w:rsidRPr="007C3060" w:rsidRDefault="000A2A2B" w:rsidP="007C3060">
            <w:r w:rsidRPr="007C3060">
              <w:t>1618</w:t>
            </w:r>
          </w:p>
        </w:tc>
        <w:tc>
          <w:tcPr>
            <w:tcW w:w="992" w:type="dxa"/>
            <w:tcBorders>
              <w:top w:val="nil"/>
              <w:left w:val="nil"/>
              <w:bottom w:val="nil"/>
              <w:right w:val="nil"/>
            </w:tcBorders>
            <w:tcMar>
              <w:top w:w="128" w:type="dxa"/>
              <w:left w:w="43" w:type="dxa"/>
              <w:bottom w:w="43" w:type="dxa"/>
              <w:right w:w="123" w:type="dxa"/>
            </w:tcMar>
          </w:tcPr>
          <w:p w14:paraId="381D566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8887A25" w14:textId="77777777" w:rsidR="000A2A2B" w:rsidRPr="007C3060" w:rsidRDefault="000A2A2B" w:rsidP="007C3060">
            <w:r w:rsidRPr="007C3060">
              <w:t>Skatteetaten:</w:t>
            </w:r>
          </w:p>
        </w:tc>
        <w:tc>
          <w:tcPr>
            <w:tcW w:w="1717" w:type="dxa"/>
            <w:tcBorders>
              <w:top w:val="nil"/>
              <w:left w:val="nil"/>
              <w:bottom w:val="nil"/>
              <w:right w:val="nil"/>
            </w:tcBorders>
            <w:tcMar>
              <w:top w:w="128" w:type="dxa"/>
              <w:left w:w="43" w:type="dxa"/>
              <w:bottom w:w="43" w:type="dxa"/>
              <w:right w:w="43" w:type="dxa"/>
            </w:tcMar>
            <w:vAlign w:val="bottom"/>
          </w:tcPr>
          <w:p w14:paraId="06C2B74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6FE16D3" w14:textId="77777777" w:rsidR="000A2A2B" w:rsidRPr="007C3060" w:rsidRDefault="000A2A2B" w:rsidP="007C3060"/>
        </w:tc>
      </w:tr>
      <w:tr w:rsidR="004B729E" w:rsidRPr="007C3060" w14:paraId="31930B9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783101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A0CC859"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676EEC8D"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2575BE7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11945AF" w14:textId="77777777" w:rsidR="000A2A2B" w:rsidRPr="007C3060" w:rsidRDefault="000A2A2B" w:rsidP="007C3060">
            <w:r w:rsidRPr="007C3060">
              <w:t>4 000 000</w:t>
            </w:r>
          </w:p>
        </w:tc>
      </w:tr>
      <w:tr w:rsidR="004B729E" w:rsidRPr="007C3060" w14:paraId="56A3A3B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13152F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C497C4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A320EB4" w14:textId="77777777" w:rsidR="000A2A2B" w:rsidRPr="007C3060" w:rsidRDefault="000A2A2B" w:rsidP="007C3060">
            <w:r w:rsidRPr="007C3060">
              <w:t>fra kr 8 152 802 000 til kr 8 156 802 000</w:t>
            </w:r>
          </w:p>
        </w:tc>
        <w:tc>
          <w:tcPr>
            <w:tcW w:w="1717" w:type="dxa"/>
            <w:tcBorders>
              <w:top w:val="nil"/>
              <w:left w:val="nil"/>
              <w:bottom w:val="nil"/>
              <w:right w:val="nil"/>
            </w:tcBorders>
            <w:tcMar>
              <w:top w:w="128" w:type="dxa"/>
              <w:left w:w="43" w:type="dxa"/>
              <w:bottom w:w="43" w:type="dxa"/>
              <w:right w:w="43" w:type="dxa"/>
            </w:tcMar>
            <w:vAlign w:val="bottom"/>
          </w:tcPr>
          <w:p w14:paraId="6D6AF7D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BB2D50A" w14:textId="77777777" w:rsidR="000A2A2B" w:rsidRPr="007C3060" w:rsidRDefault="000A2A2B" w:rsidP="007C3060"/>
        </w:tc>
      </w:tr>
      <w:tr w:rsidR="004B729E" w:rsidRPr="007C3060" w14:paraId="4D8B5F1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ECBACF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6B68C1E"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642A2A52" w14:textId="77777777" w:rsidR="000A2A2B" w:rsidRPr="007C3060" w:rsidRDefault="000A2A2B" w:rsidP="007C3060">
            <w:r w:rsidRPr="007C3060">
              <w:t xml:space="preserve">Større IT-prosjekter,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40A67A4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DAEFF77" w14:textId="77777777" w:rsidR="000A2A2B" w:rsidRPr="007C3060" w:rsidRDefault="000A2A2B" w:rsidP="007C3060">
            <w:r w:rsidRPr="007C3060">
              <w:t>40 000 000</w:t>
            </w:r>
          </w:p>
        </w:tc>
      </w:tr>
      <w:tr w:rsidR="004B729E" w:rsidRPr="007C3060" w14:paraId="17E356E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6CC77B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D193FF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CB8694E" w14:textId="77777777" w:rsidR="000A2A2B" w:rsidRPr="007C3060" w:rsidRDefault="000A2A2B" w:rsidP="007C3060">
            <w:r w:rsidRPr="007C3060">
              <w:t>fra kr 557 631 000 til kr 597 631 000</w:t>
            </w:r>
          </w:p>
        </w:tc>
        <w:tc>
          <w:tcPr>
            <w:tcW w:w="1717" w:type="dxa"/>
            <w:tcBorders>
              <w:top w:val="nil"/>
              <w:left w:val="nil"/>
              <w:bottom w:val="nil"/>
              <w:right w:val="nil"/>
            </w:tcBorders>
            <w:tcMar>
              <w:top w:w="128" w:type="dxa"/>
              <w:left w:w="43" w:type="dxa"/>
              <w:bottom w:w="43" w:type="dxa"/>
              <w:right w:w="43" w:type="dxa"/>
            </w:tcMar>
            <w:vAlign w:val="bottom"/>
          </w:tcPr>
          <w:p w14:paraId="79ACCF7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5A00B6D" w14:textId="77777777" w:rsidR="000A2A2B" w:rsidRPr="007C3060" w:rsidRDefault="000A2A2B" w:rsidP="007C3060"/>
        </w:tc>
      </w:tr>
      <w:tr w:rsidR="004B729E" w:rsidRPr="007C3060" w14:paraId="5F19277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7898A9A" w14:textId="77777777" w:rsidR="000A2A2B" w:rsidRPr="007C3060" w:rsidRDefault="000A2A2B" w:rsidP="007C3060">
            <w:r w:rsidRPr="007C3060">
              <w:t>1619</w:t>
            </w:r>
          </w:p>
        </w:tc>
        <w:tc>
          <w:tcPr>
            <w:tcW w:w="992" w:type="dxa"/>
            <w:tcBorders>
              <w:top w:val="nil"/>
              <w:left w:val="nil"/>
              <w:bottom w:val="nil"/>
              <w:right w:val="nil"/>
            </w:tcBorders>
            <w:tcMar>
              <w:top w:w="128" w:type="dxa"/>
              <w:left w:w="43" w:type="dxa"/>
              <w:bottom w:w="43" w:type="dxa"/>
              <w:right w:w="123" w:type="dxa"/>
            </w:tcMar>
          </w:tcPr>
          <w:p w14:paraId="4296EFA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3743B2C" w14:textId="77777777" w:rsidR="000A2A2B" w:rsidRPr="007C3060" w:rsidRDefault="000A2A2B" w:rsidP="007C3060">
            <w:r w:rsidRPr="007C3060">
              <w:t>Skatteklagenemnda:</w:t>
            </w:r>
          </w:p>
        </w:tc>
        <w:tc>
          <w:tcPr>
            <w:tcW w:w="1717" w:type="dxa"/>
            <w:tcBorders>
              <w:top w:val="nil"/>
              <w:left w:val="nil"/>
              <w:bottom w:val="nil"/>
              <w:right w:val="nil"/>
            </w:tcBorders>
            <w:tcMar>
              <w:top w:w="128" w:type="dxa"/>
              <w:left w:w="43" w:type="dxa"/>
              <w:bottom w:w="43" w:type="dxa"/>
              <w:right w:w="43" w:type="dxa"/>
            </w:tcMar>
            <w:vAlign w:val="bottom"/>
          </w:tcPr>
          <w:p w14:paraId="0D0EE39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F3E2B8B" w14:textId="77777777" w:rsidR="000A2A2B" w:rsidRPr="007C3060" w:rsidRDefault="000A2A2B" w:rsidP="007C3060"/>
        </w:tc>
      </w:tr>
      <w:tr w:rsidR="004B729E" w:rsidRPr="007C3060" w14:paraId="6DE067A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30D0F3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70DE09E"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3A6EB7E2"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4491329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14DB9DF" w14:textId="77777777" w:rsidR="000A2A2B" w:rsidRPr="007C3060" w:rsidRDefault="000A2A2B" w:rsidP="007C3060">
            <w:r w:rsidRPr="007C3060">
              <w:t>3 000 000</w:t>
            </w:r>
          </w:p>
        </w:tc>
      </w:tr>
      <w:tr w:rsidR="004B729E" w:rsidRPr="007C3060" w14:paraId="01F0806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4F4F14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3D9A7A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002AB74" w14:textId="77777777" w:rsidR="000A2A2B" w:rsidRPr="007C3060" w:rsidRDefault="000A2A2B" w:rsidP="007C3060">
            <w:r w:rsidRPr="007C3060">
              <w:t>fra kr 80 238 000 til kr 83 238 000</w:t>
            </w:r>
          </w:p>
        </w:tc>
        <w:tc>
          <w:tcPr>
            <w:tcW w:w="1717" w:type="dxa"/>
            <w:tcBorders>
              <w:top w:val="nil"/>
              <w:left w:val="nil"/>
              <w:bottom w:val="nil"/>
              <w:right w:val="nil"/>
            </w:tcBorders>
            <w:tcMar>
              <w:top w:w="128" w:type="dxa"/>
              <w:left w:w="43" w:type="dxa"/>
              <w:bottom w:w="43" w:type="dxa"/>
              <w:right w:w="43" w:type="dxa"/>
            </w:tcMar>
            <w:vAlign w:val="bottom"/>
          </w:tcPr>
          <w:p w14:paraId="61787AE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60FA9C3" w14:textId="77777777" w:rsidR="000A2A2B" w:rsidRPr="007C3060" w:rsidRDefault="000A2A2B" w:rsidP="007C3060"/>
        </w:tc>
      </w:tr>
      <w:tr w:rsidR="004B729E" w:rsidRPr="007C3060" w14:paraId="6B8CFA0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27990E3" w14:textId="77777777" w:rsidR="000A2A2B" w:rsidRPr="007C3060" w:rsidRDefault="000A2A2B" w:rsidP="007C3060">
            <w:r w:rsidRPr="007C3060">
              <w:t>1620</w:t>
            </w:r>
          </w:p>
        </w:tc>
        <w:tc>
          <w:tcPr>
            <w:tcW w:w="992" w:type="dxa"/>
            <w:tcBorders>
              <w:top w:val="nil"/>
              <w:left w:val="nil"/>
              <w:bottom w:val="nil"/>
              <w:right w:val="nil"/>
            </w:tcBorders>
            <w:tcMar>
              <w:top w:w="128" w:type="dxa"/>
              <w:left w:w="43" w:type="dxa"/>
              <w:bottom w:w="43" w:type="dxa"/>
              <w:right w:w="123" w:type="dxa"/>
            </w:tcMar>
          </w:tcPr>
          <w:p w14:paraId="0CB7F5D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85DF086" w14:textId="77777777" w:rsidR="000A2A2B" w:rsidRPr="007C3060" w:rsidRDefault="000A2A2B" w:rsidP="007C3060">
            <w:r w:rsidRPr="007C3060">
              <w:t>Statistisk sentralbyrå:</w:t>
            </w:r>
          </w:p>
        </w:tc>
        <w:tc>
          <w:tcPr>
            <w:tcW w:w="1717" w:type="dxa"/>
            <w:tcBorders>
              <w:top w:val="nil"/>
              <w:left w:val="nil"/>
              <w:bottom w:val="nil"/>
              <w:right w:val="nil"/>
            </w:tcBorders>
            <w:tcMar>
              <w:top w:w="128" w:type="dxa"/>
              <w:left w:w="43" w:type="dxa"/>
              <w:bottom w:w="43" w:type="dxa"/>
              <w:right w:w="43" w:type="dxa"/>
            </w:tcMar>
            <w:vAlign w:val="bottom"/>
          </w:tcPr>
          <w:p w14:paraId="16E0E6D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D059E0B" w14:textId="77777777" w:rsidR="000A2A2B" w:rsidRPr="007C3060" w:rsidRDefault="000A2A2B" w:rsidP="007C3060"/>
        </w:tc>
      </w:tr>
      <w:tr w:rsidR="004B729E" w:rsidRPr="007C3060" w14:paraId="22CC456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A60099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15C2723"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775668A4"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48F9506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F8DED10" w14:textId="77777777" w:rsidR="000A2A2B" w:rsidRPr="007C3060" w:rsidRDefault="000A2A2B" w:rsidP="007C3060">
            <w:r w:rsidRPr="007C3060">
              <w:t>10 000 000</w:t>
            </w:r>
          </w:p>
        </w:tc>
      </w:tr>
      <w:tr w:rsidR="004B729E" w:rsidRPr="007C3060" w14:paraId="2CBD78D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18F119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8A2251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F75EAC0" w14:textId="77777777" w:rsidR="000A2A2B" w:rsidRPr="007C3060" w:rsidRDefault="000A2A2B" w:rsidP="007C3060">
            <w:r w:rsidRPr="007C3060">
              <w:t>fra kr 783 068 000 til kr 793 068 000</w:t>
            </w:r>
          </w:p>
        </w:tc>
        <w:tc>
          <w:tcPr>
            <w:tcW w:w="1717" w:type="dxa"/>
            <w:tcBorders>
              <w:top w:val="nil"/>
              <w:left w:val="nil"/>
              <w:bottom w:val="nil"/>
              <w:right w:val="nil"/>
            </w:tcBorders>
            <w:tcMar>
              <w:top w:w="128" w:type="dxa"/>
              <w:left w:w="43" w:type="dxa"/>
              <w:bottom w:w="43" w:type="dxa"/>
              <w:right w:w="43" w:type="dxa"/>
            </w:tcMar>
            <w:vAlign w:val="bottom"/>
          </w:tcPr>
          <w:p w14:paraId="29BBAA3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F7D80A8" w14:textId="77777777" w:rsidR="000A2A2B" w:rsidRPr="007C3060" w:rsidRDefault="000A2A2B" w:rsidP="007C3060"/>
        </w:tc>
      </w:tr>
      <w:tr w:rsidR="004B729E" w:rsidRPr="007C3060" w14:paraId="6C3B674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BD262DD" w14:textId="77777777" w:rsidR="000A2A2B" w:rsidRPr="007C3060" w:rsidRDefault="000A2A2B" w:rsidP="007C3060">
            <w:r w:rsidRPr="007C3060">
              <w:t>1650</w:t>
            </w:r>
          </w:p>
        </w:tc>
        <w:tc>
          <w:tcPr>
            <w:tcW w:w="992" w:type="dxa"/>
            <w:tcBorders>
              <w:top w:val="nil"/>
              <w:left w:val="nil"/>
              <w:bottom w:val="nil"/>
              <w:right w:val="nil"/>
            </w:tcBorders>
            <w:tcMar>
              <w:top w:w="128" w:type="dxa"/>
              <w:left w:w="43" w:type="dxa"/>
              <w:bottom w:w="43" w:type="dxa"/>
              <w:right w:w="123" w:type="dxa"/>
            </w:tcMar>
          </w:tcPr>
          <w:p w14:paraId="5127BB6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C4D802F" w14:textId="77777777" w:rsidR="000A2A2B" w:rsidRPr="007C3060" w:rsidRDefault="000A2A2B" w:rsidP="007C3060">
            <w:r w:rsidRPr="007C3060">
              <w:t>Statsgjeld, renter mv.:</w:t>
            </w:r>
          </w:p>
        </w:tc>
        <w:tc>
          <w:tcPr>
            <w:tcW w:w="1717" w:type="dxa"/>
            <w:tcBorders>
              <w:top w:val="nil"/>
              <w:left w:val="nil"/>
              <w:bottom w:val="nil"/>
              <w:right w:val="nil"/>
            </w:tcBorders>
            <w:tcMar>
              <w:top w:w="128" w:type="dxa"/>
              <w:left w:w="43" w:type="dxa"/>
              <w:bottom w:w="43" w:type="dxa"/>
              <w:right w:w="43" w:type="dxa"/>
            </w:tcMar>
            <w:vAlign w:val="bottom"/>
          </w:tcPr>
          <w:p w14:paraId="443B917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C4989E2" w14:textId="77777777" w:rsidR="000A2A2B" w:rsidRPr="007C3060" w:rsidRDefault="000A2A2B" w:rsidP="007C3060"/>
        </w:tc>
      </w:tr>
      <w:tr w:rsidR="004B729E" w:rsidRPr="007C3060" w14:paraId="1C91D663"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DF6409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B1908C5" w14:textId="77777777" w:rsidR="000A2A2B" w:rsidRPr="007C3060" w:rsidRDefault="000A2A2B" w:rsidP="007C3060">
            <w:r w:rsidRPr="007C3060">
              <w:t>89</w:t>
            </w:r>
          </w:p>
        </w:tc>
        <w:tc>
          <w:tcPr>
            <w:tcW w:w="4819" w:type="dxa"/>
            <w:tcBorders>
              <w:top w:val="nil"/>
              <w:left w:val="nil"/>
              <w:bottom w:val="nil"/>
              <w:right w:val="nil"/>
            </w:tcBorders>
            <w:tcMar>
              <w:top w:w="128" w:type="dxa"/>
              <w:left w:w="43" w:type="dxa"/>
              <w:bottom w:w="43" w:type="dxa"/>
              <w:right w:w="43" w:type="dxa"/>
            </w:tcMar>
            <w:vAlign w:val="bottom"/>
          </w:tcPr>
          <w:p w14:paraId="7A724993" w14:textId="77777777" w:rsidR="000A2A2B" w:rsidRPr="007C3060" w:rsidRDefault="000A2A2B" w:rsidP="007C3060">
            <w:r w:rsidRPr="007C3060">
              <w:t xml:space="preserve">Renter og provisjon mv. på innenlandsk statsgjeld, </w:t>
            </w:r>
            <w:r w:rsidRPr="007C3060">
              <w:rPr>
                <w:rStyle w:val="kursiv"/>
              </w:rPr>
              <w:t xml:space="preserve">-overslagsbevilgning, </w:t>
            </w:r>
            <w:r w:rsidRPr="007C3060">
              <w:t>forhøyes med</w:t>
            </w:r>
          </w:p>
        </w:tc>
        <w:tc>
          <w:tcPr>
            <w:tcW w:w="1717" w:type="dxa"/>
            <w:tcBorders>
              <w:top w:val="nil"/>
              <w:left w:val="nil"/>
              <w:bottom w:val="nil"/>
              <w:right w:val="nil"/>
            </w:tcBorders>
            <w:tcMar>
              <w:top w:w="128" w:type="dxa"/>
              <w:left w:w="43" w:type="dxa"/>
              <w:bottom w:w="43" w:type="dxa"/>
              <w:right w:w="43" w:type="dxa"/>
            </w:tcMar>
            <w:vAlign w:val="bottom"/>
          </w:tcPr>
          <w:p w14:paraId="0D7D8EB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4D86470" w14:textId="77777777" w:rsidR="000A2A2B" w:rsidRPr="007C3060" w:rsidRDefault="000A2A2B" w:rsidP="007C3060">
            <w:r w:rsidRPr="007C3060">
              <w:t>574 000 000</w:t>
            </w:r>
          </w:p>
        </w:tc>
      </w:tr>
      <w:tr w:rsidR="004B729E" w:rsidRPr="007C3060" w14:paraId="74C488E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1DA423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D2A54C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C031D3F" w14:textId="77777777" w:rsidR="000A2A2B" w:rsidRPr="007C3060" w:rsidRDefault="000A2A2B" w:rsidP="007C3060">
            <w:r w:rsidRPr="007C3060">
              <w:t>fra kr 16 426 200 000 til kr 17 000 200 000</w:t>
            </w:r>
          </w:p>
        </w:tc>
        <w:tc>
          <w:tcPr>
            <w:tcW w:w="1717" w:type="dxa"/>
            <w:tcBorders>
              <w:top w:val="nil"/>
              <w:left w:val="nil"/>
              <w:bottom w:val="nil"/>
              <w:right w:val="nil"/>
            </w:tcBorders>
            <w:tcMar>
              <w:top w:w="128" w:type="dxa"/>
              <w:left w:w="43" w:type="dxa"/>
              <w:bottom w:w="43" w:type="dxa"/>
              <w:right w:w="43" w:type="dxa"/>
            </w:tcMar>
            <w:vAlign w:val="bottom"/>
          </w:tcPr>
          <w:p w14:paraId="4E85FA9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4EC3547" w14:textId="77777777" w:rsidR="000A2A2B" w:rsidRPr="007C3060" w:rsidRDefault="000A2A2B" w:rsidP="007C3060"/>
        </w:tc>
      </w:tr>
      <w:tr w:rsidR="004B729E" w:rsidRPr="007C3060" w14:paraId="5D99EEB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2C51B40" w14:textId="77777777" w:rsidR="000A2A2B" w:rsidRPr="007C3060" w:rsidRDefault="000A2A2B" w:rsidP="007C3060">
            <w:r w:rsidRPr="007C3060">
              <w:t>1651</w:t>
            </w:r>
          </w:p>
        </w:tc>
        <w:tc>
          <w:tcPr>
            <w:tcW w:w="992" w:type="dxa"/>
            <w:tcBorders>
              <w:top w:val="nil"/>
              <w:left w:val="nil"/>
              <w:bottom w:val="nil"/>
              <w:right w:val="nil"/>
            </w:tcBorders>
            <w:tcMar>
              <w:top w:w="128" w:type="dxa"/>
              <w:left w:w="43" w:type="dxa"/>
              <w:bottom w:w="43" w:type="dxa"/>
              <w:right w:w="123" w:type="dxa"/>
            </w:tcMar>
          </w:tcPr>
          <w:p w14:paraId="4EB3408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DBFC340" w14:textId="77777777" w:rsidR="000A2A2B" w:rsidRPr="007C3060" w:rsidRDefault="000A2A2B" w:rsidP="007C3060">
            <w:r w:rsidRPr="007C3060">
              <w:t>Statsgjeld, avdrag og innløsning:</w:t>
            </w:r>
          </w:p>
        </w:tc>
        <w:tc>
          <w:tcPr>
            <w:tcW w:w="1717" w:type="dxa"/>
            <w:tcBorders>
              <w:top w:val="nil"/>
              <w:left w:val="nil"/>
              <w:bottom w:val="nil"/>
              <w:right w:val="nil"/>
            </w:tcBorders>
            <w:tcMar>
              <w:top w:w="128" w:type="dxa"/>
              <w:left w:w="43" w:type="dxa"/>
              <w:bottom w:w="43" w:type="dxa"/>
              <w:right w:w="43" w:type="dxa"/>
            </w:tcMar>
            <w:vAlign w:val="bottom"/>
          </w:tcPr>
          <w:p w14:paraId="50B2554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47E5544" w14:textId="77777777" w:rsidR="000A2A2B" w:rsidRPr="007C3060" w:rsidRDefault="000A2A2B" w:rsidP="007C3060"/>
        </w:tc>
      </w:tr>
      <w:tr w:rsidR="004B729E" w:rsidRPr="007C3060" w14:paraId="3A9947CF"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7566BFB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1D67B6C" w14:textId="77777777" w:rsidR="000A2A2B" w:rsidRPr="007C3060" w:rsidRDefault="000A2A2B" w:rsidP="007C3060">
            <w:r w:rsidRPr="007C3060">
              <w:t>98</w:t>
            </w:r>
          </w:p>
        </w:tc>
        <w:tc>
          <w:tcPr>
            <w:tcW w:w="4819" w:type="dxa"/>
            <w:tcBorders>
              <w:top w:val="nil"/>
              <w:left w:val="nil"/>
              <w:bottom w:val="nil"/>
              <w:right w:val="nil"/>
            </w:tcBorders>
            <w:tcMar>
              <w:top w:w="128" w:type="dxa"/>
              <w:left w:w="43" w:type="dxa"/>
              <w:bottom w:w="43" w:type="dxa"/>
              <w:right w:w="43" w:type="dxa"/>
            </w:tcMar>
            <w:vAlign w:val="bottom"/>
          </w:tcPr>
          <w:p w14:paraId="1C4995E9" w14:textId="568FB3F1" w:rsidR="000A2A2B" w:rsidRPr="007C3060" w:rsidRDefault="000A2A2B" w:rsidP="007C3060">
            <w:r w:rsidRPr="007C3060">
              <w:t xml:space="preserve">Avdrag på innenlandsk statsgjeld, </w:t>
            </w:r>
            <w:r w:rsidRPr="007C3060">
              <w:rPr>
                <w:rStyle w:val="kursiv"/>
              </w:rPr>
              <w:t>overslagsbevilgning,</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4E08BD8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05C93A7" w14:textId="77777777" w:rsidR="000A2A2B" w:rsidRPr="007C3060" w:rsidRDefault="000A2A2B" w:rsidP="007C3060">
            <w:r w:rsidRPr="007C3060">
              <w:t>1 970 000 000</w:t>
            </w:r>
          </w:p>
        </w:tc>
      </w:tr>
      <w:tr w:rsidR="004B729E" w:rsidRPr="007C3060" w14:paraId="19C1A49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564976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F10538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06071F3" w14:textId="77777777" w:rsidR="000A2A2B" w:rsidRPr="007C3060" w:rsidRDefault="000A2A2B" w:rsidP="007C3060">
            <w:r w:rsidRPr="007C3060">
              <w:t>fra kr 63 817 000 000 til kr 61 847 000 000</w:t>
            </w:r>
          </w:p>
        </w:tc>
        <w:tc>
          <w:tcPr>
            <w:tcW w:w="1717" w:type="dxa"/>
            <w:tcBorders>
              <w:top w:val="nil"/>
              <w:left w:val="nil"/>
              <w:bottom w:val="nil"/>
              <w:right w:val="nil"/>
            </w:tcBorders>
            <w:tcMar>
              <w:top w:w="128" w:type="dxa"/>
              <w:left w:w="43" w:type="dxa"/>
              <w:bottom w:w="43" w:type="dxa"/>
              <w:right w:w="43" w:type="dxa"/>
            </w:tcMar>
            <w:vAlign w:val="bottom"/>
          </w:tcPr>
          <w:p w14:paraId="1F005B4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BBBABFB" w14:textId="77777777" w:rsidR="000A2A2B" w:rsidRPr="007C3060" w:rsidRDefault="000A2A2B" w:rsidP="007C3060"/>
        </w:tc>
      </w:tr>
      <w:tr w:rsidR="004B729E" w:rsidRPr="007C3060" w14:paraId="40E32F7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4D2DCD7" w14:textId="77777777" w:rsidR="000A2A2B" w:rsidRPr="007C3060" w:rsidRDefault="000A2A2B" w:rsidP="007C3060">
            <w:r w:rsidRPr="007C3060">
              <w:t>1700</w:t>
            </w:r>
          </w:p>
        </w:tc>
        <w:tc>
          <w:tcPr>
            <w:tcW w:w="992" w:type="dxa"/>
            <w:tcBorders>
              <w:top w:val="nil"/>
              <w:left w:val="nil"/>
              <w:bottom w:val="nil"/>
              <w:right w:val="nil"/>
            </w:tcBorders>
            <w:tcMar>
              <w:top w:w="128" w:type="dxa"/>
              <w:left w:w="43" w:type="dxa"/>
              <w:bottom w:w="43" w:type="dxa"/>
              <w:right w:w="123" w:type="dxa"/>
            </w:tcMar>
          </w:tcPr>
          <w:p w14:paraId="186EE43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1370AF1" w14:textId="77777777" w:rsidR="000A2A2B" w:rsidRPr="007C3060" w:rsidRDefault="000A2A2B" w:rsidP="007C3060">
            <w:r w:rsidRPr="007C3060">
              <w:t>Forsvarsdepartementet:</w:t>
            </w:r>
          </w:p>
        </w:tc>
        <w:tc>
          <w:tcPr>
            <w:tcW w:w="1717" w:type="dxa"/>
            <w:tcBorders>
              <w:top w:val="nil"/>
              <w:left w:val="nil"/>
              <w:bottom w:val="nil"/>
              <w:right w:val="nil"/>
            </w:tcBorders>
            <w:tcMar>
              <w:top w:w="128" w:type="dxa"/>
              <w:left w:w="43" w:type="dxa"/>
              <w:bottom w:w="43" w:type="dxa"/>
              <w:right w:w="43" w:type="dxa"/>
            </w:tcMar>
            <w:vAlign w:val="bottom"/>
          </w:tcPr>
          <w:p w14:paraId="67ABB96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1F3CBEE" w14:textId="77777777" w:rsidR="000A2A2B" w:rsidRPr="007C3060" w:rsidRDefault="000A2A2B" w:rsidP="007C3060"/>
        </w:tc>
      </w:tr>
      <w:tr w:rsidR="004B729E" w:rsidRPr="007C3060" w14:paraId="133941E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69FF4E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183A04F"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51A9AE5F"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75934AC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EA88D16" w14:textId="77777777" w:rsidR="000A2A2B" w:rsidRPr="007C3060" w:rsidRDefault="000A2A2B" w:rsidP="007C3060">
            <w:r w:rsidRPr="007C3060">
              <w:t>60 251 000</w:t>
            </w:r>
          </w:p>
        </w:tc>
      </w:tr>
      <w:tr w:rsidR="004B729E" w:rsidRPr="007C3060" w14:paraId="7166733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6A254F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CA2995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4E08F7E" w14:textId="77777777" w:rsidR="000A2A2B" w:rsidRPr="007C3060" w:rsidRDefault="000A2A2B" w:rsidP="007C3060">
            <w:r w:rsidRPr="007C3060">
              <w:t>fra kr 903 556 000 til kr 963 807 000</w:t>
            </w:r>
          </w:p>
        </w:tc>
        <w:tc>
          <w:tcPr>
            <w:tcW w:w="1717" w:type="dxa"/>
            <w:tcBorders>
              <w:top w:val="nil"/>
              <w:left w:val="nil"/>
              <w:bottom w:val="nil"/>
              <w:right w:val="nil"/>
            </w:tcBorders>
            <w:tcMar>
              <w:top w:w="128" w:type="dxa"/>
              <w:left w:w="43" w:type="dxa"/>
              <w:bottom w:w="43" w:type="dxa"/>
              <w:right w:w="43" w:type="dxa"/>
            </w:tcMar>
            <w:vAlign w:val="bottom"/>
          </w:tcPr>
          <w:p w14:paraId="25EDB15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AB80A0E" w14:textId="77777777" w:rsidR="000A2A2B" w:rsidRPr="007C3060" w:rsidRDefault="000A2A2B" w:rsidP="007C3060"/>
        </w:tc>
      </w:tr>
      <w:tr w:rsidR="004B729E" w:rsidRPr="007C3060" w14:paraId="2E539D8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25E93F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15F5129" w14:textId="77777777" w:rsidR="000A2A2B" w:rsidRPr="007C3060" w:rsidRDefault="000A2A2B" w:rsidP="007C3060">
            <w:r w:rsidRPr="007C3060">
              <w:t>22</w:t>
            </w:r>
          </w:p>
        </w:tc>
        <w:tc>
          <w:tcPr>
            <w:tcW w:w="4819" w:type="dxa"/>
            <w:tcBorders>
              <w:top w:val="nil"/>
              <w:left w:val="nil"/>
              <w:bottom w:val="nil"/>
              <w:right w:val="nil"/>
            </w:tcBorders>
            <w:tcMar>
              <w:top w:w="128" w:type="dxa"/>
              <w:left w:w="43" w:type="dxa"/>
              <w:bottom w:w="43" w:type="dxa"/>
              <w:right w:w="43" w:type="dxa"/>
            </w:tcMar>
            <w:vAlign w:val="bottom"/>
          </w:tcPr>
          <w:p w14:paraId="40B950FD" w14:textId="77777777" w:rsidR="000A2A2B" w:rsidRPr="007C3060" w:rsidRDefault="000A2A2B" w:rsidP="007C3060">
            <w:r w:rsidRPr="007C3060">
              <w:t xml:space="preserve">IKT-virksomhet,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2064C22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4788358" w14:textId="77777777" w:rsidR="000A2A2B" w:rsidRPr="007C3060" w:rsidRDefault="000A2A2B" w:rsidP="007C3060">
            <w:r w:rsidRPr="007C3060">
              <w:t>360 000 000</w:t>
            </w:r>
          </w:p>
        </w:tc>
      </w:tr>
      <w:tr w:rsidR="004B729E" w:rsidRPr="007C3060" w14:paraId="7C9FE5A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8CE7C8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48D6F3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0F04EB9" w14:textId="77777777" w:rsidR="000A2A2B" w:rsidRPr="007C3060" w:rsidRDefault="000A2A2B" w:rsidP="007C3060">
            <w:r w:rsidRPr="007C3060">
              <w:t>fra kr 472 879 000 til kr 112 879 000</w:t>
            </w:r>
          </w:p>
        </w:tc>
        <w:tc>
          <w:tcPr>
            <w:tcW w:w="1717" w:type="dxa"/>
            <w:tcBorders>
              <w:top w:val="nil"/>
              <w:left w:val="nil"/>
              <w:bottom w:val="nil"/>
              <w:right w:val="nil"/>
            </w:tcBorders>
            <w:tcMar>
              <w:top w:w="128" w:type="dxa"/>
              <w:left w:w="43" w:type="dxa"/>
              <w:bottom w:w="43" w:type="dxa"/>
              <w:right w:w="43" w:type="dxa"/>
            </w:tcMar>
            <w:vAlign w:val="bottom"/>
          </w:tcPr>
          <w:p w14:paraId="5E08DC7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4FE58C3" w14:textId="77777777" w:rsidR="000A2A2B" w:rsidRPr="007C3060" w:rsidRDefault="000A2A2B" w:rsidP="007C3060"/>
        </w:tc>
      </w:tr>
      <w:tr w:rsidR="004B729E" w:rsidRPr="007C3060" w14:paraId="127CA6F0"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D3A86C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9510F80" w14:textId="77777777" w:rsidR="000A2A2B" w:rsidRPr="007C3060" w:rsidRDefault="000A2A2B" w:rsidP="007C3060">
            <w:r w:rsidRPr="007C3060">
              <w:t>43</w:t>
            </w:r>
          </w:p>
        </w:tc>
        <w:tc>
          <w:tcPr>
            <w:tcW w:w="4819" w:type="dxa"/>
            <w:tcBorders>
              <w:top w:val="nil"/>
              <w:left w:val="nil"/>
              <w:bottom w:val="nil"/>
              <w:right w:val="nil"/>
            </w:tcBorders>
            <w:tcMar>
              <w:top w:w="128" w:type="dxa"/>
              <w:left w:w="43" w:type="dxa"/>
              <w:bottom w:w="43" w:type="dxa"/>
              <w:right w:w="43" w:type="dxa"/>
            </w:tcMar>
            <w:vAlign w:val="bottom"/>
          </w:tcPr>
          <w:p w14:paraId="65CC9CD4" w14:textId="61F6F83E" w:rsidR="000A2A2B" w:rsidRPr="007C3060" w:rsidRDefault="000A2A2B" w:rsidP="007C3060">
            <w:r w:rsidRPr="007C3060">
              <w:t xml:space="preserve">Til disposisjon for Forsvarsdepartementet,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5A9707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04C8450" w14:textId="77777777" w:rsidR="000A2A2B" w:rsidRPr="007C3060" w:rsidRDefault="000A2A2B" w:rsidP="007C3060">
            <w:r w:rsidRPr="007C3060">
              <w:t>1 500 000</w:t>
            </w:r>
          </w:p>
        </w:tc>
      </w:tr>
      <w:tr w:rsidR="004B729E" w:rsidRPr="007C3060" w14:paraId="6DC5A3B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31D0FA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CEEEA1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4977802" w14:textId="77777777" w:rsidR="000A2A2B" w:rsidRPr="007C3060" w:rsidRDefault="000A2A2B" w:rsidP="007C3060">
            <w:r w:rsidRPr="007C3060">
              <w:t>fra kr 6 620 000 til kr 5 120 000</w:t>
            </w:r>
          </w:p>
        </w:tc>
        <w:tc>
          <w:tcPr>
            <w:tcW w:w="1717" w:type="dxa"/>
            <w:tcBorders>
              <w:top w:val="nil"/>
              <w:left w:val="nil"/>
              <w:bottom w:val="nil"/>
              <w:right w:val="nil"/>
            </w:tcBorders>
            <w:tcMar>
              <w:top w:w="128" w:type="dxa"/>
              <w:left w:w="43" w:type="dxa"/>
              <w:bottom w:w="43" w:type="dxa"/>
              <w:right w:w="43" w:type="dxa"/>
            </w:tcMar>
            <w:vAlign w:val="bottom"/>
          </w:tcPr>
          <w:p w14:paraId="11E39DA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424AB1F" w14:textId="77777777" w:rsidR="000A2A2B" w:rsidRPr="007C3060" w:rsidRDefault="000A2A2B" w:rsidP="007C3060"/>
        </w:tc>
      </w:tr>
      <w:tr w:rsidR="004B729E" w:rsidRPr="007C3060" w14:paraId="65CBBBB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226B36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1BDE72A"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5D5A012F" w14:textId="77777777" w:rsidR="000A2A2B" w:rsidRPr="007C3060" w:rsidRDefault="000A2A2B" w:rsidP="007C3060">
            <w:r w:rsidRPr="007C3060">
              <w:t xml:space="preserve">Overføringer til andre,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60EC5A7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6585542" w14:textId="77777777" w:rsidR="000A2A2B" w:rsidRPr="007C3060" w:rsidRDefault="000A2A2B" w:rsidP="007C3060">
            <w:r w:rsidRPr="007C3060">
              <w:t>1 650 000</w:t>
            </w:r>
          </w:p>
        </w:tc>
      </w:tr>
      <w:tr w:rsidR="004B729E" w:rsidRPr="007C3060" w14:paraId="0E2AEA1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3EE17A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00F35C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28E8BF4" w14:textId="77777777" w:rsidR="000A2A2B" w:rsidRPr="007C3060" w:rsidRDefault="000A2A2B" w:rsidP="007C3060">
            <w:r w:rsidRPr="007C3060">
              <w:t>fra kr 94 995 000 til kr 96 645 000</w:t>
            </w:r>
          </w:p>
        </w:tc>
        <w:tc>
          <w:tcPr>
            <w:tcW w:w="1717" w:type="dxa"/>
            <w:tcBorders>
              <w:top w:val="nil"/>
              <w:left w:val="nil"/>
              <w:bottom w:val="nil"/>
              <w:right w:val="nil"/>
            </w:tcBorders>
            <w:tcMar>
              <w:top w:w="128" w:type="dxa"/>
              <w:left w:w="43" w:type="dxa"/>
              <w:bottom w:w="43" w:type="dxa"/>
              <w:right w:w="43" w:type="dxa"/>
            </w:tcMar>
            <w:vAlign w:val="bottom"/>
          </w:tcPr>
          <w:p w14:paraId="019BCAE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0C41A1F" w14:textId="77777777" w:rsidR="000A2A2B" w:rsidRPr="007C3060" w:rsidRDefault="000A2A2B" w:rsidP="007C3060"/>
        </w:tc>
      </w:tr>
      <w:tr w:rsidR="004B729E" w:rsidRPr="007C3060" w14:paraId="7FEB21F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F621BB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1CEF6C8"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4BDE1752" w14:textId="77777777" w:rsidR="000A2A2B" w:rsidRPr="007C3060" w:rsidRDefault="000A2A2B" w:rsidP="007C3060">
            <w:r w:rsidRPr="007C3060">
              <w:t xml:space="preserve">Forskning og utvikling,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2231754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E6C6853" w14:textId="77777777" w:rsidR="000A2A2B" w:rsidRPr="007C3060" w:rsidRDefault="000A2A2B" w:rsidP="007C3060">
            <w:r w:rsidRPr="007C3060">
              <w:t>3 796 000</w:t>
            </w:r>
          </w:p>
        </w:tc>
      </w:tr>
      <w:tr w:rsidR="004B729E" w:rsidRPr="007C3060" w14:paraId="49D67C4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A82536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4C64E1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6AEA0B1" w14:textId="77777777" w:rsidR="000A2A2B" w:rsidRPr="007C3060" w:rsidRDefault="000A2A2B" w:rsidP="007C3060">
            <w:r w:rsidRPr="007C3060">
              <w:t>fra kr 160 744 000 til kr 164 540 000</w:t>
            </w:r>
          </w:p>
        </w:tc>
        <w:tc>
          <w:tcPr>
            <w:tcW w:w="1717" w:type="dxa"/>
            <w:tcBorders>
              <w:top w:val="nil"/>
              <w:left w:val="nil"/>
              <w:bottom w:val="nil"/>
              <w:right w:val="nil"/>
            </w:tcBorders>
            <w:tcMar>
              <w:top w:w="128" w:type="dxa"/>
              <w:left w:w="43" w:type="dxa"/>
              <w:bottom w:w="43" w:type="dxa"/>
              <w:right w:w="43" w:type="dxa"/>
            </w:tcMar>
            <w:vAlign w:val="bottom"/>
          </w:tcPr>
          <w:p w14:paraId="2457AC8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2816A43" w14:textId="77777777" w:rsidR="000A2A2B" w:rsidRPr="007C3060" w:rsidRDefault="000A2A2B" w:rsidP="007C3060"/>
        </w:tc>
      </w:tr>
      <w:tr w:rsidR="004B729E" w:rsidRPr="007C3060" w14:paraId="279D901F"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46ABE3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E10C2BC" w14:textId="77777777" w:rsidR="000A2A2B" w:rsidRPr="007C3060" w:rsidRDefault="000A2A2B" w:rsidP="007C3060">
            <w:r w:rsidRPr="007C3060">
              <w:t>78</w:t>
            </w:r>
          </w:p>
        </w:tc>
        <w:tc>
          <w:tcPr>
            <w:tcW w:w="4819" w:type="dxa"/>
            <w:tcBorders>
              <w:top w:val="nil"/>
              <w:left w:val="nil"/>
              <w:bottom w:val="nil"/>
              <w:right w:val="nil"/>
            </w:tcBorders>
            <w:tcMar>
              <w:top w:w="128" w:type="dxa"/>
              <w:left w:w="43" w:type="dxa"/>
              <w:bottom w:w="43" w:type="dxa"/>
              <w:right w:w="43" w:type="dxa"/>
            </w:tcMar>
            <w:vAlign w:val="bottom"/>
          </w:tcPr>
          <w:p w14:paraId="740B9650" w14:textId="77777777" w:rsidR="000A2A2B" w:rsidRPr="007C3060" w:rsidRDefault="000A2A2B" w:rsidP="007C3060">
            <w:r w:rsidRPr="007C3060">
              <w:t>Norges tilskudd til NATOs og internasjonale -driftsbudsjetter,</w:t>
            </w:r>
            <w:r w:rsidRPr="007C3060">
              <w:rPr>
                <w:rStyle w:val="kursiv"/>
              </w:rPr>
              <w:t xml:space="preserve"> 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B926A1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AFD6F24" w14:textId="77777777" w:rsidR="000A2A2B" w:rsidRPr="007C3060" w:rsidRDefault="000A2A2B" w:rsidP="007C3060">
            <w:r w:rsidRPr="007C3060">
              <w:t>118 600 000</w:t>
            </w:r>
          </w:p>
        </w:tc>
      </w:tr>
      <w:tr w:rsidR="004B729E" w:rsidRPr="007C3060" w14:paraId="19EA34A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2AEB92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401B00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FCA2853" w14:textId="77777777" w:rsidR="000A2A2B" w:rsidRPr="007C3060" w:rsidRDefault="000A2A2B" w:rsidP="007C3060">
            <w:r w:rsidRPr="007C3060">
              <w:t>fra kr 1 943 649 000 til kr 1 825 049 000</w:t>
            </w:r>
          </w:p>
        </w:tc>
        <w:tc>
          <w:tcPr>
            <w:tcW w:w="1717" w:type="dxa"/>
            <w:tcBorders>
              <w:top w:val="nil"/>
              <w:left w:val="nil"/>
              <w:bottom w:val="nil"/>
              <w:right w:val="nil"/>
            </w:tcBorders>
            <w:tcMar>
              <w:top w:w="128" w:type="dxa"/>
              <w:left w:w="43" w:type="dxa"/>
              <w:bottom w:w="43" w:type="dxa"/>
              <w:right w:w="43" w:type="dxa"/>
            </w:tcMar>
            <w:vAlign w:val="bottom"/>
          </w:tcPr>
          <w:p w14:paraId="7979CBB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08859CF" w14:textId="77777777" w:rsidR="000A2A2B" w:rsidRPr="007C3060" w:rsidRDefault="000A2A2B" w:rsidP="007C3060"/>
        </w:tc>
      </w:tr>
      <w:tr w:rsidR="004B729E" w:rsidRPr="007C3060" w14:paraId="57D23E75" w14:textId="77777777" w:rsidTr="00414C2B">
        <w:trPr>
          <w:trHeight w:val="880"/>
          <w:jc w:val="right"/>
        </w:trPr>
        <w:tc>
          <w:tcPr>
            <w:tcW w:w="969" w:type="dxa"/>
            <w:tcBorders>
              <w:top w:val="nil"/>
              <w:left w:val="nil"/>
              <w:bottom w:val="nil"/>
              <w:right w:val="nil"/>
            </w:tcBorders>
            <w:tcMar>
              <w:top w:w="128" w:type="dxa"/>
              <w:left w:w="43" w:type="dxa"/>
              <w:bottom w:w="43" w:type="dxa"/>
              <w:right w:w="123" w:type="dxa"/>
            </w:tcMar>
          </w:tcPr>
          <w:p w14:paraId="48F2344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ECC19DB" w14:textId="77777777" w:rsidR="000A2A2B" w:rsidRPr="007C3060" w:rsidRDefault="000A2A2B" w:rsidP="007C3060">
            <w:r w:rsidRPr="007C3060">
              <w:t>79</w:t>
            </w:r>
          </w:p>
        </w:tc>
        <w:tc>
          <w:tcPr>
            <w:tcW w:w="4819" w:type="dxa"/>
            <w:tcBorders>
              <w:top w:val="nil"/>
              <w:left w:val="nil"/>
              <w:bottom w:val="nil"/>
              <w:right w:val="nil"/>
            </w:tcBorders>
            <w:tcMar>
              <w:top w:w="128" w:type="dxa"/>
              <w:left w:w="43" w:type="dxa"/>
              <w:bottom w:w="43" w:type="dxa"/>
              <w:right w:w="43" w:type="dxa"/>
            </w:tcMar>
            <w:vAlign w:val="bottom"/>
          </w:tcPr>
          <w:p w14:paraId="4708916B" w14:textId="5A9E5E9A" w:rsidR="000A2A2B" w:rsidRPr="007C3060" w:rsidRDefault="000A2A2B" w:rsidP="007C3060">
            <w:r w:rsidRPr="007C3060">
              <w:t xml:space="preserve">Militær støtte til Ukraina, kan overføres, kan nyttes under kap. 1710, post 1 </w:t>
            </w:r>
            <w:r w:rsidRPr="007C3060">
              <w:rPr>
                <w:rStyle w:val="kursiv"/>
              </w:rPr>
              <w:t>og 47, kap. 1720, post 1 og kap. 1760, post 1 og 45</w:t>
            </w:r>
            <w:r w:rsidRPr="007C3060">
              <w:t xml:space="preserve">, nedsettes med </w:t>
            </w:r>
          </w:p>
        </w:tc>
        <w:tc>
          <w:tcPr>
            <w:tcW w:w="1717" w:type="dxa"/>
            <w:tcBorders>
              <w:top w:val="nil"/>
              <w:left w:val="nil"/>
              <w:bottom w:val="nil"/>
              <w:right w:val="nil"/>
            </w:tcBorders>
            <w:tcMar>
              <w:top w:w="128" w:type="dxa"/>
              <w:left w:w="43" w:type="dxa"/>
              <w:bottom w:w="43" w:type="dxa"/>
              <w:right w:w="43" w:type="dxa"/>
            </w:tcMar>
            <w:vAlign w:val="bottom"/>
          </w:tcPr>
          <w:p w14:paraId="2EBF8BD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5639185" w14:textId="77777777" w:rsidR="000A2A2B" w:rsidRPr="007C3060" w:rsidRDefault="000A2A2B" w:rsidP="007C3060">
            <w:r w:rsidRPr="007C3060">
              <w:t>7 623 200 000</w:t>
            </w:r>
          </w:p>
        </w:tc>
      </w:tr>
      <w:tr w:rsidR="004B729E" w:rsidRPr="007C3060" w14:paraId="032D13E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7B2EF9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69F1D1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12C115E" w14:textId="77777777" w:rsidR="000A2A2B" w:rsidRPr="007C3060" w:rsidRDefault="000A2A2B" w:rsidP="007C3060">
            <w:r w:rsidRPr="007C3060">
              <w:t>fra kr 47 006 150 000 til kr 39 382 950 000</w:t>
            </w:r>
          </w:p>
        </w:tc>
        <w:tc>
          <w:tcPr>
            <w:tcW w:w="1717" w:type="dxa"/>
            <w:tcBorders>
              <w:top w:val="nil"/>
              <w:left w:val="nil"/>
              <w:bottom w:val="nil"/>
              <w:right w:val="nil"/>
            </w:tcBorders>
            <w:tcMar>
              <w:top w:w="128" w:type="dxa"/>
              <w:left w:w="43" w:type="dxa"/>
              <w:bottom w:w="43" w:type="dxa"/>
              <w:right w:w="43" w:type="dxa"/>
            </w:tcMar>
            <w:vAlign w:val="bottom"/>
          </w:tcPr>
          <w:p w14:paraId="12A2E8F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ED10157" w14:textId="77777777" w:rsidR="000A2A2B" w:rsidRPr="007C3060" w:rsidRDefault="000A2A2B" w:rsidP="007C3060"/>
        </w:tc>
      </w:tr>
      <w:tr w:rsidR="004B729E" w:rsidRPr="007C3060" w14:paraId="639577C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36143F8" w14:textId="77777777" w:rsidR="000A2A2B" w:rsidRPr="007C3060" w:rsidRDefault="000A2A2B" w:rsidP="007C3060">
            <w:r w:rsidRPr="007C3060">
              <w:t>1710</w:t>
            </w:r>
          </w:p>
        </w:tc>
        <w:tc>
          <w:tcPr>
            <w:tcW w:w="992" w:type="dxa"/>
            <w:tcBorders>
              <w:top w:val="nil"/>
              <w:left w:val="nil"/>
              <w:bottom w:val="nil"/>
              <w:right w:val="nil"/>
            </w:tcBorders>
            <w:tcMar>
              <w:top w:w="128" w:type="dxa"/>
              <w:left w:w="43" w:type="dxa"/>
              <w:bottom w:w="43" w:type="dxa"/>
              <w:right w:w="123" w:type="dxa"/>
            </w:tcMar>
          </w:tcPr>
          <w:p w14:paraId="7579686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DA66452" w14:textId="77777777" w:rsidR="000A2A2B" w:rsidRPr="007C3060" w:rsidRDefault="000A2A2B" w:rsidP="007C3060">
            <w:r w:rsidRPr="007C3060">
              <w:t>Forsvarsbygg og nybygg og nyanlegg:</w:t>
            </w:r>
          </w:p>
        </w:tc>
        <w:tc>
          <w:tcPr>
            <w:tcW w:w="1717" w:type="dxa"/>
            <w:tcBorders>
              <w:top w:val="nil"/>
              <w:left w:val="nil"/>
              <w:bottom w:val="nil"/>
              <w:right w:val="nil"/>
            </w:tcBorders>
            <w:tcMar>
              <w:top w:w="128" w:type="dxa"/>
              <w:left w:w="43" w:type="dxa"/>
              <w:bottom w:w="43" w:type="dxa"/>
              <w:right w:w="43" w:type="dxa"/>
            </w:tcMar>
            <w:vAlign w:val="bottom"/>
          </w:tcPr>
          <w:p w14:paraId="03638D3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D2D07EB" w14:textId="77777777" w:rsidR="000A2A2B" w:rsidRPr="007C3060" w:rsidRDefault="000A2A2B" w:rsidP="007C3060"/>
        </w:tc>
      </w:tr>
      <w:tr w:rsidR="004B729E" w:rsidRPr="007C3060" w14:paraId="7E50AEA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821942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B3D0A69"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2FC53630" w14:textId="77777777" w:rsidR="000A2A2B" w:rsidRPr="007C3060" w:rsidRDefault="000A2A2B" w:rsidP="007C3060">
            <w:r w:rsidRPr="007C3060">
              <w:t xml:space="preserve">Driftsutgifter, </w:t>
            </w:r>
            <w:r w:rsidRPr="007C3060">
              <w:rPr>
                <w:rStyle w:val="kursiv"/>
              </w:rPr>
              <w:t>kan overføres,</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3BBC935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C6CA05B" w14:textId="77777777" w:rsidR="000A2A2B" w:rsidRPr="007C3060" w:rsidRDefault="000A2A2B" w:rsidP="007C3060">
            <w:r w:rsidRPr="007C3060">
              <w:t>621 000 000</w:t>
            </w:r>
          </w:p>
        </w:tc>
      </w:tr>
      <w:tr w:rsidR="004B729E" w:rsidRPr="007C3060" w14:paraId="48D406A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849369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BBF93A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F8F1C17" w14:textId="77777777" w:rsidR="000A2A2B" w:rsidRPr="007C3060" w:rsidRDefault="000A2A2B" w:rsidP="007C3060">
            <w:r w:rsidRPr="007C3060">
              <w:t>fra kr 7 400 174 000 til kr 8 021 174 000</w:t>
            </w:r>
          </w:p>
        </w:tc>
        <w:tc>
          <w:tcPr>
            <w:tcW w:w="1717" w:type="dxa"/>
            <w:tcBorders>
              <w:top w:val="nil"/>
              <w:left w:val="nil"/>
              <w:bottom w:val="nil"/>
              <w:right w:val="nil"/>
            </w:tcBorders>
            <w:tcMar>
              <w:top w:w="128" w:type="dxa"/>
              <w:left w:w="43" w:type="dxa"/>
              <w:bottom w:w="43" w:type="dxa"/>
              <w:right w:w="43" w:type="dxa"/>
            </w:tcMar>
            <w:vAlign w:val="bottom"/>
          </w:tcPr>
          <w:p w14:paraId="60359CA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3C8C902" w14:textId="77777777" w:rsidR="000A2A2B" w:rsidRPr="007C3060" w:rsidRDefault="000A2A2B" w:rsidP="007C3060"/>
        </w:tc>
      </w:tr>
      <w:tr w:rsidR="004B729E" w:rsidRPr="007C3060" w14:paraId="53500D43"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090F0B1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129E2A0" w14:textId="77777777" w:rsidR="000A2A2B" w:rsidRPr="007C3060" w:rsidRDefault="000A2A2B" w:rsidP="007C3060">
            <w:r w:rsidRPr="007C3060">
              <w:t>47</w:t>
            </w:r>
          </w:p>
        </w:tc>
        <w:tc>
          <w:tcPr>
            <w:tcW w:w="4819" w:type="dxa"/>
            <w:tcBorders>
              <w:top w:val="nil"/>
              <w:left w:val="nil"/>
              <w:bottom w:val="nil"/>
              <w:right w:val="nil"/>
            </w:tcBorders>
            <w:tcMar>
              <w:top w:w="128" w:type="dxa"/>
              <w:left w:w="43" w:type="dxa"/>
              <w:bottom w:w="43" w:type="dxa"/>
              <w:right w:w="43" w:type="dxa"/>
            </w:tcMar>
            <w:vAlign w:val="bottom"/>
          </w:tcPr>
          <w:p w14:paraId="5EE7E977" w14:textId="115CC43E" w:rsidR="000A2A2B" w:rsidRPr="007C3060" w:rsidRDefault="000A2A2B" w:rsidP="007C3060">
            <w:r w:rsidRPr="007C3060">
              <w:t xml:space="preserve">Nybygg og nyanlegg, </w:t>
            </w:r>
            <w:r w:rsidRPr="007C3060">
              <w:rPr>
                <w:rStyle w:val="kursiv"/>
              </w:rPr>
              <w:t xml:space="preserve">kan overføres, kan nyttes under kap. 1760, post 45, </w:t>
            </w:r>
            <w:r w:rsidRPr="007C3060">
              <w:t>forhøyes med</w:t>
            </w:r>
          </w:p>
        </w:tc>
        <w:tc>
          <w:tcPr>
            <w:tcW w:w="1717" w:type="dxa"/>
            <w:tcBorders>
              <w:top w:val="nil"/>
              <w:left w:val="nil"/>
              <w:bottom w:val="nil"/>
              <w:right w:val="nil"/>
            </w:tcBorders>
            <w:tcMar>
              <w:top w:w="128" w:type="dxa"/>
              <w:left w:w="43" w:type="dxa"/>
              <w:bottom w:w="43" w:type="dxa"/>
              <w:right w:w="43" w:type="dxa"/>
            </w:tcMar>
            <w:vAlign w:val="bottom"/>
          </w:tcPr>
          <w:p w14:paraId="01F4762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A65ED5F" w14:textId="77777777" w:rsidR="000A2A2B" w:rsidRPr="007C3060" w:rsidRDefault="000A2A2B" w:rsidP="007C3060">
            <w:r w:rsidRPr="007C3060">
              <w:t>368 000 000</w:t>
            </w:r>
          </w:p>
        </w:tc>
      </w:tr>
      <w:tr w:rsidR="004B729E" w:rsidRPr="007C3060" w14:paraId="57A37E0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119933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D31709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CB8E889" w14:textId="77777777" w:rsidR="000A2A2B" w:rsidRPr="007C3060" w:rsidRDefault="000A2A2B" w:rsidP="007C3060">
            <w:r w:rsidRPr="007C3060">
              <w:t>fra kr 5 892 441 000 til kr 6 260 441 000</w:t>
            </w:r>
          </w:p>
        </w:tc>
        <w:tc>
          <w:tcPr>
            <w:tcW w:w="1717" w:type="dxa"/>
            <w:tcBorders>
              <w:top w:val="nil"/>
              <w:left w:val="nil"/>
              <w:bottom w:val="nil"/>
              <w:right w:val="nil"/>
            </w:tcBorders>
            <w:tcMar>
              <w:top w:w="128" w:type="dxa"/>
              <w:left w:w="43" w:type="dxa"/>
              <w:bottom w:w="43" w:type="dxa"/>
              <w:right w:w="43" w:type="dxa"/>
            </w:tcMar>
            <w:vAlign w:val="bottom"/>
          </w:tcPr>
          <w:p w14:paraId="1CBD928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FAB3F2D" w14:textId="77777777" w:rsidR="000A2A2B" w:rsidRPr="007C3060" w:rsidRDefault="000A2A2B" w:rsidP="007C3060"/>
        </w:tc>
      </w:tr>
      <w:tr w:rsidR="004B729E" w:rsidRPr="007C3060" w14:paraId="13E595C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626ED32" w14:textId="77777777" w:rsidR="000A2A2B" w:rsidRPr="007C3060" w:rsidRDefault="000A2A2B" w:rsidP="007C3060">
            <w:r w:rsidRPr="007C3060">
              <w:t>1720</w:t>
            </w:r>
          </w:p>
        </w:tc>
        <w:tc>
          <w:tcPr>
            <w:tcW w:w="992" w:type="dxa"/>
            <w:tcBorders>
              <w:top w:val="nil"/>
              <w:left w:val="nil"/>
              <w:bottom w:val="nil"/>
              <w:right w:val="nil"/>
            </w:tcBorders>
            <w:tcMar>
              <w:top w:w="128" w:type="dxa"/>
              <w:left w:w="43" w:type="dxa"/>
              <w:bottom w:w="43" w:type="dxa"/>
              <w:right w:w="123" w:type="dxa"/>
            </w:tcMar>
          </w:tcPr>
          <w:p w14:paraId="0E666D6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A800B3F" w14:textId="77777777" w:rsidR="000A2A2B" w:rsidRPr="007C3060" w:rsidRDefault="000A2A2B" w:rsidP="007C3060">
            <w:r w:rsidRPr="007C3060">
              <w:t>Forsvaret:</w:t>
            </w:r>
          </w:p>
        </w:tc>
        <w:tc>
          <w:tcPr>
            <w:tcW w:w="1717" w:type="dxa"/>
            <w:tcBorders>
              <w:top w:val="nil"/>
              <w:left w:val="nil"/>
              <w:bottom w:val="nil"/>
              <w:right w:val="nil"/>
            </w:tcBorders>
            <w:tcMar>
              <w:top w:w="128" w:type="dxa"/>
              <w:left w:w="43" w:type="dxa"/>
              <w:bottom w:w="43" w:type="dxa"/>
              <w:right w:w="43" w:type="dxa"/>
            </w:tcMar>
            <w:vAlign w:val="bottom"/>
          </w:tcPr>
          <w:p w14:paraId="6D3C28E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7FA2EE3" w14:textId="77777777" w:rsidR="000A2A2B" w:rsidRPr="007C3060" w:rsidRDefault="000A2A2B" w:rsidP="007C3060"/>
        </w:tc>
      </w:tr>
      <w:tr w:rsidR="004B729E" w:rsidRPr="007C3060" w14:paraId="77E2E6F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9B0C36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D45D9EE"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3BC6552E"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42BE97C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4D0C359" w14:textId="77777777" w:rsidR="000A2A2B" w:rsidRPr="007C3060" w:rsidRDefault="000A2A2B" w:rsidP="007C3060">
            <w:r w:rsidRPr="007C3060">
              <w:t>3 318 978 000</w:t>
            </w:r>
          </w:p>
        </w:tc>
      </w:tr>
      <w:tr w:rsidR="004B729E" w:rsidRPr="007C3060" w14:paraId="63D698F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6C2EC4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EEECD7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A4C0844" w14:textId="77777777" w:rsidR="000A2A2B" w:rsidRPr="007C3060" w:rsidRDefault="000A2A2B" w:rsidP="007C3060">
            <w:r w:rsidRPr="007C3060">
              <w:t>fra kr 46 539 225 000 til kr 49 858 203 000</w:t>
            </w:r>
          </w:p>
        </w:tc>
        <w:tc>
          <w:tcPr>
            <w:tcW w:w="1717" w:type="dxa"/>
            <w:tcBorders>
              <w:top w:val="nil"/>
              <w:left w:val="nil"/>
              <w:bottom w:val="nil"/>
              <w:right w:val="nil"/>
            </w:tcBorders>
            <w:tcMar>
              <w:top w:w="128" w:type="dxa"/>
              <w:left w:w="43" w:type="dxa"/>
              <w:bottom w:w="43" w:type="dxa"/>
              <w:right w:w="43" w:type="dxa"/>
            </w:tcMar>
            <w:vAlign w:val="bottom"/>
          </w:tcPr>
          <w:p w14:paraId="51E61CF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3F1870C" w14:textId="77777777" w:rsidR="000A2A2B" w:rsidRPr="007C3060" w:rsidRDefault="000A2A2B" w:rsidP="007C3060"/>
        </w:tc>
      </w:tr>
      <w:tr w:rsidR="004B729E" w:rsidRPr="007C3060" w14:paraId="4414545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AB84CF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B6DBA3B"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4B8E581A" w14:textId="77777777" w:rsidR="000A2A2B" w:rsidRPr="007C3060" w:rsidRDefault="000A2A2B" w:rsidP="007C3060">
            <w:r w:rsidRPr="007C3060">
              <w:t xml:space="preserve">Overføringer til andre,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2ED6C22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FE30A6F" w14:textId="77777777" w:rsidR="000A2A2B" w:rsidRPr="007C3060" w:rsidRDefault="000A2A2B" w:rsidP="007C3060">
            <w:r w:rsidRPr="007C3060">
              <w:t>2 251 000</w:t>
            </w:r>
          </w:p>
        </w:tc>
      </w:tr>
      <w:tr w:rsidR="004B729E" w:rsidRPr="007C3060" w14:paraId="7A854FD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AF4459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81E0C8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3D3F8CD" w14:textId="77777777" w:rsidR="000A2A2B" w:rsidRPr="007C3060" w:rsidRDefault="000A2A2B" w:rsidP="007C3060">
            <w:r w:rsidRPr="007C3060">
              <w:t>fra kr 49 500 000 til kr 47 249 000</w:t>
            </w:r>
          </w:p>
        </w:tc>
        <w:tc>
          <w:tcPr>
            <w:tcW w:w="1717" w:type="dxa"/>
            <w:tcBorders>
              <w:top w:val="nil"/>
              <w:left w:val="nil"/>
              <w:bottom w:val="nil"/>
              <w:right w:val="nil"/>
            </w:tcBorders>
            <w:tcMar>
              <w:top w:w="128" w:type="dxa"/>
              <w:left w:w="43" w:type="dxa"/>
              <w:bottom w:w="43" w:type="dxa"/>
              <w:right w:w="43" w:type="dxa"/>
            </w:tcMar>
            <w:vAlign w:val="bottom"/>
          </w:tcPr>
          <w:p w14:paraId="55FCB52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ABF5DFB" w14:textId="77777777" w:rsidR="000A2A2B" w:rsidRPr="007C3060" w:rsidRDefault="000A2A2B" w:rsidP="007C3060"/>
        </w:tc>
      </w:tr>
      <w:tr w:rsidR="004B729E" w:rsidRPr="007C3060" w14:paraId="6AB460C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7547C90" w14:textId="77777777" w:rsidR="000A2A2B" w:rsidRPr="007C3060" w:rsidRDefault="000A2A2B" w:rsidP="007C3060">
            <w:r w:rsidRPr="007C3060">
              <w:t>1735</w:t>
            </w:r>
          </w:p>
        </w:tc>
        <w:tc>
          <w:tcPr>
            <w:tcW w:w="992" w:type="dxa"/>
            <w:tcBorders>
              <w:top w:val="nil"/>
              <w:left w:val="nil"/>
              <w:bottom w:val="nil"/>
              <w:right w:val="nil"/>
            </w:tcBorders>
            <w:tcMar>
              <w:top w:w="128" w:type="dxa"/>
              <w:left w:w="43" w:type="dxa"/>
              <w:bottom w:w="43" w:type="dxa"/>
              <w:right w:w="123" w:type="dxa"/>
            </w:tcMar>
          </w:tcPr>
          <w:p w14:paraId="2F3B869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9A72660" w14:textId="77777777" w:rsidR="000A2A2B" w:rsidRPr="007C3060" w:rsidRDefault="000A2A2B" w:rsidP="007C3060">
            <w:r w:rsidRPr="007C3060">
              <w:t>Etterretningstjenesten:</w:t>
            </w:r>
          </w:p>
        </w:tc>
        <w:tc>
          <w:tcPr>
            <w:tcW w:w="1717" w:type="dxa"/>
            <w:tcBorders>
              <w:top w:val="nil"/>
              <w:left w:val="nil"/>
              <w:bottom w:val="nil"/>
              <w:right w:val="nil"/>
            </w:tcBorders>
            <w:tcMar>
              <w:top w:w="128" w:type="dxa"/>
              <w:left w:w="43" w:type="dxa"/>
              <w:bottom w:w="43" w:type="dxa"/>
              <w:right w:w="43" w:type="dxa"/>
            </w:tcMar>
            <w:vAlign w:val="bottom"/>
          </w:tcPr>
          <w:p w14:paraId="3C77EA5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F661805" w14:textId="77777777" w:rsidR="000A2A2B" w:rsidRPr="007C3060" w:rsidRDefault="000A2A2B" w:rsidP="007C3060"/>
        </w:tc>
      </w:tr>
      <w:tr w:rsidR="004B729E" w:rsidRPr="007C3060" w14:paraId="60FBF4A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4F2119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5993FB1"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132D5CD8" w14:textId="77777777" w:rsidR="000A2A2B" w:rsidRPr="007C3060" w:rsidRDefault="000A2A2B" w:rsidP="007C3060">
            <w:r w:rsidRPr="007C3060">
              <w:t>Spesielle 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4E4F818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B297860" w14:textId="77777777" w:rsidR="000A2A2B" w:rsidRPr="007C3060" w:rsidRDefault="000A2A2B" w:rsidP="007C3060">
            <w:r w:rsidRPr="007C3060">
              <w:t>27 640 000</w:t>
            </w:r>
          </w:p>
        </w:tc>
      </w:tr>
      <w:tr w:rsidR="004B729E" w:rsidRPr="007C3060" w14:paraId="68DA3FE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CE4CB0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04EE0F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D19D18D" w14:textId="77777777" w:rsidR="000A2A2B" w:rsidRPr="007C3060" w:rsidRDefault="000A2A2B" w:rsidP="007C3060">
            <w:r w:rsidRPr="007C3060">
              <w:t>fra kr 4 299 296 000 til kr 4 326 936 000</w:t>
            </w:r>
          </w:p>
        </w:tc>
        <w:tc>
          <w:tcPr>
            <w:tcW w:w="1717" w:type="dxa"/>
            <w:tcBorders>
              <w:top w:val="nil"/>
              <w:left w:val="nil"/>
              <w:bottom w:val="nil"/>
              <w:right w:val="nil"/>
            </w:tcBorders>
            <w:tcMar>
              <w:top w:w="128" w:type="dxa"/>
              <w:left w:w="43" w:type="dxa"/>
              <w:bottom w:w="43" w:type="dxa"/>
              <w:right w:w="43" w:type="dxa"/>
            </w:tcMar>
            <w:vAlign w:val="bottom"/>
          </w:tcPr>
          <w:p w14:paraId="4288FC4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C439C92" w14:textId="77777777" w:rsidR="000A2A2B" w:rsidRPr="007C3060" w:rsidRDefault="000A2A2B" w:rsidP="007C3060"/>
        </w:tc>
      </w:tr>
      <w:tr w:rsidR="004B729E" w:rsidRPr="007C3060" w14:paraId="197C93E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7D2DAAA" w14:textId="77777777" w:rsidR="000A2A2B" w:rsidRPr="007C3060" w:rsidRDefault="000A2A2B" w:rsidP="007C3060">
            <w:r w:rsidRPr="007C3060">
              <w:t>1740</w:t>
            </w:r>
          </w:p>
        </w:tc>
        <w:tc>
          <w:tcPr>
            <w:tcW w:w="992" w:type="dxa"/>
            <w:tcBorders>
              <w:top w:val="nil"/>
              <w:left w:val="nil"/>
              <w:bottom w:val="nil"/>
              <w:right w:val="nil"/>
            </w:tcBorders>
            <w:tcMar>
              <w:top w:w="128" w:type="dxa"/>
              <w:left w:w="43" w:type="dxa"/>
              <w:bottom w:w="43" w:type="dxa"/>
              <w:right w:w="123" w:type="dxa"/>
            </w:tcMar>
          </w:tcPr>
          <w:p w14:paraId="0F1B596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7411C8F" w14:textId="77777777" w:rsidR="000A2A2B" w:rsidRPr="007C3060" w:rsidRDefault="000A2A2B" w:rsidP="007C3060">
            <w:r w:rsidRPr="007C3060">
              <w:t>Statens graderte plattformtjenester:</w:t>
            </w:r>
          </w:p>
        </w:tc>
        <w:tc>
          <w:tcPr>
            <w:tcW w:w="1717" w:type="dxa"/>
            <w:tcBorders>
              <w:top w:val="nil"/>
              <w:left w:val="nil"/>
              <w:bottom w:val="nil"/>
              <w:right w:val="nil"/>
            </w:tcBorders>
            <w:tcMar>
              <w:top w:w="128" w:type="dxa"/>
              <w:left w:w="43" w:type="dxa"/>
              <w:bottom w:w="43" w:type="dxa"/>
              <w:right w:w="43" w:type="dxa"/>
            </w:tcMar>
            <w:vAlign w:val="bottom"/>
          </w:tcPr>
          <w:p w14:paraId="07F15B8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15087F5" w14:textId="77777777" w:rsidR="000A2A2B" w:rsidRPr="007C3060" w:rsidRDefault="000A2A2B" w:rsidP="007C3060"/>
        </w:tc>
      </w:tr>
      <w:tr w:rsidR="004B729E" w:rsidRPr="007C3060" w14:paraId="083E2FF8"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B42CCD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CB9890F"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64CBD153" w14:textId="2EE13094" w:rsidR="000A2A2B" w:rsidRPr="007C3060" w:rsidRDefault="000A2A2B" w:rsidP="007C3060">
            <w:r w:rsidRPr="007C3060">
              <w:t xml:space="preserve">Driftsutgifter, </w:t>
            </w:r>
            <w:r w:rsidRPr="007C3060">
              <w:rPr>
                <w:rStyle w:val="kursiv"/>
              </w:rPr>
              <w:t xml:space="preserve">kan overføres, kan nyttes under kap. 1740, post 45,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7A2A44E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2A327E4" w14:textId="77777777" w:rsidR="000A2A2B" w:rsidRPr="007C3060" w:rsidRDefault="000A2A2B" w:rsidP="007C3060">
            <w:r w:rsidRPr="007C3060">
              <w:t>104 230 000</w:t>
            </w:r>
          </w:p>
        </w:tc>
      </w:tr>
      <w:tr w:rsidR="004B729E" w:rsidRPr="007C3060" w14:paraId="74CD806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4C3044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887E0B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FC402C0" w14:textId="77777777" w:rsidR="000A2A2B" w:rsidRPr="007C3060" w:rsidRDefault="000A2A2B" w:rsidP="007C3060">
            <w:r w:rsidRPr="007C3060">
              <w:t>fra kr 608 387 000 til kr 504 157 000</w:t>
            </w:r>
          </w:p>
        </w:tc>
        <w:tc>
          <w:tcPr>
            <w:tcW w:w="1717" w:type="dxa"/>
            <w:tcBorders>
              <w:top w:val="nil"/>
              <w:left w:val="nil"/>
              <w:bottom w:val="nil"/>
              <w:right w:val="nil"/>
            </w:tcBorders>
            <w:tcMar>
              <w:top w:w="128" w:type="dxa"/>
              <w:left w:w="43" w:type="dxa"/>
              <w:bottom w:w="43" w:type="dxa"/>
              <w:right w:w="43" w:type="dxa"/>
            </w:tcMar>
            <w:vAlign w:val="bottom"/>
          </w:tcPr>
          <w:p w14:paraId="4DAA63C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CC2B604" w14:textId="77777777" w:rsidR="000A2A2B" w:rsidRPr="007C3060" w:rsidRDefault="000A2A2B" w:rsidP="007C3060"/>
        </w:tc>
      </w:tr>
      <w:tr w:rsidR="004B729E" w:rsidRPr="007C3060" w14:paraId="334E1D30"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0AC4F905"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4191EE70" w14:textId="77777777" w:rsidR="000A2A2B" w:rsidRPr="007C3060" w:rsidRDefault="000A2A2B" w:rsidP="007C3060">
            <w:r w:rsidRPr="007C3060">
              <w:t>45</w:t>
            </w:r>
          </w:p>
        </w:tc>
        <w:tc>
          <w:tcPr>
            <w:tcW w:w="4819" w:type="dxa"/>
            <w:tcBorders>
              <w:top w:val="nil"/>
              <w:left w:val="nil"/>
              <w:bottom w:val="nil"/>
              <w:right w:val="nil"/>
            </w:tcBorders>
            <w:tcMar>
              <w:top w:w="128" w:type="dxa"/>
              <w:left w:w="43" w:type="dxa"/>
              <w:bottom w:w="43" w:type="dxa"/>
              <w:right w:w="43" w:type="dxa"/>
            </w:tcMar>
            <w:vAlign w:val="bottom"/>
          </w:tcPr>
          <w:p w14:paraId="16750C51" w14:textId="77777777" w:rsidR="000A2A2B" w:rsidRPr="007C3060" w:rsidRDefault="000A2A2B" w:rsidP="007C3060">
            <w:r w:rsidRPr="007C3060">
              <w:t xml:space="preserve">Større utstyrsanskaffelser og vedlikehold, </w:t>
            </w:r>
            <w:r w:rsidRPr="007C3060">
              <w:rPr>
                <w:rStyle w:val="kursiv"/>
              </w:rPr>
              <w:t>kan overføres,</w:t>
            </w:r>
            <w:r w:rsidRPr="007C3060">
              <w:t xml:space="preserve"> bevilges med</w:t>
            </w:r>
          </w:p>
        </w:tc>
        <w:tc>
          <w:tcPr>
            <w:tcW w:w="1717" w:type="dxa"/>
            <w:tcBorders>
              <w:top w:val="nil"/>
              <w:left w:val="nil"/>
              <w:bottom w:val="nil"/>
              <w:right w:val="nil"/>
            </w:tcBorders>
            <w:tcMar>
              <w:top w:w="128" w:type="dxa"/>
              <w:left w:w="43" w:type="dxa"/>
              <w:bottom w:w="43" w:type="dxa"/>
              <w:right w:w="43" w:type="dxa"/>
            </w:tcMar>
            <w:vAlign w:val="bottom"/>
          </w:tcPr>
          <w:p w14:paraId="236639C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3C40DB2" w14:textId="77777777" w:rsidR="000A2A2B" w:rsidRPr="007C3060" w:rsidRDefault="000A2A2B" w:rsidP="007C3060">
            <w:r w:rsidRPr="007C3060">
              <w:t>120 000 000</w:t>
            </w:r>
          </w:p>
        </w:tc>
      </w:tr>
      <w:tr w:rsidR="004B729E" w:rsidRPr="007C3060" w14:paraId="3584F8D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6C284C4" w14:textId="77777777" w:rsidR="000A2A2B" w:rsidRPr="007C3060" w:rsidRDefault="000A2A2B" w:rsidP="007C3060">
            <w:r w:rsidRPr="007C3060">
              <w:t>1760</w:t>
            </w:r>
          </w:p>
        </w:tc>
        <w:tc>
          <w:tcPr>
            <w:tcW w:w="992" w:type="dxa"/>
            <w:tcBorders>
              <w:top w:val="nil"/>
              <w:left w:val="nil"/>
              <w:bottom w:val="nil"/>
              <w:right w:val="nil"/>
            </w:tcBorders>
            <w:tcMar>
              <w:top w:w="128" w:type="dxa"/>
              <w:left w:w="43" w:type="dxa"/>
              <w:bottom w:w="43" w:type="dxa"/>
              <w:right w:w="123" w:type="dxa"/>
            </w:tcMar>
          </w:tcPr>
          <w:p w14:paraId="7F6C343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51CC440" w14:textId="77777777" w:rsidR="000A2A2B" w:rsidRPr="007C3060" w:rsidRDefault="000A2A2B" w:rsidP="007C3060">
            <w:r w:rsidRPr="007C3060">
              <w:t>Forsvarsmateriell og større anskaffelser og vedlikehold:</w:t>
            </w:r>
          </w:p>
        </w:tc>
        <w:tc>
          <w:tcPr>
            <w:tcW w:w="1717" w:type="dxa"/>
            <w:tcBorders>
              <w:top w:val="nil"/>
              <w:left w:val="nil"/>
              <w:bottom w:val="nil"/>
              <w:right w:val="nil"/>
            </w:tcBorders>
            <w:tcMar>
              <w:top w:w="128" w:type="dxa"/>
              <w:left w:w="43" w:type="dxa"/>
              <w:bottom w:w="43" w:type="dxa"/>
              <w:right w:w="43" w:type="dxa"/>
            </w:tcMar>
            <w:vAlign w:val="bottom"/>
          </w:tcPr>
          <w:p w14:paraId="6BA1BF2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72F8819" w14:textId="77777777" w:rsidR="000A2A2B" w:rsidRPr="007C3060" w:rsidRDefault="000A2A2B" w:rsidP="007C3060"/>
        </w:tc>
      </w:tr>
      <w:tr w:rsidR="004B729E" w:rsidRPr="007C3060" w14:paraId="146ACE9D"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94ABD6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34FD5FA"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38D0CA50" w14:textId="10115E22" w:rsidR="000A2A2B" w:rsidRPr="007C3060" w:rsidRDefault="000A2A2B" w:rsidP="007C3060">
            <w:r w:rsidRPr="007C3060">
              <w:t xml:space="preserve">Driftsutgifter, </w:t>
            </w:r>
            <w:r w:rsidRPr="007C3060">
              <w:rPr>
                <w:rStyle w:val="kursiv"/>
              </w:rPr>
              <w:t>kan nyttes under kap. 1760, post 45,</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3CEE278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76EE599" w14:textId="77777777" w:rsidR="000A2A2B" w:rsidRPr="007C3060" w:rsidRDefault="000A2A2B" w:rsidP="007C3060">
            <w:r w:rsidRPr="007C3060">
              <w:t>157 957 000</w:t>
            </w:r>
          </w:p>
        </w:tc>
      </w:tr>
      <w:tr w:rsidR="004B729E" w:rsidRPr="007C3060" w14:paraId="498DE84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085211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E5286A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F05A490" w14:textId="77777777" w:rsidR="000A2A2B" w:rsidRPr="007C3060" w:rsidRDefault="000A2A2B" w:rsidP="007C3060">
            <w:r w:rsidRPr="007C3060">
              <w:t>fra kr 2 549 575 000 til kr 2 707 532 000</w:t>
            </w:r>
          </w:p>
        </w:tc>
        <w:tc>
          <w:tcPr>
            <w:tcW w:w="1717" w:type="dxa"/>
            <w:tcBorders>
              <w:top w:val="nil"/>
              <w:left w:val="nil"/>
              <w:bottom w:val="nil"/>
              <w:right w:val="nil"/>
            </w:tcBorders>
            <w:tcMar>
              <w:top w:w="128" w:type="dxa"/>
              <w:left w:w="43" w:type="dxa"/>
              <w:bottom w:w="43" w:type="dxa"/>
              <w:right w:w="43" w:type="dxa"/>
            </w:tcMar>
            <w:vAlign w:val="bottom"/>
          </w:tcPr>
          <w:p w14:paraId="4687231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95B2B03" w14:textId="77777777" w:rsidR="000A2A2B" w:rsidRPr="007C3060" w:rsidRDefault="000A2A2B" w:rsidP="007C3060"/>
        </w:tc>
      </w:tr>
      <w:tr w:rsidR="004B729E" w:rsidRPr="007C3060" w14:paraId="445414CF"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6414017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E893C19" w14:textId="77777777" w:rsidR="000A2A2B" w:rsidRPr="007C3060" w:rsidRDefault="000A2A2B" w:rsidP="007C3060">
            <w:r w:rsidRPr="007C3060">
              <w:t>44</w:t>
            </w:r>
          </w:p>
        </w:tc>
        <w:tc>
          <w:tcPr>
            <w:tcW w:w="4819" w:type="dxa"/>
            <w:tcBorders>
              <w:top w:val="nil"/>
              <w:left w:val="nil"/>
              <w:bottom w:val="nil"/>
              <w:right w:val="nil"/>
            </w:tcBorders>
            <w:tcMar>
              <w:top w:w="128" w:type="dxa"/>
              <w:left w:w="43" w:type="dxa"/>
              <w:bottom w:w="43" w:type="dxa"/>
              <w:right w:w="43" w:type="dxa"/>
            </w:tcMar>
            <w:vAlign w:val="bottom"/>
          </w:tcPr>
          <w:p w14:paraId="21D36D51" w14:textId="77777777" w:rsidR="000A2A2B" w:rsidRPr="007C3060" w:rsidRDefault="000A2A2B" w:rsidP="007C3060">
            <w:r w:rsidRPr="007C3060">
              <w:t xml:space="preserve">Fellesfinansierte investeringer, nasjonalfinansiert andel, </w:t>
            </w:r>
            <w:r w:rsidRPr="007C3060">
              <w:rPr>
                <w:rStyle w:val="kursiv"/>
              </w:rPr>
              <w:t xml:space="preserve">kan overføres,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471574F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D3639CC" w14:textId="77777777" w:rsidR="000A2A2B" w:rsidRPr="007C3060" w:rsidRDefault="000A2A2B" w:rsidP="007C3060">
            <w:r w:rsidRPr="007C3060">
              <w:t>15 000 000</w:t>
            </w:r>
          </w:p>
        </w:tc>
      </w:tr>
      <w:tr w:rsidR="004B729E" w:rsidRPr="007C3060" w14:paraId="11ED16F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8AF30E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3F3D06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B8DF77F" w14:textId="77777777" w:rsidR="000A2A2B" w:rsidRPr="007C3060" w:rsidRDefault="000A2A2B" w:rsidP="007C3060">
            <w:r w:rsidRPr="007C3060">
              <w:t>fra kr 256 733 000 til kr 241 733 000</w:t>
            </w:r>
          </w:p>
        </w:tc>
        <w:tc>
          <w:tcPr>
            <w:tcW w:w="1717" w:type="dxa"/>
            <w:tcBorders>
              <w:top w:val="nil"/>
              <w:left w:val="nil"/>
              <w:bottom w:val="nil"/>
              <w:right w:val="nil"/>
            </w:tcBorders>
            <w:tcMar>
              <w:top w:w="128" w:type="dxa"/>
              <w:left w:w="43" w:type="dxa"/>
              <w:bottom w:w="43" w:type="dxa"/>
              <w:right w:w="43" w:type="dxa"/>
            </w:tcMar>
            <w:vAlign w:val="bottom"/>
          </w:tcPr>
          <w:p w14:paraId="705CB04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EE49321" w14:textId="77777777" w:rsidR="000A2A2B" w:rsidRPr="007C3060" w:rsidRDefault="000A2A2B" w:rsidP="007C3060"/>
        </w:tc>
      </w:tr>
      <w:tr w:rsidR="004B729E" w:rsidRPr="007C3060" w14:paraId="2346057E" w14:textId="77777777" w:rsidTr="00414C2B">
        <w:trPr>
          <w:trHeight w:val="880"/>
          <w:jc w:val="right"/>
        </w:trPr>
        <w:tc>
          <w:tcPr>
            <w:tcW w:w="969" w:type="dxa"/>
            <w:tcBorders>
              <w:top w:val="nil"/>
              <w:left w:val="nil"/>
              <w:bottom w:val="nil"/>
              <w:right w:val="nil"/>
            </w:tcBorders>
            <w:tcMar>
              <w:top w:w="128" w:type="dxa"/>
              <w:left w:w="43" w:type="dxa"/>
              <w:bottom w:w="43" w:type="dxa"/>
              <w:right w:w="123" w:type="dxa"/>
            </w:tcMar>
          </w:tcPr>
          <w:p w14:paraId="4F9670C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9721A00" w14:textId="77777777" w:rsidR="000A2A2B" w:rsidRPr="007C3060" w:rsidRDefault="000A2A2B" w:rsidP="007C3060">
            <w:r w:rsidRPr="007C3060">
              <w:t>45</w:t>
            </w:r>
          </w:p>
        </w:tc>
        <w:tc>
          <w:tcPr>
            <w:tcW w:w="4819" w:type="dxa"/>
            <w:tcBorders>
              <w:top w:val="nil"/>
              <w:left w:val="nil"/>
              <w:bottom w:val="nil"/>
              <w:right w:val="nil"/>
            </w:tcBorders>
            <w:tcMar>
              <w:top w:w="128" w:type="dxa"/>
              <w:left w:w="43" w:type="dxa"/>
              <w:bottom w:w="43" w:type="dxa"/>
              <w:right w:w="43" w:type="dxa"/>
            </w:tcMar>
            <w:vAlign w:val="bottom"/>
          </w:tcPr>
          <w:p w14:paraId="095C4E51" w14:textId="77777777" w:rsidR="000A2A2B" w:rsidRPr="007C3060" w:rsidRDefault="000A2A2B" w:rsidP="007C3060">
            <w:r w:rsidRPr="007C3060">
              <w:t xml:space="preserve">Større utstyrsanskaffelser og vedlikehold, kan overføres, kan nyttes under </w:t>
            </w:r>
            <w:r w:rsidRPr="007C3060">
              <w:rPr>
                <w:rStyle w:val="kursiv"/>
              </w:rPr>
              <w:t>kap. 1700, post 79 og kap. 1710, post 47</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3535248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2C67A13" w14:textId="77777777" w:rsidR="000A2A2B" w:rsidRPr="007C3060" w:rsidRDefault="000A2A2B" w:rsidP="007C3060">
            <w:r w:rsidRPr="007C3060">
              <w:t>525 575 000</w:t>
            </w:r>
          </w:p>
        </w:tc>
      </w:tr>
      <w:tr w:rsidR="004B729E" w:rsidRPr="007C3060" w14:paraId="2F09605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04D7D6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7D0AEF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BD4E557" w14:textId="77777777" w:rsidR="000A2A2B" w:rsidRPr="007C3060" w:rsidRDefault="000A2A2B" w:rsidP="007C3060">
            <w:r w:rsidRPr="007C3060">
              <w:t>fra kr 54 249 213 000 til kr 54 774 788 000</w:t>
            </w:r>
          </w:p>
        </w:tc>
        <w:tc>
          <w:tcPr>
            <w:tcW w:w="1717" w:type="dxa"/>
            <w:tcBorders>
              <w:top w:val="nil"/>
              <w:left w:val="nil"/>
              <w:bottom w:val="nil"/>
              <w:right w:val="nil"/>
            </w:tcBorders>
            <w:tcMar>
              <w:top w:w="128" w:type="dxa"/>
              <w:left w:w="43" w:type="dxa"/>
              <w:bottom w:w="43" w:type="dxa"/>
              <w:right w:w="43" w:type="dxa"/>
            </w:tcMar>
            <w:vAlign w:val="bottom"/>
          </w:tcPr>
          <w:p w14:paraId="216F098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BCC7DF8" w14:textId="77777777" w:rsidR="000A2A2B" w:rsidRPr="007C3060" w:rsidRDefault="000A2A2B" w:rsidP="007C3060"/>
        </w:tc>
      </w:tr>
      <w:tr w:rsidR="004B729E" w:rsidRPr="007C3060" w14:paraId="32D0A195"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5C1F43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CC309E5" w14:textId="77777777" w:rsidR="000A2A2B" w:rsidRPr="007C3060" w:rsidRDefault="000A2A2B" w:rsidP="007C3060">
            <w:r w:rsidRPr="007C3060">
              <w:t>48</w:t>
            </w:r>
          </w:p>
        </w:tc>
        <w:tc>
          <w:tcPr>
            <w:tcW w:w="4819" w:type="dxa"/>
            <w:tcBorders>
              <w:top w:val="nil"/>
              <w:left w:val="nil"/>
              <w:bottom w:val="nil"/>
              <w:right w:val="nil"/>
            </w:tcBorders>
            <w:tcMar>
              <w:top w:w="128" w:type="dxa"/>
              <w:left w:w="43" w:type="dxa"/>
              <w:bottom w:w="43" w:type="dxa"/>
              <w:right w:w="43" w:type="dxa"/>
            </w:tcMar>
            <w:vAlign w:val="bottom"/>
          </w:tcPr>
          <w:p w14:paraId="715F7233" w14:textId="0554F2F5" w:rsidR="000A2A2B" w:rsidRPr="007C3060" w:rsidRDefault="000A2A2B" w:rsidP="007C3060">
            <w:r w:rsidRPr="007C3060">
              <w:t xml:space="preserve">Fellesfinansierte investeringer, fellesfinansiert andel, </w:t>
            </w:r>
            <w:r w:rsidRPr="007C3060">
              <w:rPr>
                <w:rStyle w:val="kursiv"/>
              </w:rPr>
              <w:t xml:space="preserve">kan overføres,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75AD10D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B6B6A10" w14:textId="77777777" w:rsidR="000A2A2B" w:rsidRPr="007C3060" w:rsidRDefault="000A2A2B" w:rsidP="007C3060">
            <w:r w:rsidRPr="007C3060">
              <w:t>160 000 000</w:t>
            </w:r>
          </w:p>
        </w:tc>
      </w:tr>
      <w:tr w:rsidR="004B729E" w:rsidRPr="007C3060" w14:paraId="289F5F7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8D3ACB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B94DAC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89A6514" w14:textId="77777777" w:rsidR="000A2A2B" w:rsidRPr="007C3060" w:rsidRDefault="000A2A2B" w:rsidP="007C3060">
            <w:r w:rsidRPr="007C3060">
              <w:t>fra kr 650 000 000 til kr 490 000 000</w:t>
            </w:r>
          </w:p>
        </w:tc>
        <w:tc>
          <w:tcPr>
            <w:tcW w:w="1717" w:type="dxa"/>
            <w:tcBorders>
              <w:top w:val="nil"/>
              <w:left w:val="nil"/>
              <w:bottom w:val="nil"/>
              <w:right w:val="nil"/>
            </w:tcBorders>
            <w:tcMar>
              <w:top w:w="128" w:type="dxa"/>
              <w:left w:w="43" w:type="dxa"/>
              <w:bottom w:w="43" w:type="dxa"/>
              <w:right w:w="43" w:type="dxa"/>
            </w:tcMar>
            <w:vAlign w:val="bottom"/>
          </w:tcPr>
          <w:p w14:paraId="3624871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26004A8" w14:textId="77777777" w:rsidR="000A2A2B" w:rsidRPr="007C3060" w:rsidRDefault="000A2A2B" w:rsidP="007C3060"/>
        </w:tc>
      </w:tr>
      <w:tr w:rsidR="004B729E" w:rsidRPr="007C3060" w14:paraId="496B7F7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51D7E05" w14:textId="77777777" w:rsidR="000A2A2B" w:rsidRPr="007C3060" w:rsidRDefault="000A2A2B" w:rsidP="007C3060">
            <w:r w:rsidRPr="007C3060">
              <w:t>1791</w:t>
            </w:r>
          </w:p>
        </w:tc>
        <w:tc>
          <w:tcPr>
            <w:tcW w:w="992" w:type="dxa"/>
            <w:tcBorders>
              <w:top w:val="nil"/>
              <w:left w:val="nil"/>
              <w:bottom w:val="nil"/>
              <w:right w:val="nil"/>
            </w:tcBorders>
            <w:tcMar>
              <w:top w:w="128" w:type="dxa"/>
              <w:left w:w="43" w:type="dxa"/>
              <w:bottom w:w="43" w:type="dxa"/>
              <w:right w:w="123" w:type="dxa"/>
            </w:tcMar>
          </w:tcPr>
          <w:p w14:paraId="577844F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BFB2FBE" w14:textId="77777777" w:rsidR="000A2A2B" w:rsidRPr="007C3060" w:rsidRDefault="000A2A2B" w:rsidP="007C3060">
            <w:r w:rsidRPr="007C3060">
              <w:t>Redningshelikoptertjenesten:</w:t>
            </w:r>
          </w:p>
        </w:tc>
        <w:tc>
          <w:tcPr>
            <w:tcW w:w="1717" w:type="dxa"/>
            <w:tcBorders>
              <w:top w:val="nil"/>
              <w:left w:val="nil"/>
              <w:bottom w:val="nil"/>
              <w:right w:val="nil"/>
            </w:tcBorders>
            <w:tcMar>
              <w:top w:w="128" w:type="dxa"/>
              <w:left w:w="43" w:type="dxa"/>
              <w:bottom w:w="43" w:type="dxa"/>
              <w:right w:w="43" w:type="dxa"/>
            </w:tcMar>
            <w:vAlign w:val="bottom"/>
          </w:tcPr>
          <w:p w14:paraId="2E636EB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79AD1B3" w14:textId="77777777" w:rsidR="000A2A2B" w:rsidRPr="007C3060" w:rsidRDefault="000A2A2B" w:rsidP="007C3060"/>
        </w:tc>
      </w:tr>
      <w:tr w:rsidR="004B729E" w:rsidRPr="007C3060" w14:paraId="6027388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C06D8D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DB9A8AA"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06886591" w14:textId="77777777" w:rsidR="000A2A2B" w:rsidRPr="007C3060" w:rsidRDefault="000A2A2B" w:rsidP="007C3060">
            <w:r w:rsidRPr="007C3060">
              <w:t>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39AD1D0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1407076" w14:textId="77777777" w:rsidR="000A2A2B" w:rsidRPr="007C3060" w:rsidRDefault="000A2A2B" w:rsidP="007C3060">
            <w:r w:rsidRPr="007C3060">
              <w:t>42 799 000</w:t>
            </w:r>
          </w:p>
        </w:tc>
      </w:tr>
      <w:tr w:rsidR="004B729E" w:rsidRPr="007C3060" w14:paraId="299A219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BB189A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4FBE03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DD51EBC" w14:textId="77777777" w:rsidR="000A2A2B" w:rsidRPr="007C3060" w:rsidRDefault="000A2A2B" w:rsidP="007C3060">
            <w:r w:rsidRPr="007C3060">
              <w:t>fra kr 607 429 000 til kr 564 630 000</w:t>
            </w:r>
          </w:p>
        </w:tc>
        <w:tc>
          <w:tcPr>
            <w:tcW w:w="1717" w:type="dxa"/>
            <w:tcBorders>
              <w:top w:val="nil"/>
              <w:left w:val="nil"/>
              <w:bottom w:val="nil"/>
              <w:right w:val="nil"/>
            </w:tcBorders>
            <w:tcMar>
              <w:top w:w="128" w:type="dxa"/>
              <w:left w:w="43" w:type="dxa"/>
              <w:bottom w:w="43" w:type="dxa"/>
              <w:right w:w="43" w:type="dxa"/>
            </w:tcMar>
            <w:vAlign w:val="bottom"/>
          </w:tcPr>
          <w:p w14:paraId="4408BEB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E89DAC3" w14:textId="77777777" w:rsidR="000A2A2B" w:rsidRPr="007C3060" w:rsidRDefault="000A2A2B" w:rsidP="007C3060"/>
        </w:tc>
      </w:tr>
      <w:tr w:rsidR="004B729E" w:rsidRPr="007C3060" w14:paraId="6827D4F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9085569" w14:textId="77777777" w:rsidR="000A2A2B" w:rsidRPr="007C3060" w:rsidRDefault="000A2A2B" w:rsidP="007C3060">
            <w:r w:rsidRPr="007C3060">
              <w:t>1800</w:t>
            </w:r>
          </w:p>
        </w:tc>
        <w:tc>
          <w:tcPr>
            <w:tcW w:w="992" w:type="dxa"/>
            <w:tcBorders>
              <w:top w:val="nil"/>
              <w:left w:val="nil"/>
              <w:bottom w:val="nil"/>
              <w:right w:val="nil"/>
            </w:tcBorders>
            <w:tcMar>
              <w:top w:w="128" w:type="dxa"/>
              <w:left w:w="43" w:type="dxa"/>
              <w:bottom w:w="43" w:type="dxa"/>
              <w:right w:w="123" w:type="dxa"/>
            </w:tcMar>
          </w:tcPr>
          <w:p w14:paraId="6FC15AA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7BFE41A" w14:textId="77777777" w:rsidR="000A2A2B" w:rsidRPr="007C3060" w:rsidRDefault="000A2A2B" w:rsidP="007C3060">
            <w:r w:rsidRPr="007C3060">
              <w:t>Energidepartementet:</w:t>
            </w:r>
          </w:p>
        </w:tc>
        <w:tc>
          <w:tcPr>
            <w:tcW w:w="1717" w:type="dxa"/>
            <w:tcBorders>
              <w:top w:val="nil"/>
              <w:left w:val="nil"/>
              <w:bottom w:val="nil"/>
              <w:right w:val="nil"/>
            </w:tcBorders>
            <w:tcMar>
              <w:top w:w="128" w:type="dxa"/>
              <w:left w:w="43" w:type="dxa"/>
              <w:bottom w:w="43" w:type="dxa"/>
              <w:right w:w="43" w:type="dxa"/>
            </w:tcMar>
            <w:vAlign w:val="bottom"/>
          </w:tcPr>
          <w:p w14:paraId="479EAA1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CEF01E1" w14:textId="77777777" w:rsidR="000A2A2B" w:rsidRPr="007C3060" w:rsidRDefault="000A2A2B" w:rsidP="007C3060"/>
        </w:tc>
      </w:tr>
      <w:tr w:rsidR="004B729E" w:rsidRPr="007C3060" w14:paraId="3EBCDFE0"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B2161A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AACAC79" w14:textId="77777777" w:rsidR="000A2A2B" w:rsidRPr="007C3060" w:rsidRDefault="000A2A2B" w:rsidP="007C3060">
            <w:r w:rsidRPr="007C3060">
              <w:t>21</w:t>
            </w:r>
          </w:p>
        </w:tc>
        <w:tc>
          <w:tcPr>
            <w:tcW w:w="4819" w:type="dxa"/>
            <w:tcBorders>
              <w:top w:val="nil"/>
              <w:left w:val="nil"/>
              <w:bottom w:val="nil"/>
              <w:right w:val="nil"/>
            </w:tcBorders>
            <w:tcMar>
              <w:top w:w="128" w:type="dxa"/>
              <w:left w:w="43" w:type="dxa"/>
              <w:bottom w:w="43" w:type="dxa"/>
              <w:right w:w="43" w:type="dxa"/>
            </w:tcMar>
            <w:vAlign w:val="bottom"/>
          </w:tcPr>
          <w:p w14:paraId="3D615F25" w14:textId="26F941C0" w:rsidR="000A2A2B" w:rsidRPr="007C3060" w:rsidRDefault="000A2A2B" w:rsidP="007C3060">
            <w:r w:rsidRPr="007C3060">
              <w:t xml:space="preserve">Spesielle driftsutgifter, </w:t>
            </w:r>
            <w:r w:rsidRPr="007C3060">
              <w:rPr>
                <w:rStyle w:val="kursiv"/>
              </w:rPr>
              <w:t>kan overføres, kan nyttes under -postene 50</w:t>
            </w:r>
            <w:r w:rsidRPr="007C3060">
              <w:t>,</w:t>
            </w:r>
            <w:r w:rsidRPr="007C3060">
              <w:rPr>
                <w:rStyle w:val="kursiv"/>
              </w:rPr>
              <w:t xml:space="preserve"> 71 og 72,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5B8BE95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1832205" w14:textId="77777777" w:rsidR="000A2A2B" w:rsidRPr="007C3060" w:rsidRDefault="000A2A2B" w:rsidP="007C3060">
            <w:r w:rsidRPr="007C3060">
              <w:t>2 000 000</w:t>
            </w:r>
          </w:p>
        </w:tc>
      </w:tr>
      <w:tr w:rsidR="004B729E" w:rsidRPr="007C3060" w14:paraId="4CB6C4D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EE567D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1CDB0A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AFE886C" w14:textId="77777777" w:rsidR="000A2A2B" w:rsidRPr="007C3060" w:rsidRDefault="000A2A2B" w:rsidP="007C3060">
            <w:r w:rsidRPr="007C3060">
              <w:t>fra kr 39 300 000 til kr 37 300 000</w:t>
            </w:r>
          </w:p>
        </w:tc>
        <w:tc>
          <w:tcPr>
            <w:tcW w:w="1717" w:type="dxa"/>
            <w:tcBorders>
              <w:top w:val="nil"/>
              <w:left w:val="nil"/>
              <w:bottom w:val="nil"/>
              <w:right w:val="nil"/>
            </w:tcBorders>
            <w:tcMar>
              <w:top w:w="128" w:type="dxa"/>
              <w:left w:w="43" w:type="dxa"/>
              <w:bottom w:w="43" w:type="dxa"/>
              <w:right w:w="43" w:type="dxa"/>
            </w:tcMar>
            <w:vAlign w:val="bottom"/>
          </w:tcPr>
          <w:p w14:paraId="11C4996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E3D3212" w14:textId="77777777" w:rsidR="000A2A2B" w:rsidRPr="007C3060" w:rsidRDefault="000A2A2B" w:rsidP="007C3060"/>
        </w:tc>
      </w:tr>
      <w:tr w:rsidR="004B729E" w:rsidRPr="007C3060" w14:paraId="74E38587"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AAA3FF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06430EF"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6EB60AA0" w14:textId="435C24B0" w:rsidR="000A2A2B" w:rsidRPr="007C3060" w:rsidRDefault="000A2A2B" w:rsidP="007C3060">
            <w:r w:rsidRPr="007C3060">
              <w:t>Tilskudd til internasjonale organisasjoner mv., forhøyes med</w:t>
            </w:r>
          </w:p>
        </w:tc>
        <w:tc>
          <w:tcPr>
            <w:tcW w:w="1717" w:type="dxa"/>
            <w:tcBorders>
              <w:top w:val="nil"/>
              <w:left w:val="nil"/>
              <w:bottom w:val="nil"/>
              <w:right w:val="nil"/>
            </w:tcBorders>
            <w:tcMar>
              <w:top w:w="128" w:type="dxa"/>
              <w:left w:w="43" w:type="dxa"/>
              <w:bottom w:w="43" w:type="dxa"/>
              <w:right w:w="43" w:type="dxa"/>
            </w:tcMar>
            <w:vAlign w:val="bottom"/>
          </w:tcPr>
          <w:p w14:paraId="58C2991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C7879C0" w14:textId="77777777" w:rsidR="000A2A2B" w:rsidRPr="007C3060" w:rsidRDefault="000A2A2B" w:rsidP="007C3060">
            <w:r w:rsidRPr="007C3060">
              <w:t>4 000 000</w:t>
            </w:r>
          </w:p>
        </w:tc>
      </w:tr>
      <w:tr w:rsidR="004B729E" w:rsidRPr="007C3060" w14:paraId="6890335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786708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B978E7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04201AA" w14:textId="77777777" w:rsidR="000A2A2B" w:rsidRPr="007C3060" w:rsidRDefault="000A2A2B" w:rsidP="007C3060">
            <w:r w:rsidRPr="007C3060">
              <w:t>fra kr 10 500 000 til kr 14 500 000</w:t>
            </w:r>
          </w:p>
        </w:tc>
        <w:tc>
          <w:tcPr>
            <w:tcW w:w="1717" w:type="dxa"/>
            <w:tcBorders>
              <w:top w:val="nil"/>
              <w:left w:val="nil"/>
              <w:bottom w:val="nil"/>
              <w:right w:val="nil"/>
            </w:tcBorders>
            <w:tcMar>
              <w:top w:w="128" w:type="dxa"/>
              <w:left w:w="43" w:type="dxa"/>
              <w:bottom w:w="43" w:type="dxa"/>
              <w:right w:w="43" w:type="dxa"/>
            </w:tcMar>
            <w:vAlign w:val="bottom"/>
          </w:tcPr>
          <w:p w14:paraId="5F46AFB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5CF30CF" w14:textId="77777777" w:rsidR="000A2A2B" w:rsidRPr="007C3060" w:rsidRDefault="000A2A2B" w:rsidP="007C3060"/>
        </w:tc>
      </w:tr>
      <w:tr w:rsidR="004B729E" w:rsidRPr="007C3060" w14:paraId="49A9370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F0D7427" w14:textId="77777777" w:rsidR="000A2A2B" w:rsidRPr="007C3060" w:rsidRDefault="000A2A2B" w:rsidP="007C3060">
            <w:r w:rsidRPr="007C3060">
              <w:t>1820</w:t>
            </w:r>
          </w:p>
        </w:tc>
        <w:tc>
          <w:tcPr>
            <w:tcW w:w="992" w:type="dxa"/>
            <w:tcBorders>
              <w:top w:val="nil"/>
              <w:left w:val="nil"/>
              <w:bottom w:val="nil"/>
              <w:right w:val="nil"/>
            </w:tcBorders>
            <w:tcMar>
              <w:top w:w="128" w:type="dxa"/>
              <w:left w:w="43" w:type="dxa"/>
              <w:bottom w:w="43" w:type="dxa"/>
              <w:right w:w="123" w:type="dxa"/>
            </w:tcMar>
          </w:tcPr>
          <w:p w14:paraId="422DF22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7B0ABD8" w14:textId="77777777" w:rsidR="000A2A2B" w:rsidRPr="007C3060" w:rsidRDefault="000A2A2B" w:rsidP="007C3060">
            <w:r w:rsidRPr="007C3060">
              <w:t>Norges vassdrags- og energidirektorat:</w:t>
            </w:r>
          </w:p>
        </w:tc>
        <w:tc>
          <w:tcPr>
            <w:tcW w:w="1717" w:type="dxa"/>
            <w:tcBorders>
              <w:top w:val="nil"/>
              <w:left w:val="nil"/>
              <w:bottom w:val="nil"/>
              <w:right w:val="nil"/>
            </w:tcBorders>
            <w:tcMar>
              <w:top w:w="128" w:type="dxa"/>
              <w:left w:w="43" w:type="dxa"/>
              <w:bottom w:w="43" w:type="dxa"/>
              <w:right w:w="43" w:type="dxa"/>
            </w:tcMar>
            <w:vAlign w:val="bottom"/>
          </w:tcPr>
          <w:p w14:paraId="4FBD753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2462FEC" w14:textId="77777777" w:rsidR="000A2A2B" w:rsidRPr="007C3060" w:rsidRDefault="000A2A2B" w:rsidP="007C3060"/>
        </w:tc>
      </w:tr>
      <w:tr w:rsidR="004B729E" w:rsidRPr="007C3060" w14:paraId="5029D84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BB07CD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CB1ABD4"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0719C38E" w14:textId="77777777" w:rsidR="000A2A2B" w:rsidRPr="007C3060" w:rsidRDefault="000A2A2B" w:rsidP="007C3060">
            <w:r w:rsidRPr="007C3060">
              <w:t>Driftsutgifter, forhøyes med</w:t>
            </w:r>
          </w:p>
        </w:tc>
        <w:tc>
          <w:tcPr>
            <w:tcW w:w="1717" w:type="dxa"/>
            <w:tcBorders>
              <w:top w:val="nil"/>
              <w:left w:val="nil"/>
              <w:bottom w:val="nil"/>
              <w:right w:val="nil"/>
            </w:tcBorders>
            <w:tcMar>
              <w:top w:w="128" w:type="dxa"/>
              <w:left w:w="43" w:type="dxa"/>
              <w:bottom w:w="43" w:type="dxa"/>
              <w:right w:w="43" w:type="dxa"/>
            </w:tcMar>
            <w:vAlign w:val="bottom"/>
          </w:tcPr>
          <w:p w14:paraId="026FC26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481BC84" w14:textId="77777777" w:rsidR="000A2A2B" w:rsidRPr="007C3060" w:rsidRDefault="000A2A2B" w:rsidP="007C3060">
            <w:r w:rsidRPr="007C3060">
              <w:t>6 000 000</w:t>
            </w:r>
          </w:p>
        </w:tc>
      </w:tr>
      <w:tr w:rsidR="004B729E" w:rsidRPr="007C3060" w14:paraId="2788BB1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05B728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F45E1E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6F98AE1" w14:textId="77777777" w:rsidR="000A2A2B" w:rsidRPr="007C3060" w:rsidRDefault="000A2A2B" w:rsidP="007C3060">
            <w:r w:rsidRPr="007C3060">
              <w:t>fra kr 928 000 000 til kr 934 000 000</w:t>
            </w:r>
          </w:p>
        </w:tc>
        <w:tc>
          <w:tcPr>
            <w:tcW w:w="1717" w:type="dxa"/>
            <w:tcBorders>
              <w:top w:val="nil"/>
              <w:left w:val="nil"/>
              <w:bottom w:val="nil"/>
              <w:right w:val="nil"/>
            </w:tcBorders>
            <w:tcMar>
              <w:top w:w="128" w:type="dxa"/>
              <w:left w:w="43" w:type="dxa"/>
              <w:bottom w:w="43" w:type="dxa"/>
              <w:right w:w="43" w:type="dxa"/>
            </w:tcMar>
            <w:vAlign w:val="bottom"/>
          </w:tcPr>
          <w:p w14:paraId="1E51B9B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04EBBD5" w14:textId="77777777" w:rsidR="000A2A2B" w:rsidRPr="007C3060" w:rsidRDefault="000A2A2B" w:rsidP="007C3060"/>
        </w:tc>
      </w:tr>
      <w:tr w:rsidR="004B729E" w:rsidRPr="007C3060" w14:paraId="17272FE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37F0E1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C4D72C8" w14:textId="77777777" w:rsidR="000A2A2B" w:rsidRPr="007C3060" w:rsidRDefault="000A2A2B" w:rsidP="007C3060">
            <w:r w:rsidRPr="007C3060">
              <w:t>26</w:t>
            </w:r>
          </w:p>
        </w:tc>
        <w:tc>
          <w:tcPr>
            <w:tcW w:w="4819" w:type="dxa"/>
            <w:tcBorders>
              <w:top w:val="nil"/>
              <w:left w:val="nil"/>
              <w:bottom w:val="nil"/>
              <w:right w:val="nil"/>
            </w:tcBorders>
            <w:tcMar>
              <w:top w:w="128" w:type="dxa"/>
              <w:left w:w="43" w:type="dxa"/>
              <w:bottom w:w="43" w:type="dxa"/>
              <w:right w:w="43" w:type="dxa"/>
            </w:tcMar>
            <w:vAlign w:val="bottom"/>
          </w:tcPr>
          <w:p w14:paraId="42395359" w14:textId="77777777" w:rsidR="000A2A2B" w:rsidRPr="007C3060" w:rsidRDefault="000A2A2B" w:rsidP="007C3060">
            <w:r w:rsidRPr="007C3060">
              <w:t>Reguleringsmyndigheten for energi, forhøyes med</w:t>
            </w:r>
          </w:p>
        </w:tc>
        <w:tc>
          <w:tcPr>
            <w:tcW w:w="1717" w:type="dxa"/>
            <w:tcBorders>
              <w:top w:val="nil"/>
              <w:left w:val="nil"/>
              <w:bottom w:val="nil"/>
              <w:right w:val="nil"/>
            </w:tcBorders>
            <w:tcMar>
              <w:top w:w="128" w:type="dxa"/>
              <w:left w:w="43" w:type="dxa"/>
              <w:bottom w:w="43" w:type="dxa"/>
              <w:right w:w="43" w:type="dxa"/>
            </w:tcMar>
            <w:vAlign w:val="bottom"/>
          </w:tcPr>
          <w:p w14:paraId="2C3F5E5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613F83E" w14:textId="77777777" w:rsidR="000A2A2B" w:rsidRPr="007C3060" w:rsidRDefault="000A2A2B" w:rsidP="007C3060">
            <w:r w:rsidRPr="007C3060">
              <w:t>7 000 000</w:t>
            </w:r>
          </w:p>
        </w:tc>
      </w:tr>
      <w:tr w:rsidR="004B729E" w:rsidRPr="007C3060" w14:paraId="788FE3A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56662E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3EDF10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A450FC1" w14:textId="77777777" w:rsidR="000A2A2B" w:rsidRPr="007C3060" w:rsidRDefault="000A2A2B" w:rsidP="007C3060">
            <w:r w:rsidRPr="007C3060">
              <w:t>fra kr 83 500 000 til kr 90 500 000</w:t>
            </w:r>
          </w:p>
        </w:tc>
        <w:tc>
          <w:tcPr>
            <w:tcW w:w="1717" w:type="dxa"/>
            <w:tcBorders>
              <w:top w:val="nil"/>
              <w:left w:val="nil"/>
              <w:bottom w:val="nil"/>
              <w:right w:val="nil"/>
            </w:tcBorders>
            <w:tcMar>
              <w:top w:w="128" w:type="dxa"/>
              <w:left w:w="43" w:type="dxa"/>
              <w:bottom w:w="43" w:type="dxa"/>
              <w:right w:w="43" w:type="dxa"/>
            </w:tcMar>
            <w:vAlign w:val="bottom"/>
          </w:tcPr>
          <w:p w14:paraId="767A5A5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EE9C0A2" w14:textId="77777777" w:rsidR="000A2A2B" w:rsidRPr="007C3060" w:rsidRDefault="000A2A2B" w:rsidP="007C3060"/>
        </w:tc>
      </w:tr>
      <w:tr w:rsidR="004B729E" w:rsidRPr="007C3060" w14:paraId="68E47E7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31EB2C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BBE30A0" w14:textId="77777777" w:rsidR="000A2A2B" w:rsidRPr="007C3060" w:rsidRDefault="000A2A2B" w:rsidP="007C3060">
            <w:r w:rsidRPr="007C3060">
              <w:t>62</w:t>
            </w:r>
          </w:p>
        </w:tc>
        <w:tc>
          <w:tcPr>
            <w:tcW w:w="4819" w:type="dxa"/>
            <w:tcBorders>
              <w:top w:val="nil"/>
              <w:left w:val="nil"/>
              <w:bottom w:val="nil"/>
              <w:right w:val="nil"/>
            </w:tcBorders>
            <w:tcMar>
              <w:top w:w="128" w:type="dxa"/>
              <w:left w:w="43" w:type="dxa"/>
              <w:bottom w:w="43" w:type="dxa"/>
              <w:right w:w="43" w:type="dxa"/>
            </w:tcMar>
            <w:vAlign w:val="bottom"/>
          </w:tcPr>
          <w:p w14:paraId="1A5C2EE9" w14:textId="77777777" w:rsidR="000A2A2B" w:rsidRPr="007C3060" w:rsidRDefault="000A2A2B" w:rsidP="007C3060">
            <w:r w:rsidRPr="007C3060">
              <w:t>Fordeling av inntekt fra avgift på vindkraft, nedsettes med</w:t>
            </w:r>
          </w:p>
        </w:tc>
        <w:tc>
          <w:tcPr>
            <w:tcW w:w="1717" w:type="dxa"/>
            <w:tcBorders>
              <w:top w:val="nil"/>
              <w:left w:val="nil"/>
              <w:bottom w:val="nil"/>
              <w:right w:val="nil"/>
            </w:tcBorders>
            <w:tcMar>
              <w:top w:w="128" w:type="dxa"/>
              <w:left w:w="43" w:type="dxa"/>
              <w:bottom w:w="43" w:type="dxa"/>
              <w:right w:w="43" w:type="dxa"/>
            </w:tcMar>
            <w:vAlign w:val="bottom"/>
          </w:tcPr>
          <w:p w14:paraId="5D8070B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3720988" w14:textId="77777777" w:rsidR="000A2A2B" w:rsidRPr="007C3060" w:rsidRDefault="000A2A2B" w:rsidP="007C3060">
            <w:r w:rsidRPr="007C3060">
              <w:t>38 100 000</w:t>
            </w:r>
          </w:p>
        </w:tc>
      </w:tr>
      <w:tr w:rsidR="004B729E" w:rsidRPr="007C3060" w14:paraId="5D1FBAB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0D3C5A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752D3F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F9A6FF7" w14:textId="77777777" w:rsidR="000A2A2B" w:rsidRPr="007C3060" w:rsidRDefault="000A2A2B" w:rsidP="007C3060">
            <w:r w:rsidRPr="007C3060">
              <w:t>fra kr 371 000 000 til kr 332 900 000</w:t>
            </w:r>
          </w:p>
        </w:tc>
        <w:tc>
          <w:tcPr>
            <w:tcW w:w="1717" w:type="dxa"/>
            <w:tcBorders>
              <w:top w:val="nil"/>
              <w:left w:val="nil"/>
              <w:bottom w:val="nil"/>
              <w:right w:val="nil"/>
            </w:tcBorders>
            <w:tcMar>
              <w:top w:w="128" w:type="dxa"/>
              <w:left w:w="43" w:type="dxa"/>
              <w:bottom w:w="43" w:type="dxa"/>
              <w:right w:w="43" w:type="dxa"/>
            </w:tcMar>
            <w:vAlign w:val="bottom"/>
          </w:tcPr>
          <w:p w14:paraId="22C62A4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750AD93" w14:textId="77777777" w:rsidR="000A2A2B" w:rsidRPr="007C3060" w:rsidRDefault="000A2A2B" w:rsidP="007C3060"/>
        </w:tc>
      </w:tr>
      <w:tr w:rsidR="004B729E" w:rsidRPr="007C3060" w14:paraId="17F3F91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549ED6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02608E6"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6E303006" w14:textId="77777777" w:rsidR="000A2A2B" w:rsidRPr="007C3060" w:rsidRDefault="000A2A2B" w:rsidP="007C3060">
            <w:r w:rsidRPr="007C3060">
              <w:t xml:space="preserve">Strømstønadsordning, </w:t>
            </w:r>
            <w:r w:rsidRPr="007C3060">
              <w:rPr>
                <w:rStyle w:val="kursiv"/>
              </w:rPr>
              <w:t>overslagsbevilgning,</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49AF598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70A79EA" w14:textId="77777777" w:rsidR="000A2A2B" w:rsidRPr="007C3060" w:rsidRDefault="000A2A2B" w:rsidP="007C3060">
            <w:r w:rsidRPr="007C3060">
              <w:t>1 400 000 000</w:t>
            </w:r>
          </w:p>
        </w:tc>
      </w:tr>
      <w:tr w:rsidR="004B729E" w:rsidRPr="007C3060" w14:paraId="6692287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5A80DE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B2AE86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822B72B" w14:textId="77777777" w:rsidR="000A2A2B" w:rsidRPr="007C3060" w:rsidRDefault="000A2A2B" w:rsidP="007C3060">
            <w:r w:rsidRPr="007C3060">
              <w:t>fra kr 4 800 000 000 til kr 3 400 000 000</w:t>
            </w:r>
          </w:p>
        </w:tc>
        <w:tc>
          <w:tcPr>
            <w:tcW w:w="1717" w:type="dxa"/>
            <w:tcBorders>
              <w:top w:val="nil"/>
              <w:left w:val="nil"/>
              <w:bottom w:val="nil"/>
              <w:right w:val="nil"/>
            </w:tcBorders>
            <w:tcMar>
              <w:top w:w="128" w:type="dxa"/>
              <w:left w:w="43" w:type="dxa"/>
              <w:bottom w:w="43" w:type="dxa"/>
              <w:right w:w="43" w:type="dxa"/>
            </w:tcMar>
            <w:vAlign w:val="bottom"/>
          </w:tcPr>
          <w:p w14:paraId="46D9E13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FA1A05F" w14:textId="77777777" w:rsidR="000A2A2B" w:rsidRPr="007C3060" w:rsidRDefault="000A2A2B" w:rsidP="007C3060"/>
        </w:tc>
      </w:tr>
      <w:tr w:rsidR="004B729E" w:rsidRPr="007C3060" w14:paraId="6D4D045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028244C"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6F0525C3" w14:textId="77777777" w:rsidR="000A2A2B" w:rsidRPr="007C3060" w:rsidRDefault="000A2A2B" w:rsidP="007C3060">
            <w:r w:rsidRPr="007C3060">
              <w:t>77</w:t>
            </w:r>
          </w:p>
        </w:tc>
        <w:tc>
          <w:tcPr>
            <w:tcW w:w="4819" w:type="dxa"/>
            <w:tcBorders>
              <w:top w:val="nil"/>
              <w:left w:val="nil"/>
              <w:bottom w:val="nil"/>
              <w:right w:val="nil"/>
            </w:tcBorders>
            <w:tcMar>
              <w:top w:w="128" w:type="dxa"/>
              <w:left w:w="43" w:type="dxa"/>
              <w:bottom w:w="43" w:type="dxa"/>
              <w:right w:w="43" w:type="dxa"/>
            </w:tcMar>
            <w:vAlign w:val="bottom"/>
          </w:tcPr>
          <w:p w14:paraId="3386A5D9" w14:textId="77777777" w:rsidR="000A2A2B" w:rsidRPr="007C3060" w:rsidRDefault="000A2A2B" w:rsidP="007C3060">
            <w:r w:rsidRPr="007C3060">
              <w:t xml:space="preserve">Norgespris for strøm, </w:t>
            </w:r>
            <w:r w:rsidRPr="007C3060">
              <w:rPr>
                <w:rStyle w:val="kursiv"/>
              </w:rPr>
              <w:t>overslagsbevilgning,</w:t>
            </w:r>
            <w:r w:rsidRPr="007C3060">
              <w:t xml:space="preserve"> bevilges med</w:t>
            </w:r>
          </w:p>
        </w:tc>
        <w:tc>
          <w:tcPr>
            <w:tcW w:w="1717" w:type="dxa"/>
            <w:tcBorders>
              <w:top w:val="nil"/>
              <w:left w:val="nil"/>
              <w:bottom w:val="nil"/>
              <w:right w:val="nil"/>
            </w:tcBorders>
            <w:tcMar>
              <w:top w:w="128" w:type="dxa"/>
              <w:left w:w="43" w:type="dxa"/>
              <w:bottom w:w="43" w:type="dxa"/>
              <w:right w:w="43" w:type="dxa"/>
            </w:tcMar>
            <w:vAlign w:val="bottom"/>
          </w:tcPr>
          <w:p w14:paraId="4F9540F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BEAE481" w14:textId="77777777" w:rsidR="000A2A2B" w:rsidRPr="007C3060" w:rsidRDefault="000A2A2B" w:rsidP="007C3060">
            <w:r w:rsidRPr="007C3060">
              <w:t>1 200 000 000</w:t>
            </w:r>
          </w:p>
        </w:tc>
      </w:tr>
      <w:tr w:rsidR="004B729E" w:rsidRPr="007C3060" w14:paraId="55D70F39"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EACC238"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04A3A9CD" w14:textId="77777777" w:rsidR="000A2A2B" w:rsidRPr="007C3060" w:rsidRDefault="000A2A2B" w:rsidP="007C3060">
            <w:r w:rsidRPr="007C3060">
              <w:t>78</w:t>
            </w:r>
          </w:p>
        </w:tc>
        <w:tc>
          <w:tcPr>
            <w:tcW w:w="4819" w:type="dxa"/>
            <w:tcBorders>
              <w:top w:val="nil"/>
              <w:left w:val="nil"/>
              <w:bottom w:val="nil"/>
              <w:right w:val="nil"/>
            </w:tcBorders>
            <w:tcMar>
              <w:top w:w="128" w:type="dxa"/>
              <w:left w:w="43" w:type="dxa"/>
              <w:bottom w:w="43" w:type="dxa"/>
              <w:right w:w="43" w:type="dxa"/>
            </w:tcMar>
            <w:vAlign w:val="bottom"/>
          </w:tcPr>
          <w:p w14:paraId="15B5CD94" w14:textId="40F847C8" w:rsidR="000A2A2B" w:rsidRPr="007C3060" w:rsidRDefault="000A2A2B" w:rsidP="007C3060">
            <w:r w:rsidRPr="007C3060">
              <w:t xml:space="preserve">Norgespris for fjernvarme, </w:t>
            </w:r>
            <w:r w:rsidRPr="007C3060">
              <w:rPr>
                <w:rStyle w:val="kursiv"/>
              </w:rPr>
              <w:t>overslagsbevilgning,</w:t>
            </w:r>
            <w:r w:rsidRPr="007C3060">
              <w:t xml:space="preserve"> bevilges med</w:t>
            </w:r>
          </w:p>
        </w:tc>
        <w:tc>
          <w:tcPr>
            <w:tcW w:w="1717" w:type="dxa"/>
            <w:tcBorders>
              <w:top w:val="nil"/>
              <w:left w:val="nil"/>
              <w:bottom w:val="nil"/>
              <w:right w:val="nil"/>
            </w:tcBorders>
            <w:tcMar>
              <w:top w:w="128" w:type="dxa"/>
              <w:left w:w="43" w:type="dxa"/>
              <w:bottom w:w="43" w:type="dxa"/>
              <w:right w:w="43" w:type="dxa"/>
            </w:tcMar>
            <w:vAlign w:val="bottom"/>
          </w:tcPr>
          <w:p w14:paraId="7A9C71C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EC56596" w14:textId="77777777" w:rsidR="000A2A2B" w:rsidRPr="007C3060" w:rsidRDefault="000A2A2B" w:rsidP="007C3060">
            <w:r w:rsidRPr="007C3060">
              <w:t>65 000 000</w:t>
            </w:r>
          </w:p>
        </w:tc>
      </w:tr>
      <w:tr w:rsidR="004B729E" w:rsidRPr="007C3060" w14:paraId="3A03B21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66FCE7B" w14:textId="77777777" w:rsidR="000A2A2B" w:rsidRPr="007C3060" w:rsidRDefault="000A2A2B" w:rsidP="007C3060">
            <w:r w:rsidRPr="007C3060">
              <w:t>1850</w:t>
            </w:r>
          </w:p>
        </w:tc>
        <w:tc>
          <w:tcPr>
            <w:tcW w:w="992" w:type="dxa"/>
            <w:tcBorders>
              <w:top w:val="nil"/>
              <w:left w:val="nil"/>
              <w:bottom w:val="nil"/>
              <w:right w:val="nil"/>
            </w:tcBorders>
            <w:tcMar>
              <w:top w:w="128" w:type="dxa"/>
              <w:left w:w="43" w:type="dxa"/>
              <w:bottom w:w="43" w:type="dxa"/>
              <w:right w:w="123" w:type="dxa"/>
            </w:tcMar>
          </w:tcPr>
          <w:p w14:paraId="7A51172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3F31907" w14:textId="77777777" w:rsidR="000A2A2B" w:rsidRPr="007C3060" w:rsidRDefault="000A2A2B" w:rsidP="007C3060">
            <w:r w:rsidRPr="007C3060">
              <w:t>Klima, industri og teknologi:</w:t>
            </w:r>
          </w:p>
        </w:tc>
        <w:tc>
          <w:tcPr>
            <w:tcW w:w="1717" w:type="dxa"/>
            <w:tcBorders>
              <w:top w:val="nil"/>
              <w:left w:val="nil"/>
              <w:bottom w:val="nil"/>
              <w:right w:val="nil"/>
            </w:tcBorders>
            <w:tcMar>
              <w:top w:w="128" w:type="dxa"/>
              <w:left w:w="43" w:type="dxa"/>
              <w:bottom w:w="43" w:type="dxa"/>
              <w:right w:w="43" w:type="dxa"/>
            </w:tcMar>
            <w:vAlign w:val="bottom"/>
          </w:tcPr>
          <w:p w14:paraId="7013E8C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6D6D059" w14:textId="77777777" w:rsidR="000A2A2B" w:rsidRPr="007C3060" w:rsidRDefault="000A2A2B" w:rsidP="007C3060"/>
        </w:tc>
      </w:tr>
      <w:tr w:rsidR="004B729E" w:rsidRPr="007C3060" w14:paraId="65F64F6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AD3C1F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8C527F9"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6E9B7656" w14:textId="77777777" w:rsidR="000A2A2B" w:rsidRPr="007C3060" w:rsidRDefault="000A2A2B" w:rsidP="007C3060">
            <w:r w:rsidRPr="007C3060">
              <w:t xml:space="preserve">Norges forskningsråd,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5D17BD3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2C40B66" w14:textId="77777777" w:rsidR="000A2A2B" w:rsidRPr="007C3060" w:rsidRDefault="000A2A2B" w:rsidP="007C3060">
            <w:r w:rsidRPr="007C3060">
              <w:t>12 000 000</w:t>
            </w:r>
          </w:p>
        </w:tc>
      </w:tr>
      <w:tr w:rsidR="004B729E" w:rsidRPr="007C3060" w14:paraId="1B5F8B2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54FF18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6F10E0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8B4CBEE" w14:textId="77777777" w:rsidR="000A2A2B" w:rsidRPr="007C3060" w:rsidRDefault="000A2A2B" w:rsidP="007C3060">
            <w:r w:rsidRPr="007C3060">
              <w:t>fra kr 966 000 000 til kr 954 000 000</w:t>
            </w:r>
          </w:p>
        </w:tc>
        <w:tc>
          <w:tcPr>
            <w:tcW w:w="1717" w:type="dxa"/>
            <w:tcBorders>
              <w:top w:val="nil"/>
              <w:left w:val="nil"/>
              <w:bottom w:val="nil"/>
              <w:right w:val="nil"/>
            </w:tcBorders>
            <w:tcMar>
              <w:top w:w="128" w:type="dxa"/>
              <w:left w:w="43" w:type="dxa"/>
              <w:bottom w:w="43" w:type="dxa"/>
              <w:right w:w="43" w:type="dxa"/>
            </w:tcMar>
            <w:vAlign w:val="bottom"/>
          </w:tcPr>
          <w:p w14:paraId="4B00670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97DD4F4" w14:textId="77777777" w:rsidR="000A2A2B" w:rsidRPr="007C3060" w:rsidRDefault="000A2A2B" w:rsidP="007C3060"/>
        </w:tc>
      </w:tr>
      <w:tr w:rsidR="004B729E" w:rsidRPr="007C3060" w14:paraId="6FDB3D6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B6B24D3" w14:textId="77777777" w:rsidR="000A2A2B" w:rsidRPr="007C3060" w:rsidRDefault="000A2A2B" w:rsidP="007C3060">
            <w:r w:rsidRPr="007C3060">
              <w:t>2309</w:t>
            </w:r>
          </w:p>
        </w:tc>
        <w:tc>
          <w:tcPr>
            <w:tcW w:w="992" w:type="dxa"/>
            <w:tcBorders>
              <w:top w:val="nil"/>
              <w:left w:val="nil"/>
              <w:bottom w:val="nil"/>
              <w:right w:val="nil"/>
            </w:tcBorders>
            <w:tcMar>
              <w:top w:w="128" w:type="dxa"/>
              <w:left w:w="43" w:type="dxa"/>
              <w:bottom w:w="43" w:type="dxa"/>
              <w:right w:w="123" w:type="dxa"/>
            </w:tcMar>
          </w:tcPr>
          <w:p w14:paraId="1870869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FE779AA" w14:textId="77777777" w:rsidR="000A2A2B" w:rsidRPr="007C3060" w:rsidRDefault="000A2A2B" w:rsidP="007C3060">
            <w:r w:rsidRPr="007C3060">
              <w:t>Tilfeldige utgifter:</w:t>
            </w:r>
          </w:p>
        </w:tc>
        <w:tc>
          <w:tcPr>
            <w:tcW w:w="1717" w:type="dxa"/>
            <w:tcBorders>
              <w:top w:val="nil"/>
              <w:left w:val="nil"/>
              <w:bottom w:val="nil"/>
              <w:right w:val="nil"/>
            </w:tcBorders>
            <w:tcMar>
              <w:top w:w="128" w:type="dxa"/>
              <w:left w:w="43" w:type="dxa"/>
              <w:bottom w:w="43" w:type="dxa"/>
              <w:right w:w="43" w:type="dxa"/>
            </w:tcMar>
            <w:vAlign w:val="bottom"/>
          </w:tcPr>
          <w:p w14:paraId="5E33347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D6FAA0A" w14:textId="77777777" w:rsidR="000A2A2B" w:rsidRPr="007C3060" w:rsidRDefault="000A2A2B" w:rsidP="007C3060"/>
        </w:tc>
      </w:tr>
      <w:tr w:rsidR="004B729E" w:rsidRPr="007C3060" w14:paraId="7F4DB82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8CFE80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B05D46C" w14:textId="77777777" w:rsidR="000A2A2B" w:rsidRPr="007C3060" w:rsidRDefault="000A2A2B" w:rsidP="007C3060">
            <w:r w:rsidRPr="007C3060">
              <w:t>1</w:t>
            </w:r>
          </w:p>
        </w:tc>
        <w:tc>
          <w:tcPr>
            <w:tcW w:w="4819" w:type="dxa"/>
            <w:tcBorders>
              <w:top w:val="nil"/>
              <w:left w:val="nil"/>
              <w:bottom w:val="nil"/>
              <w:right w:val="nil"/>
            </w:tcBorders>
            <w:tcMar>
              <w:top w:w="128" w:type="dxa"/>
              <w:left w:w="43" w:type="dxa"/>
              <w:bottom w:w="43" w:type="dxa"/>
              <w:right w:w="43" w:type="dxa"/>
            </w:tcMar>
            <w:vAlign w:val="bottom"/>
          </w:tcPr>
          <w:p w14:paraId="59B318B0" w14:textId="77777777" w:rsidR="000A2A2B" w:rsidRPr="007C3060" w:rsidRDefault="000A2A2B" w:rsidP="007C3060">
            <w:r w:rsidRPr="007C3060">
              <w:t>Driftsutgifter, nedsettes med</w:t>
            </w:r>
          </w:p>
        </w:tc>
        <w:tc>
          <w:tcPr>
            <w:tcW w:w="1717" w:type="dxa"/>
            <w:tcBorders>
              <w:top w:val="nil"/>
              <w:left w:val="nil"/>
              <w:bottom w:val="nil"/>
              <w:right w:val="nil"/>
            </w:tcBorders>
            <w:tcMar>
              <w:top w:w="128" w:type="dxa"/>
              <w:left w:w="43" w:type="dxa"/>
              <w:bottom w:w="43" w:type="dxa"/>
              <w:right w:w="43" w:type="dxa"/>
            </w:tcMar>
            <w:vAlign w:val="bottom"/>
          </w:tcPr>
          <w:p w14:paraId="46C6EFA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8E5B496" w14:textId="77777777" w:rsidR="000A2A2B" w:rsidRPr="007C3060" w:rsidRDefault="000A2A2B" w:rsidP="007C3060">
            <w:r w:rsidRPr="007C3060">
              <w:t>200 000 000</w:t>
            </w:r>
          </w:p>
        </w:tc>
      </w:tr>
      <w:tr w:rsidR="004B729E" w:rsidRPr="007C3060" w14:paraId="26BE4BF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39FA6C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ECF34D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E2A9CDA" w14:textId="77777777" w:rsidR="000A2A2B" w:rsidRPr="007C3060" w:rsidRDefault="000A2A2B" w:rsidP="007C3060">
            <w:r w:rsidRPr="007C3060">
              <w:t>fra kr 7 100 000 000 til kr 6 900 000 000</w:t>
            </w:r>
          </w:p>
        </w:tc>
        <w:tc>
          <w:tcPr>
            <w:tcW w:w="1717" w:type="dxa"/>
            <w:tcBorders>
              <w:top w:val="nil"/>
              <w:left w:val="nil"/>
              <w:bottom w:val="nil"/>
              <w:right w:val="nil"/>
            </w:tcBorders>
            <w:tcMar>
              <w:top w:w="128" w:type="dxa"/>
              <w:left w:w="43" w:type="dxa"/>
              <w:bottom w:w="43" w:type="dxa"/>
              <w:right w:w="43" w:type="dxa"/>
            </w:tcMar>
            <w:vAlign w:val="bottom"/>
          </w:tcPr>
          <w:p w14:paraId="73D0508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9AD41B4" w14:textId="77777777" w:rsidR="000A2A2B" w:rsidRPr="007C3060" w:rsidRDefault="000A2A2B" w:rsidP="007C3060"/>
        </w:tc>
      </w:tr>
      <w:tr w:rsidR="004B729E" w:rsidRPr="007C3060" w14:paraId="5253F37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D7517B2" w14:textId="77777777" w:rsidR="000A2A2B" w:rsidRPr="007C3060" w:rsidRDefault="000A2A2B" w:rsidP="007C3060">
            <w:r w:rsidRPr="007C3060">
              <w:t>2410</w:t>
            </w:r>
          </w:p>
        </w:tc>
        <w:tc>
          <w:tcPr>
            <w:tcW w:w="992" w:type="dxa"/>
            <w:tcBorders>
              <w:top w:val="nil"/>
              <w:left w:val="nil"/>
              <w:bottom w:val="nil"/>
              <w:right w:val="nil"/>
            </w:tcBorders>
            <w:tcMar>
              <w:top w:w="128" w:type="dxa"/>
              <w:left w:w="43" w:type="dxa"/>
              <w:bottom w:w="43" w:type="dxa"/>
              <w:right w:w="123" w:type="dxa"/>
            </w:tcMar>
          </w:tcPr>
          <w:p w14:paraId="401B071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7ECE2B0" w14:textId="77777777" w:rsidR="000A2A2B" w:rsidRPr="007C3060" w:rsidRDefault="000A2A2B" w:rsidP="007C3060">
            <w:r w:rsidRPr="007C3060">
              <w:t>Statens lånekasse for utdanning:</w:t>
            </w:r>
          </w:p>
        </w:tc>
        <w:tc>
          <w:tcPr>
            <w:tcW w:w="1717" w:type="dxa"/>
            <w:tcBorders>
              <w:top w:val="nil"/>
              <w:left w:val="nil"/>
              <w:bottom w:val="nil"/>
              <w:right w:val="nil"/>
            </w:tcBorders>
            <w:tcMar>
              <w:top w:w="128" w:type="dxa"/>
              <w:left w:w="43" w:type="dxa"/>
              <w:bottom w:w="43" w:type="dxa"/>
              <w:right w:w="43" w:type="dxa"/>
            </w:tcMar>
            <w:vAlign w:val="bottom"/>
          </w:tcPr>
          <w:p w14:paraId="05C15D2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61F1ACC" w14:textId="77777777" w:rsidR="000A2A2B" w:rsidRPr="007C3060" w:rsidRDefault="000A2A2B" w:rsidP="007C3060"/>
        </w:tc>
      </w:tr>
      <w:tr w:rsidR="004B729E" w:rsidRPr="007C3060" w14:paraId="63EF270D"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79AF7FD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CC7EE49" w14:textId="77777777" w:rsidR="000A2A2B" w:rsidRPr="007C3060" w:rsidRDefault="000A2A2B" w:rsidP="007C3060">
            <w:r w:rsidRPr="007C3060">
              <w:t>45</w:t>
            </w:r>
          </w:p>
        </w:tc>
        <w:tc>
          <w:tcPr>
            <w:tcW w:w="4819" w:type="dxa"/>
            <w:tcBorders>
              <w:top w:val="nil"/>
              <w:left w:val="nil"/>
              <w:bottom w:val="nil"/>
              <w:right w:val="nil"/>
            </w:tcBorders>
            <w:tcMar>
              <w:top w:w="128" w:type="dxa"/>
              <w:left w:w="43" w:type="dxa"/>
              <w:bottom w:w="43" w:type="dxa"/>
              <w:right w:w="43" w:type="dxa"/>
            </w:tcMar>
            <w:vAlign w:val="bottom"/>
          </w:tcPr>
          <w:p w14:paraId="034AB9FE" w14:textId="08A0325C" w:rsidR="000A2A2B" w:rsidRPr="007C3060" w:rsidRDefault="000A2A2B" w:rsidP="007C3060">
            <w:r w:rsidRPr="007C3060">
              <w:t xml:space="preserve">Større utstyrsanskaffelser og vedlikehold, </w:t>
            </w:r>
            <w:r w:rsidRPr="007C3060">
              <w:rPr>
                <w:rStyle w:val="kursiv"/>
              </w:rPr>
              <w:t>kan overføres, kan nyttes under post 1</w:t>
            </w:r>
            <w:r w:rsidRPr="007C3060">
              <w:t>, nedsettes med</w:t>
            </w:r>
          </w:p>
        </w:tc>
        <w:tc>
          <w:tcPr>
            <w:tcW w:w="1717" w:type="dxa"/>
            <w:tcBorders>
              <w:top w:val="nil"/>
              <w:left w:val="nil"/>
              <w:bottom w:val="nil"/>
              <w:right w:val="nil"/>
            </w:tcBorders>
            <w:tcMar>
              <w:top w:w="128" w:type="dxa"/>
              <w:left w:w="43" w:type="dxa"/>
              <w:bottom w:w="43" w:type="dxa"/>
              <w:right w:w="43" w:type="dxa"/>
            </w:tcMar>
            <w:vAlign w:val="bottom"/>
          </w:tcPr>
          <w:p w14:paraId="64CDE54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9E1510C" w14:textId="77777777" w:rsidR="000A2A2B" w:rsidRPr="007C3060" w:rsidRDefault="000A2A2B" w:rsidP="007C3060">
            <w:r w:rsidRPr="007C3060">
              <w:t>12 600 000</w:t>
            </w:r>
          </w:p>
        </w:tc>
      </w:tr>
      <w:tr w:rsidR="004B729E" w:rsidRPr="007C3060" w14:paraId="33BF412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8BA1AE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6A7E3F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1E07955" w14:textId="77777777" w:rsidR="000A2A2B" w:rsidRPr="007C3060" w:rsidRDefault="000A2A2B" w:rsidP="007C3060">
            <w:r w:rsidRPr="007C3060">
              <w:t>fra kr 51 075 000 til kr 38 475 000</w:t>
            </w:r>
          </w:p>
        </w:tc>
        <w:tc>
          <w:tcPr>
            <w:tcW w:w="1717" w:type="dxa"/>
            <w:tcBorders>
              <w:top w:val="nil"/>
              <w:left w:val="nil"/>
              <w:bottom w:val="nil"/>
              <w:right w:val="nil"/>
            </w:tcBorders>
            <w:tcMar>
              <w:top w:w="128" w:type="dxa"/>
              <w:left w:w="43" w:type="dxa"/>
              <w:bottom w:w="43" w:type="dxa"/>
              <w:right w:w="43" w:type="dxa"/>
            </w:tcMar>
            <w:vAlign w:val="bottom"/>
          </w:tcPr>
          <w:p w14:paraId="0B9B711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54F716D" w14:textId="77777777" w:rsidR="000A2A2B" w:rsidRPr="007C3060" w:rsidRDefault="000A2A2B" w:rsidP="007C3060"/>
        </w:tc>
      </w:tr>
      <w:tr w:rsidR="004B729E" w:rsidRPr="007C3060" w14:paraId="0AE638E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B337E3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17DBFED" w14:textId="77777777" w:rsidR="000A2A2B" w:rsidRPr="007C3060" w:rsidRDefault="000A2A2B" w:rsidP="007C3060">
            <w:r w:rsidRPr="007C3060">
              <w:t>50</w:t>
            </w:r>
          </w:p>
        </w:tc>
        <w:tc>
          <w:tcPr>
            <w:tcW w:w="4819" w:type="dxa"/>
            <w:tcBorders>
              <w:top w:val="nil"/>
              <w:left w:val="nil"/>
              <w:bottom w:val="nil"/>
              <w:right w:val="nil"/>
            </w:tcBorders>
            <w:tcMar>
              <w:top w:w="128" w:type="dxa"/>
              <w:left w:w="43" w:type="dxa"/>
              <w:bottom w:w="43" w:type="dxa"/>
              <w:right w:w="43" w:type="dxa"/>
            </w:tcMar>
            <w:vAlign w:val="bottom"/>
          </w:tcPr>
          <w:p w14:paraId="2038A690" w14:textId="77777777" w:rsidR="000A2A2B" w:rsidRPr="007C3060" w:rsidRDefault="000A2A2B" w:rsidP="007C3060">
            <w:r w:rsidRPr="007C3060">
              <w:t xml:space="preserve">Avsetning til utdanningsstipend, </w:t>
            </w:r>
            <w:r w:rsidRPr="007C3060">
              <w:rPr>
                <w:rStyle w:val="kursiv"/>
              </w:rPr>
              <w:t>overslagsbevilgning,</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385AB66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B139FCD" w14:textId="77777777" w:rsidR="000A2A2B" w:rsidRPr="007C3060" w:rsidRDefault="000A2A2B" w:rsidP="007C3060">
            <w:r w:rsidRPr="007C3060">
              <w:t>82 312 000</w:t>
            </w:r>
          </w:p>
        </w:tc>
      </w:tr>
      <w:tr w:rsidR="004B729E" w:rsidRPr="007C3060" w14:paraId="3C79E28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D2240C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61AD41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E48A951" w14:textId="77777777" w:rsidR="000A2A2B" w:rsidRPr="007C3060" w:rsidRDefault="000A2A2B" w:rsidP="007C3060">
            <w:r w:rsidRPr="007C3060">
              <w:t>fra kr 9 545 390 000 til kr 9 463 078 000</w:t>
            </w:r>
          </w:p>
        </w:tc>
        <w:tc>
          <w:tcPr>
            <w:tcW w:w="1717" w:type="dxa"/>
            <w:tcBorders>
              <w:top w:val="nil"/>
              <w:left w:val="nil"/>
              <w:bottom w:val="nil"/>
              <w:right w:val="nil"/>
            </w:tcBorders>
            <w:tcMar>
              <w:top w:w="128" w:type="dxa"/>
              <w:left w:w="43" w:type="dxa"/>
              <w:bottom w:w="43" w:type="dxa"/>
              <w:right w:w="43" w:type="dxa"/>
            </w:tcMar>
            <w:vAlign w:val="bottom"/>
          </w:tcPr>
          <w:p w14:paraId="34944C2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83AA287" w14:textId="77777777" w:rsidR="000A2A2B" w:rsidRPr="007C3060" w:rsidRDefault="000A2A2B" w:rsidP="007C3060"/>
        </w:tc>
      </w:tr>
      <w:tr w:rsidR="004B729E" w:rsidRPr="007C3060" w14:paraId="04DD22D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AF3DB1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829B65C"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2345C48F" w14:textId="77777777" w:rsidR="000A2A2B" w:rsidRPr="007C3060" w:rsidRDefault="000A2A2B" w:rsidP="007C3060">
            <w:r w:rsidRPr="007C3060">
              <w:t xml:space="preserve">Utdanningsstipend,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4692735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B5EF4AA" w14:textId="77777777" w:rsidR="000A2A2B" w:rsidRPr="007C3060" w:rsidRDefault="000A2A2B" w:rsidP="007C3060">
            <w:r w:rsidRPr="007C3060">
              <w:t>98 266 000</w:t>
            </w:r>
          </w:p>
        </w:tc>
      </w:tr>
      <w:tr w:rsidR="004B729E" w:rsidRPr="007C3060" w14:paraId="26D59F5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28E0FA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EFA93E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E095E96" w14:textId="77777777" w:rsidR="000A2A2B" w:rsidRPr="007C3060" w:rsidRDefault="000A2A2B" w:rsidP="007C3060">
            <w:r w:rsidRPr="007C3060">
              <w:t>fra kr 4 116 162 000 til kr 4 214 428 000</w:t>
            </w:r>
          </w:p>
        </w:tc>
        <w:tc>
          <w:tcPr>
            <w:tcW w:w="1717" w:type="dxa"/>
            <w:tcBorders>
              <w:top w:val="nil"/>
              <w:left w:val="nil"/>
              <w:bottom w:val="nil"/>
              <w:right w:val="nil"/>
            </w:tcBorders>
            <w:tcMar>
              <w:top w:w="128" w:type="dxa"/>
              <w:left w:w="43" w:type="dxa"/>
              <w:bottom w:w="43" w:type="dxa"/>
              <w:right w:w="43" w:type="dxa"/>
            </w:tcMar>
            <w:vAlign w:val="bottom"/>
          </w:tcPr>
          <w:p w14:paraId="087E6D8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53C56AA" w14:textId="77777777" w:rsidR="000A2A2B" w:rsidRPr="007C3060" w:rsidRDefault="000A2A2B" w:rsidP="007C3060"/>
        </w:tc>
      </w:tr>
      <w:tr w:rsidR="004B729E" w:rsidRPr="007C3060" w14:paraId="0EF87C9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C4D74B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28444BC"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574DC4A0" w14:textId="77777777" w:rsidR="000A2A2B" w:rsidRPr="007C3060" w:rsidRDefault="000A2A2B" w:rsidP="007C3060">
            <w:r w:rsidRPr="007C3060">
              <w:t xml:space="preserve">Andre stipend, </w:t>
            </w:r>
            <w:r w:rsidRPr="007C3060">
              <w:rPr>
                <w:rStyle w:val="kursiv"/>
              </w:rPr>
              <w:t>overslagsbevilgning,</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5D7D105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1E951EC" w14:textId="77777777" w:rsidR="000A2A2B" w:rsidRPr="007C3060" w:rsidRDefault="000A2A2B" w:rsidP="007C3060">
            <w:r w:rsidRPr="007C3060">
              <w:t>14 250 000</w:t>
            </w:r>
          </w:p>
        </w:tc>
      </w:tr>
      <w:tr w:rsidR="004B729E" w:rsidRPr="007C3060" w14:paraId="1235085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DCF722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A5A69A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994FE46" w14:textId="77777777" w:rsidR="000A2A2B" w:rsidRPr="007C3060" w:rsidRDefault="000A2A2B" w:rsidP="007C3060">
            <w:r w:rsidRPr="007C3060">
              <w:t>fra kr 576 805 000 til kr 562 555 000</w:t>
            </w:r>
          </w:p>
        </w:tc>
        <w:tc>
          <w:tcPr>
            <w:tcW w:w="1717" w:type="dxa"/>
            <w:tcBorders>
              <w:top w:val="nil"/>
              <w:left w:val="nil"/>
              <w:bottom w:val="nil"/>
              <w:right w:val="nil"/>
            </w:tcBorders>
            <w:tcMar>
              <w:top w:w="128" w:type="dxa"/>
              <w:left w:w="43" w:type="dxa"/>
              <w:bottom w:w="43" w:type="dxa"/>
              <w:right w:w="43" w:type="dxa"/>
            </w:tcMar>
            <w:vAlign w:val="bottom"/>
          </w:tcPr>
          <w:p w14:paraId="33EB708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A491EF2" w14:textId="77777777" w:rsidR="000A2A2B" w:rsidRPr="007C3060" w:rsidRDefault="000A2A2B" w:rsidP="007C3060"/>
        </w:tc>
      </w:tr>
      <w:tr w:rsidR="004B729E" w:rsidRPr="007C3060" w14:paraId="1943FF8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78D2CE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E0037BE"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096732BE" w14:textId="77777777" w:rsidR="000A2A2B" w:rsidRPr="007C3060" w:rsidRDefault="000A2A2B" w:rsidP="007C3060">
            <w:r w:rsidRPr="007C3060">
              <w:t xml:space="preserve">Rentestøtte,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571257C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5BE1BF8" w14:textId="77777777" w:rsidR="000A2A2B" w:rsidRPr="007C3060" w:rsidRDefault="000A2A2B" w:rsidP="007C3060">
            <w:r w:rsidRPr="007C3060">
              <w:t>22 899 000</w:t>
            </w:r>
          </w:p>
        </w:tc>
      </w:tr>
      <w:tr w:rsidR="004B729E" w:rsidRPr="007C3060" w14:paraId="6B06F34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0AE3FB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7CE7A3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7334EB2" w14:textId="77777777" w:rsidR="000A2A2B" w:rsidRPr="007C3060" w:rsidRDefault="000A2A2B" w:rsidP="007C3060">
            <w:r w:rsidRPr="007C3060">
              <w:t>fra kr 3 763 095 000 til kr 3 785 994 000</w:t>
            </w:r>
          </w:p>
        </w:tc>
        <w:tc>
          <w:tcPr>
            <w:tcW w:w="1717" w:type="dxa"/>
            <w:tcBorders>
              <w:top w:val="nil"/>
              <w:left w:val="nil"/>
              <w:bottom w:val="nil"/>
              <w:right w:val="nil"/>
            </w:tcBorders>
            <w:tcMar>
              <w:top w:w="128" w:type="dxa"/>
              <w:left w:w="43" w:type="dxa"/>
              <w:bottom w:w="43" w:type="dxa"/>
              <w:right w:w="43" w:type="dxa"/>
            </w:tcMar>
            <w:vAlign w:val="bottom"/>
          </w:tcPr>
          <w:p w14:paraId="365EDDC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06EF055" w14:textId="77777777" w:rsidR="000A2A2B" w:rsidRPr="007C3060" w:rsidRDefault="000A2A2B" w:rsidP="007C3060"/>
        </w:tc>
      </w:tr>
      <w:tr w:rsidR="004B729E" w:rsidRPr="007C3060" w14:paraId="2731E94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4B0A5B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7D2481B"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2924F97E" w14:textId="77777777" w:rsidR="000A2A2B" w:rsidRPr="007C3060" w:rsidRDefault="000A2A2B" w:rsidP="007C3060">
            <w:r w:rsidRPr="007C3060">
              <w:t xml:space="preserve">Avskrivninger,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0A842DC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BDC8DA0" w14:textId="77777777" w:rsidR="000A2A2B" w:rsidRPr="007C3060" w:rsidRDefault="000A2A2B" w:rsidP="007C3060">
            <w:r w:rsidRPr="007C3060">
              <w:t>144 960 000</w:t>
            </w:r>
          </w:p>
        </w:tc>
      </w:tr>
      <w:tr w:rsidR="004B729E" w:rsidRPr="007C3060" w14:paraId="5FFCB2D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0CFEEF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40F31D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5F853E8" w14:textId="77777777" w:rsidR="000A2A2B" w:rsidRPr="007C3060" w:rsidRDefault="000A2A2B" w:rsidP="007C3060">
            <w:r w:rsidRPr="007C3060">
              <w:t>fra kr 1 038 667 000 til kr 1 183 627 000</w:t>
            </w:r>
          </w:p>
        </w:tc>
        <w:tc>
          <w:tcPr>
            <w:tcW w:w="1717" w:type="dxa"/>
            <w:tcBorders>
              <w:top w:val="nil"/>
              <w:left w:val="nil"/>
              <w:bottom w:val="nil"/>
              <w:right w:val="nil"/>
            </w:tcBorders>
            <w:tcMar>
              <w:top w:w="128" w:type="dxa"/>
              <w:left w:w="43" w:type="dxa"/>
              <w:bottom w:w="43" w:type="dxa"/>
              <w:right w:w="43" w:type="dxa"/>
            </w:tcMar>
            <w:vAlign w:val="bottom"/>
          </w:tcPr>
          <w:p w14:paraId="32B7D1B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0F4F235" w14:textId="77777777" w:rsidR="000A2A2B" w:rsidRPr="007C3060" w:rsidRDefault="000A2A2B" w:rsidP="007C3060"/>
        </w:tc>
      </w:tr>
      <w:tr w:rsidR="004B729E" w:rsidRPr="007C3060" w14:paraId="19406D0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C65EF4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D990BFF" w14:textId="77777777" w:rsidR="000A2A2B" w:rsidRPr="007C3060" w:rsidRDefault="000A2A2B" w:rsidP="007C3060">
            <w:r w:rsidRPr="007C3060">
              <w:t>74</w:t>
            </w:r>
          </w:p>
        </w:tc>
        <w:tc>
          <w:tcPr>
            <w:tcW w:w="4819" w:type="dxa"/>
            <w:tcBorders>
              <w:top w:val="nil"/>
              <w:left w:val="nil"/>
              <w:bottom w:val="nil"/>
              <w:right w:val="nil"/>
            </w:tcBorders>
            <w:tcMar>
              <w:top w:w="128" w:type="dxa"/>
              <w:left w:w="43" w:type="dxa"/>
              <w:bottom w:w="43" w:type="dxa"/>
              <w:right w:w="43" w:type="dxa"/>
            </w:tcMar>
            <w:vAlign w:val="bottom"/>
          </w:tcPr>
          <w:p w14:paraId="236E1F10" w14:textId="77777777" w:rsidR="000A2A2B" w:rsidRPr="007C3060" w:rsidRDefault="000A2A2B" w:rsidP="007C3060">
            <w:r w:rsidRPr="007C3060">
              <w:t>Tap på utlån, nedsettes med</w:t>
            </w:r>
          </w:p>
        </w:tc>
        <w:tc>
          <w:tcPr>
            <w:tcW w:w="1717" w:type="dxa"/>
            <w:tcBorders>
              <w:top w:val="nil"/>
              <w:left w:val="nil"/>
              <w:bottom w:val="nil"/>
              <w:right w:val="nil"/>
            </w:tcBorders>
            <w:tcMar>
              <w:top w:w="128" w:type="dxa"/>
              <w:left w:w="43" w:type="dxa"/>
              <w:bottom w:w="43" w:type="dxa"/>
              <w:right w:w="43" w:type="dxa"/>
            </w:tcMar>
            <w:vAlign w:val="bottom"/>
          </w:tcPr>
          <w:p w14:paraId="52AA722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FEAAECA" w14:textId="77777777" w:rsidR="000A2A2B" w:rsidRPr="007C3060" w:rsidRDefault="000A2A2B" w:rsidP="007C3060">
            <w:r w:rsidRPr="007C3060">
              <w:t>60 000 000</w:t>
            </w:r>
          </w:p>
        </w:tc>
      </w:tr>
      <w:tr w:rsidR="004B729E" w:rsidRPr="007C3060" w14:paraId="47239EE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7A4545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643F4B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8107816" w14:textId="77777777" w:rsidR="000A2A2B" w:rsidRPr="007C3060" w:rsidRDefault="000A2A2B" w:rsidP="007C3060">
            <w:r w:rsidRPr="007C3060">
              <w:t>fra kr 340 500 000 til kr 280 500 000</w:t>
            </w:r>
          </w:p>
        </w:tc>
        <w:tc>
          <w:tcPr>
            <w:tcW w:w="1717" w:type="dxa"/>
            <w:tcBorders>
              <w:top w:val="nil"/>
              <w:left w:val="nil"/>
              <w:bottom w:val="nil"/>
              <w:right w:val="nil"/>
            </w:tcBorders>
            <w:tcMar>
              <w:top w:w="128" w:type="dxa"/>
              <w:left w:w="43" w:type="dxa"/>
              <w:bottom w:w="43" w:type="dxa"/>
              <w:right w:w="43" w:type="dxa"/>
            </w:tcMar>
            <w:vAlign w:val="bottom"/>
          </w:tcPr>
          <w:p w14:paraId="7ADBA8C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7E6AA64" w14:textId="77777777" w:rsidR="000A2A2B" w:rsidRPr="007C3060" w:rsidRDefault="000A2A2B" w:rsidP="007C3060"/>
        </w:tc>
      </w:tr>
      <w:tr w:rsidR="004B729E" w:rsidRPr="007C3060" w14:paraId="2192625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C942FA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BF4FFCC" w14:textId="77777777" w:rsidR="000A2A2B" w:rsidRPr="007C3060" w:rsidRDefault="000A2A2B" w:rsidP="007C3060">
            <w:r w:rsidRPr="007C3060">
              <w:t>90</w:t>
            </w:r>
          </w:p>
        </w:tc>
        <w:tc>
          <w:tcPr>
            <w:tcW w:w="4819" w:type="dxa"/>
            <w:tcBorders>
              <w:top w:val="nil"/>
              <w:left w:val="nil"/>
              <w:bottom w:val="nil"/>
              <w:right w:val="nil"/>
            </w:tcBorders>
            <w:tcMar>
              <w:top w:w="128" w:type="dxa"/>
              <w:left w:w="43" w:type="dxa"/>
              <w:bottom w:w="43" w:type="dxa"/>
              <w:right w:w="43" w:type="dxa"/>
            </w:tcMar>
            <w:vAlign w:val="bottom"/>
          </w:tcPr>
          <w:p w14:paraId="2105FEB1" w14:textId="77777777" w:rsidR="000A2A2B" w:rsidRPr="007C3060" w:rsidRDefault="000A2A2B" w:rsidP="007C3060">
            <w:r w:rsidRPr="007C3060">
              <w:t xml:space="preserve">Økt lån og rentegjeld, </w:t>
            </w:r>
            <w:r w:rsidRPr="007C3060">
              <w:rPr>
                <w:rStyle w:val="kursiv"/>
              </w:rPr>
              <w:t>overslagsbevilgning,</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E088E0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93CEE65" w14:textId="77777777" w:rsidR="000A2A2B" w:rsidRPr="007C3060" w:rsidRDefault="000A2A2B" w:rsidP="007C3060">
            <w:r w:rsidRPr="007C3060">
              <w:t>106 684 000</w:t>
            </w:r>
          </w:p>
        </w:tc>
      </w:tr>
      <w:tr w:rsidR="004B729E" w:rsidRPr="007C3060" w14:paraId="7754962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7D3B90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06D894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5380C75" w14:textId="77777777" w:rsidR="000A2A2B" w:rsidRPr="007C3060" w:rsidRDefault="000A2A2B" w:rsidP="007C3060">
            <w:r w:rsidRPr="007C3060">
              <w:t>fra kr 44 322 610 000 til kr 44 215 926 000</w:t>
            </w:r>
          </w:p>
        </w:tc>
        <w:tc>
          <w:tcPr>
            <w:tcW w:w="1717" w:type="dxa"/>
            <w:tcBorders>
              <w:top w:val="nil"/>
              <w:left w:val="nil"/>
              <w:bottom w:val="nil"/>
              <w:right w:val="nil"/>
            </w:tcBorders>
            <w:tcMar>
              <w:top w:w="128" w:type="dxa"/>
              <w:left w:w="43" w:type="dxa"/>
              <w:bottom w:w="43" w:type="dxa"/>
              <w:right w:w="43" w:type="dxa"/>
            </w:tcMar>
            <w:vAlign w:val="bottom"/>
          </w:tcPr>
          <w:p w14:paraId="3242D00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833691F" w14:textId="77777777" w:rsidR="000A2A2B" w:rsidRPr="007C3060" w:rsidRDefault="000A2A2B" w:rsidP="007C3060"/>
        </w:tc>
      </w:tr>
      <w:tr w:rsidR="004B729E" w:rsidRPr="007C3060" w14:paraId="634B8E7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0311A32D" w14:textId="77777777" w:rsidR="000A2A2B" w:rsidRPr="007C3060" w:rsidRDefault="000A2A2B" w:rsidP="007C3060">
            <w:r w:rsidRPr="007C3060">
              <w:t>2412</w:t>
            </w:r>
          </w:p>
        </w:tc>
        <w:tc>
          <w:tcPr>
            <w:tcW w:w="992" w:type="dxa"/>
            <w:tcBorders>
              <w:top w:val="nil"/>
              <w:left w:val="nil"/>
              <w:bottom w:val="nil"/>
              <w:right w:val="nil"/>
            </w:tcBorders>
            <w:tcMar>
              <w:top w:w="128" w:type="dxa"/>
              <w:left w:w="43" w:type="dxa"/>
              <w:bottom w:w="43" w:type="dxa"/>
              <w:right w:w="43" w:type="dxa"/>
            </w:tcMar>
          </w:tcPr>
          <w:p w14:paraId="56ADA7A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F047A65" w14:textId="77777777" w:rsidR="000A2A2B" w:rsidRPr="007C3060" w:rsidRDefault="000A2A2B" w:rsidP="007C3060">
            <w:r w:rsidRPr="007C3060">
              <w:t>Husbanken</w:t>
            </w:r>
          </w:p>
        </w:tc>
        <w:tc>
          <w:tcPr>
            <w:tcW w:w="1717" w:type="dxa"/>
            <w:tcBorders>
              <w:top w:val="nil"/>
              <w:left w:val="nil"/>
              <w:bottom w:val="nil"/>
              <w:right w:val="nil"/>
            </w:tcBorders>
            <w:tcMar>
              <w:top w:w="128" w:type="dxa"/>
              <w:left w:w="43" w:type="dxa"/>
              <w:bottom w:w="43" w:type="dxa"/>
              <w:right w:w="43" w:type="dxa"/>
            </w:tcMar>
            <w:vAlign w:val="bottom"/>
          </w:tcPr>
          <w:p w14:paraId="49D85A4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C0CD4C7" w14:textId="77777777" w:rsidR="000A2A2B" w:rsidRPr="007C3060" w:rsidRDefault="000A2A2B" w:rsidP="007C3060"/>
        </w:tc>
      </w:tr>
      <w:tr w:rsidR="004B729E" w:rsidRPr="007C3060" w14:paraId="1797D63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64A6341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72938A9" w14:textId="77777777" w:rsidR="000A2A2B" w:rsidRPr="007C3060" w:rsidRDefault="000A2A2B" w:rsidP="007C3060">
            <w:r w:rsidRPr="007C3060">
              <w:t>90</w:t>
            </w:r>
          </w:p>
        </w:tc>
        <w:tc>
          <w:tcPr>
            <w:tcW w:w="4819" w:type="dxa"/>
            <w:tcBorders>
              <w:top w:val="nil"/>
              <w:left w:val="nil"/>
              <w:bottom w:val="nil"/>
              <w:right w:val="nil"/>
            </w:tcBorders>
            <w:tcMar>
              <w:top w:w="128" w:type="dxa"/>
              <w:left w:w="43" w:type="dxa"/>
              <w:bottom w:w="43" w:type="dxa"/>
              <w:right w:w="43" w:type="dxa"/>
            </w:tcMar>
            <w:vAlign w:val="bottom"/>
          </w:tcPr>
          <w:p w14:paraId="636F9138" w14:textId="77777777" w:rsidR="000A2A2B" w:rsidRPr="007C3060" w:rsidRDefault="000A2A2B" w:rsidP="007C3060">
            <w:r w:rsidRPr="007C3060">
              <w:t xml:space="preserve">Nye lån, </w:t>
            </w:r>
            <w:r w:rsidRPr="007C3060">
              <w:rPr>
                <w:rStyle w:val="kursiv"/>
              </w:rPr>
              <w:t>overslagsbevilgning</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4A230BC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D87A37D" w14:textId="77777777" w:rsidR="000A2A2B" w:rsidRPr="007C3060" w:rsidRDefault="000A2A2B" w:rsidP="007C3060">
            <w:r w:rsidRPr="007C3060">
              <w:t>426 400 000</w:t>
            </w:r>
          </w:p>
        </w:tc>
      </w:tr>
      <w:tr w:rsidR="004B729E" w:rsidRPr="007C3060" w14:paraId="5EA1CF0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3701D3B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C242E9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31BE3D1" w14:textId="77777777" w:rsidR="000A2A2B" w:rsidRPr="007C3060" w:rsidRDefault="000A2A2B" w:rsidP="007C3060">
            <w:r w:rsidRPr="007C3060">
              <w:t>fra kr 28 505 000 000 til kr 28 931 400 000</w:t>
            </w:r>
          </w:p>
        </w:tc>
        <w:tc>
          <w:tcPr>
            <w:tcW w:w="1717" w:type="dxa"/>
            <w:tcBorders>
              <w:top w:val="nil"/>
              <w:left w:val="nil"/>
              <w:bottom w:val="nil"/>
              <w:right w:val="nil"/>
            </w:tcBorders>
            <w:tcMar>
              <w:top w:w="128" w:type="dxa"/>
              <w:left w:w="43" w:type="dxa"/>
              <w:bottom w:w="43" w:type="dxa"/>
              <w:right w:w="43" w:type="dxa"/>
            </w:tcMar>
            <w:vAlign w:val="bottom"/>
          </w:tcPr>
          <w:p w14:paraId="0FFFB30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F83CECF" w14:textId="77777777" w:rsidR="000A2A2B" w:rsidRPr="007C3060" w:rsidRDefault="000A2A2B" w:rsidP="007C3060"/>
        </w:tc>
      </w:tr>
      <w:tr w:rsidR="004B729E" w:rsidRPr="007C3060" w14:paraId="101D951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0090856F" w14:textId="77777777" w:rsidR="000A2A2B" w:rsidRPr="007C3060" w:rsidRDefault="000A2A2B" w:rsidP="007C3060">
            <w:r w:rsidRPr="007C3060">
              <w:t>2421</w:t>
            </w:r>
          </w:p>
        </w:tc>
        <w:tc>
          <w:tcPr>
            <w:tcW w:w="992" w:type="dxa"/>
            <w:tcBorders>
              <w:top w:val="nil"/>
              <w:left w:val="nil"/>
              <w:bottom w:val="nil"/>
              <w:right w:val="nil"/>
            </w:tcBorders>
            <w:tcMar>
              <w:top w:w="128" w:type="dxa"/>
              <w:left w:w="43" w:type="dxa"/>
              <w:bottom w:w="43" w:type="dxa"/>
              <w:right w:w="123" w:type="dxa"/>
            </w:tcMar>
          </w:tcPr>
          <w:p w14:paraId="435B9BC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C744B28" w14:textId="77777777" w:rsidR="000A2A2B" w:rsidRPr="007C3060" w:rsidRDefault="000A2A2B" w:rsidP="007C3060">
            <w:r w:rsidRPr="007C3060">
              <w:t>Innovasjon Norge:</w:t>
            </w:r>
          </w:p>
        </w:tc>
        <w:tc>
          <w:tcPr>
            <w:tcW w:w="1717" w:type="dxa"/>
            <w:tcBorders>
              <w:top w:val="nil"/>
              <w:left w:val="nil"/>
              <w:bottom w:val="nil"/>
              <w:right w:val="nil"/>
            </w:tcBorders>
            <w:tcMar>
              <w:top w:w="128" w:type="dxa"/>
              <w:left w:w="43" w:type="dxa"/>
              <w:bottom w:w="43" w:type="dxa"/>
              <w:right w:w="43" w:type="dxa"/>
            </w:tcMar>
            <w:vAlign w:val="bottom"/>
          </w:tcPr>
          <w:p w14:paraId="04741A5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5246402" w14:textId="77777777" w:rsidR="000A2A2B" w:rsidRPr="007C3060" w:rsidRDefault="000A2A2B" w:rsidP="007C3060"/>
        </w:tc>
      </w:tr>
      <w:tr w:rsidR="004B729E" w:rsidRPr="007C3060" w14:paraId="66BC89B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59ED70A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50722E4" w14:textId="77777777" w:rsidR="000A2A2B" w:rsidRPr="007C3060" w:rsidRDefault="000A2A2B" w:rsidP="007C3060">
            <w:r w:rsidRPr="007C3060">
              <w:t>76</w:t>
            </w:r>
          </w:p>
        </w:tc>
        <w:tc>
          <w:tcPr>
            <w:tcW w:w="4819" w:type="dxa"/>
            <w:tcBorders>
              <w:top w:val="nil"/>
              <w:left w:val="nil"/>
              <w:bottom w:val="nil"/>
              <w:right w:val="nil"/>
            </w:tcBorders>
            <w:tcMar>
              <w:top w:w="128" w:type="dxa"/>
              <w:left w:w="43" w:type="dxa"/>
              <w:bottom w:w="43" w:type="dxa"/>
              <w:right w:w="43" w:type="dxa"/>
            </w:tcMar>
            <w:vAlign w:val="bottom"/>
          </w:tcPr>
          <w:p w14:paraId="7DD23A19" w14:textId="77777777" w:rsidR="000A2A2B" w:rsidRPr="007C3060" w:rsidRDefault="000A2A2B" w:rsidP="007C3060">
            <w:r w:rsidRPr="007C3060">
              <w:t xml:space="preserve">Miljøteknologi, </w:t>
            </w:r>
            <w:r w:rsidRPr="007C3060">
              <w:rPr>
                <w:rStyle w:val="kursiv"/>
              </w:rPr>
              <w:t>kan overføres,</w:t>
            </w:r>
            <w:r w:rsidRPr="007C3060">
              <w:t xml:space="preserve"> forhøyes med</w:t>
            </w:r>
            <w:r w:rsidRPr="007C3060">
              <w:tab/>
            </w:r>
          </w:p>
        </w:tc>
        <w:tc>
          <w:tcPr>
            <w:tcW w:w="1717" w:type="dxa"/>
            <w:tcBorders>
              <w:top w:val="nil"/>
              <w:left w:val="nil"/>
              <w:bottom w:val="nil"/>
              <w:right w:val="nil"/>
            </w:tcBorders>
            <w:tcMar>
              <w:top w:w="128" w:type="dxa"/>
              <w:left w:w="43" w:type="dxa"/>
              <w:bottom w:w="43" w:type="dxa"/>
              <w:right w:w="43" w:type="dxa"/>
            </w:tcMar>
            <w:vAlign w:val="bottom"/>
          </w:tcPr>
          <w:p w14:paraId="050BD6E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24045A5" w14:textId="77777777" w:rsidR="000A2A2B" w:rsidRPr="007C3060" w:rsidRDefault="000A2A2B" w:rsidP="007C3060">
            <w:r w:rsidRPr="007C3060">
              <w:t>10 000 000</w:t>
            </w:r>
          </w:p>
        </w:tc>
      </w:tr>
      <w:tr w:rsidR="004B729E" w:rsidRPr="007C3060" w14:paraId="65C6A804"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69FCAD0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43" w:type="dxa"/>
            </w:tcMar>
            <w:vAlign w:val="bottom"/>
          </w:tcPr>
          <w:p w14:paraId="1D86436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2D39A4F" w14:textId="77777777" w:rsidR="000A2A2B" w:rsidRPr="007C3060" w:rsidRDefault="000A2A2B" w:rsidP="007C3060">
            <w:r w:rsidRPr="007C3060">
              <w:t>fra kr 423 800 000 til kr 433 800 000</w:t>
            </w:r>
          </w:p>
        </w:tc>
        <w:tc>
          <w:tcPr>
            <w:tcW w:w="1717" w:type="dxa"/>
            <w:tcBorders>
              <w:top w:val="nil"/>
              <w:left w:val="nil"/>
              <w:bottom w:val="nil"/>
              <w:right w:val="nil"/>
            </w:tcBorders>
            <w:tcMar>
              <w:top w:w="128" w:type="dxa"/>
              <w:left w:w="43" w:type="dxa"/>
              <w:bottom w:w="43" w:type="dxa"/>
              <w:right w:w="43" w:type="dxa"/>
            </w:tcMar>
            <w:vAlign w:val="bottom"/>
          </w:tcPr>
          <w:p w14:paraId="4AD399C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2BF08F0" w14:textId="77777777" w:rsidR="000A2A2B" w:rsidRPr="007C3060" w:rsidRDefault="000A2A2B" w:rsidP="007C3060"/>
        </w:tc>
      </w:tr>
      <w:tr w:rsidR="004B729E" w:rsidRPr="007C3060" w14:paraId="23CD66DF"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1289093" w14:textId="77777777" w:rsidR="000A2A2B" w:rsidRPr="007C3060" w:rsidRDefault="000A2A2B" w:rsidP="007C3060">
            <w:r w:rsidRPr="007C3060">
              <w:t>2440</w:t>
            </w:r>
          </w:p>
        </w:tc>
        <w:tc>
          <w:tcPr>
            <w:tcW w:w="992" w:type="dxa"/>
            <w:tcBorders>
              <w:top w:val="nil"/>
              <w:left w:val="nil"/>
              <w:bottom w:val="nil"/>
              <w:right w:val="nil"/>
            </w:tcBorders>
            <w:tcMar>
              <w:top w:w="128" w:type="dxa"/>
              <w:left w:w="43" w:type="dxa"/>
              <w:bottom w:w="43" w:type="dxa"/>
              <w:right w:w="123" w:type="dxa"/>
            </w:tcMar>
          </w:tcPr>
          <w:p w14:paraId="5C3F193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BB632B5" w14:textId="77777777" w:rsidR="000A2A2B" w:rsidRPr="007C3060" w:rsidRDefault="000A2A2B" w:rsidP="007C3060">
            <w:r w:rsidRPr="007C3060">
              <w:t>Statens direkte økonomiske engasjement i petroleums-virksomheten:</w:t>
            </w:r>
          </w:p>
        </w:tc>
        <w:tc>
          <w:tcPr>
            <w:tcW w:w="1717" w:type="dxa"/>
            <w:tcBorders>
              <w:top w:val="nil"/>
              <w:left w:val="nil"/>
              <w:bottom w:val="nil"/>
              <w:right w:val="nil"/>
            </w:tcBorders>
            <w:tcMar>
              <w:top w:w="128" w:type="dxa"/>
              <w:left w:w="43" w:type="dxa"/>
              <w:bottom w:w="43" w:type="dxa"/>
              <w:right w:w="43" w:type="dxa"/>
            </w:tcMar>
            <w:vAlign w:val="bottom"/>
          </w:tcPr>
          <w:p w14:paraId="17C435A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D4B10B9" w14:textId="77777777" w:rsidR="000A2A2B" w:rsidRPr="007C3060" w:rsidRDefault="000A2A2B" w:rsidP="007C3060"/>
        </w:tc>
      </w:tr>
      <w:tr w:rsidR="004B729E" w:rsidRPr="007C3060" w14:paraId="15B9BC4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19F02E7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E3245B9" w14:textId="77777777" w:rsidR="000A2A2B" w:rsidRPr="007C3060" w:rsidRDefault="000A2A2B" w:rsidP="007C3060">
            <w:r w:rsidRPr="007C3060">
              <w:t>30</w:t>
            </w:r>
          </w:p>
        </w:tc>
        <w:tc>
          <w:tcPr>
            <w:tcW w:w="4819" w:type="dxa"/>
            <w:tcBorders>
              <w:top w:val="nil"/>
              <w:left w:val="nil"/>
              <w:bottom w:val="nil"/>
              <w:right w:val="nil"/>
            </w:tcBorders>
            <w:tcMar>
              <w:top w:w="128" w:type="dxa"/>
              <w:left w:w="43" w:type="dxa"/>
              <w:bottom w:w="43" w:type="dxa"/>
              <w:right w:w="43" w:type="dxa"/>
            </w:tcMar>
            <w:vAlign w:val="bottom"/>
          </w:tcPr>
          <w:p w14:paraId="59A9852D" w14:textId="77777777" w:rsidR="000A2A2B" w:rsidRPr="007C3060" w:rsidRDefault="000A2A2B" w:rsidP="007C3060">
            <w:r w:rsidRPr="007C3060">
              <w:t>Investeringer, forhøyes med</w:t>
            </w:r>
          </w:p>
        </w:tc>
        <w:tc>
          <w:tcPr>
            <w:tcW w:w="1717" w:type="dxa"/>
            <w:tcBorders>
              <w:top w:val="nil"/>
              <w:left w:val="nil"/>
              <w:bottom w:val="nil"/>
              <w:right w:val="nil"/>
            </w:tcBorders>
            <w:tcMar>
              <w:top w:w="128" w:type="dxa"/>
              <w:left w:w="43" w:type="dxa"/>
              <w:bottom w:w="43" w:type="dxa"/>
              <w:right w:w="43" w:type="dxa"/>
            </w:tcMar>
            <w:vAlign w:val="bottom"/>
          </w:tcPr>
          <w:p w14:paraId="5766E75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1C4CB58" w14:textId="77777777" w:rsidR="000A2A2B" w:rsidRPr="007C3060" w:rsidRDefault="000A2A2B" w:rsidP="007C3060">
            <w:r w:rsidRPr="007C3060">
              <w:t>5 400 000 000</w:t>
            </w:r>
          </w:p>
        </w:tc>
      </w:tr>
      <w:tr w:rsidR="004B729E" w:rsidRPr="007C3060" w14:paraId="296AC46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1179747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B75F6A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7848DC7" w14:textId="77777777" w:rsidR="000A2A2B" w:rsidRPr="007C3060" w:rsidRDefault="000A2A2B" w:rsidP="007C3060">
            <w:r w:rsidRPr="007C3060">
              <w:t>fra kr 29 600 000 000 til kr 35 000 000 000</w:t>
            </w:r>
          </w:p>
        </w:tc>
        <w:tc>
          <w:tcPr>
            <w:tcW w:w="1717" w:type="dxa"/>
            <w:tcBorders>
              <w:top w:val="nil"/>
              <w:left w:val="nil"/>
              <w:bottom w:val="nil"/>
              <w:right w:val="nil"/>
            </w:tcBorders>
            <w:tcMar>
              <w:top w:w="128" w:type="dxa"/>
              <w:left w:w="43" w:type="dxa"/>
              <w:bottom w:w="43" w:type="dxa"/>
              <w:right w:w="43" w:type="dxa"/>
            </w:tcMar>
            <w:vAlign w:val="bottom"/>
          </w:tcPr>
          <w:p w14:paraId="33400A2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AD21B36" w14:textId="77777777" w:rsidR="000A2A2B" w:rsidRPr="007C3060" w:rsidRDefault="000A2A2B" w:rsidP="007C3060"/>
        </w:tc>
      </w:tr>
      <w:tr w:rsidR="004B729E" w:rsidRPr="007C3060" w14:paraId="2E4C4C4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7FFE7351"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5F9AF5F1" w14:textId="77777777" w:rsidR="000A2A2B" w:rsidRPr="007C3060" w:rsidRDefault="000A2A2B" w:rsidP="007C3060">
            <w:r w:rsidRPr="007C3060">
              <w:t>31</w:t>
            </w:r>
          </w:p>
        </w:tc>
        <w:tc>
          <w:tcPr>
            <w:tcW w:w="4819" w:type="dxa"/>
            <w:tcBorders>
              <w:top w:val="nil"/>
              <w:left w:val="nil"/>
              <w:bottom w:val="nil"/>
              <w:right w:val="nil"/>
            </w:tcBorders>
            <w:tcMar>
              <w:top w:w="128" w:type="dxa"/>
              <w:left w:w="43" w:type="dxa"/>
              <w:bottom w:w="43" w:type="dxa"/>
              <w:right w:w="43" w:type="dxa"/>
            </w:tcMar>
            <w:vAlign w:val="bottom"/>
          </w:tcPr>
          <w:p w14:paraId="56DA00C8" w14:textId="77777777" w:rsidR="000A2A2B" w:rsidRPr="007C3060" w:rsidRDefault="000A2A2B" w:rsidP="007C3060">
            <w:r w:rsidRPr="007C3060">
              <w:t>Kjøp av eierandeler, bevilges med</w:t>
            </w:r>
          </w:p>
        </w:tc>
        <w:tc>
          <w:tcPr>
            <w:tcW w:w="1717" w:type="dxa"/>
            <w:tcBorders>
              <w:top w:val="nil"/>
              <w:left w:val="nil"/>
              <w:bottom w:val="nil"/>
              <w:right w:val="nil"/>
            </w:tcBorders>
            <w:tcMar>
              <w:top w:w="128" w:type="dxa"/>
              <w:left w:w="43" w:type="dxa"/>
              <w:bottom w:w="43" w:type="dxa"/>
              <w:right w:w="43" w:type="dxa"/>
            </w:tcMar>
            <w:vAlign w:val="bottom"/>
          </w:tcPr>
          <w:p w14:paraId="045CD78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8C4BB24" w14:textId="77777777" w:rsidR="000A2A2B" w:rsidRPr="007C3060" w:rsidRDefault="000A2A2B" w:rsidP="007C3060">
            <w:r w:rsidRPr="007C3060">
              <w:t>- 2 046 441 000</w:t>
            </w:r>
          </w:p>
        </w:tc>
      </w:tr>
      <w:tr w:rsidR="004B729E" w:rsidRPr="007C3060" w14:paraId="6D7D72B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40168DAB" w14:textId="77777777" w:rsidR="000A2A2B" w:rsidRPr="007C3060" w:rsidRDefault="000A2A2B" w:rsidP="007C3060">
            <w:r w:rsidRPr="007C3060">
              <w:t>2445</w:t>
            </w:r>
          </w:p>
        </w:tc>
        <w:tc>
          <w:tcPr>
            <w:tcW w:w="992" w:type="dxa"/>
            <w:tcBorders>
              <w:top w:val="nil"/>
              <w:left w:val="nil"/>
              <w:bottom w:val="nil"/>
              <w:right w:val="nil"/>
            </w:tcBorders>
            <w:tcMar>
              <w:top w:w="128" w:type="dxa"/>
              <w:left w:w="43" w:type="dxa"/>
              <w:bottom w:w="43" w:type="dxa"/>
              <w:right w:w="123" w:type="dxa"/>
            </w:tcMar>
          </w:tcPr>
          <w:p w14:paraId="3C459F1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5F59B4F" w14:textId="77777777" w:rsidR="000A2A2B" w:rsidRPr="007C3060" w:rsidRDefault="000A2A2B" w:rsidP="007C3060">
            <w:r w:rsidRPr="007C3060">
              <w:t>Statsbygg</w:t>
            </w:r>
          </w:p>
        </w:tc>
        <w:tc>
          <w:tcPr>
            <w:tcW w:w="1717" w:type="dxa"/>
            <w:tcBorders>
              <w:top w:val="nil"/>
              <w:left w:val="nil"/>
              <w:bottom w:val="nil"/>
              <w:right w:val="nil"/>
            </w:tcBorders>
            <w:tcMar>
              <w:top w:w="128" w:type="dxa"/>
              <w:left w:w="43" w:type="dxa"/>
              <w:bottom w:w="43" w:type="dxa"/>
              <w:right w:w="43" w:type="dxa"/>
            </w:tcMar>
            <w:vAlign w:val="bottom"/>
          </w:tcPr>
          <w:p w14:paraId="4A5410F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61CE4AD" w14:textId="77777777" w:rsidR="000A2A2B" w:rsidRPr="007C3060" w:rsidRDefault="000A2A2B" w:rsidP="007C3060"/>
        </w:tc>
      </w:tr>
      <w:tr w:rsidR="004B729E" w:rsidRPr="007C3060" w14:paraId="34B831C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00A8088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95C796A" w14:textId="77777777" w:rsidR="000A2A2B" w:rsidRPr="007C3060" w:rsidRDefault="000A2A2B" w:rsidP="007C3060">
            <w:r w:rsidRPr="007C3060">
              <w:t>30</w:t>
            </w:r>
          </w:p>
        </w:tc>
        <w:tc>
          <w:tcPr>
            <w:tcW w:w="4819" w:type="dxa"/>
            <w:tcBorders>
              <w:top w:val="nil"/>
              <w:left w:val="nil"/>
              <w:bottom w:val="nil"/>
              <w:right w:val="nil"/>
            </w:tcBorders>
            <w:tcMar>
              <w:top w:w="128" w:type="dxa"/>
              <w:left w:w="43" w:type="dxa"/>
              <w:bottom w:w="43" w:type="dxa"/>
              <w:right w:w="43" w:type="dxa"/>
            </w:tcMar>
            <w:vAlign w:val="bottom"/>
          </w:tcPr>
          <w:p w14:paraId="7BAAA4D5" w14:textId="0FE6A750" w:rsidR="000A2A2B" w:rsidRPr="007C3060" w:rsidRDefault="000A2A2B" w:rsidP="007C3060">
            <w:r w:rsidRPr="007C3060">
              <w:t xml:space="preserve">Prosjektering av bygg, </w:t>
            </w:r>
            <w:r w:rsidRPr="007C3060">
              <w:rPr>
                <w:rStyle w:val="kursiv"/>
              </w:rPr>
              <w:t>kan overføres</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5C82761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3F8393A" w14:textId="77777777" w:rsidR="000A2A2B" w:rsidRPr="007C3060" w:rsidRDefault="000A2A2B" w:rsidP="007C3060">
            <w:r w:rsidRPr="007C3060">
              <w:t>31 000 000</w:t>
            </w:r>
          </w:p>
        </w:tc>
      </w:tr>
      <w:tr w:rsidR="004B729E" w:rsidRPr="007C3060" w14:paraId="077F788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195957C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388927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9684CD3" w14:textId="77777777" w:rsidR="000A2A2B" w:rsidRPr="007C3060" w:rsidRDefault="000A2A2B" w:rsidP="007C3060">
            <w:r w:rsidRPr="007C3060">
              <w:t>fra kr 111 000 000 til kr 142 000 000</w:t>
            </w:r>
          </w:p>
        </w:tc>
        <w:tc>
          <w:tcPr>
            <w:tcW w:w="1717" w:type="dxa"/>
            <w:tcBorders>
              <w:top w:val="nil"/>
              <w:left w:val="nil"/>
              <w:bottom w:val="nil"/>
              <w:right w:val="nil"/>
            </w:tcBorders>
            <w:tcMar>
              <w:top w:w="128" w:type="dxa"/>
              <w:left w:w="43" w:type="dxa"/>
              <w:bottom w:w="43" w:type="dxa"/>
              <w:right w:w="43" w:type="dxa"/>
            </w:tcMar>
            <w:vAlign w:val="bottom"/>
          </w:tcPr>
          <w:p w14:paraId="31583A2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0BCD68C" w14:textId="77777777" w:rsidR="000A2A2B" w:rsidRPr="007C3060" w:rsidRDefault="000A2A2B" w:rsidP="007C3060"/>
        </w:tc>
      </w:tr>
      <w:tr w:rsidR="004B729E" w:rsidRPr="007C3060" w14:paraId="1E349591"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vAlign w:val="bottom"/>
          </w:tcPr>
          <w:p w14:paraId="40407BD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4DB8694" w14:textId="77777777" w:rsidR="000A2A2B" w:rsidRPr="007C3060" w:rsidRDefault="000A2A2B" w:rsidP="007C3060">
            <w:r w:rsidRPr="007C3060">
              <w:t>31</w:t>
            </w:r>
          </w:p>
        </w:tc>
        <w:tc>
          <w:tcPr>
            <w:tcW w:w="4819" w:type="dxa"/>
            <w:tcBorders>
              <w:top w:val="nil"/>
              <w:left w:val="nil"/>
              <w:bottom w:val="nil"/>
              <w:right w:val="nil"/>
            </w:tcBorders>
            <w:tcMar>
              <w:top w:w="128" w:type="dxa"/>
              <w:left w:w="43" w:type="dxa"/>
              <w:bottom w:w="43" w:type="dxa"/>
              <w:right w:w="43" w:type="dxa"/>
            </w:tcMar>
            <w:vAlign w:val="bottom"/>
          </w:tcPr>
          <w:p w14:paraId="74C69A54" w14:textId="77777777" w:rsidR="000A2A2B" w:rsidRPr="007C3060" w:rsidRDefault="000A2A2B" w:rsidP="007C3060">
            <w:r w:rsidRPr="007C3060">
              <w:t xml:space="preserve">Igangsetting av ordinære byggeprosjekter, </w:t>
            </w:r>
            <w:r w:rsidRPr="007C3060">
              <w:rPr>
                <w:rStyle w:val="kursiv"/>
              </w:rPr>
              <w:t>kan overføres</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021B7C0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3730285" w14:textId="77777777" w:rsidR="000A2A2B" w:rsidRPr="007C3060" w:rsidRDefault="000A2A2B" w:rsidP="007C3060">
            <w:r w:rsidRPr="007C3060">
              <w:t>120 000 000</w:t>
            </w:r>
          </w:p>
        </w:tc>
      </w:tr>
      <w:tr w:rsidR="004B729E" w:rsidRPr="007C3060" w14:paraId="6883255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625A9FC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9B0C02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CC7913A" w14:textId="77777777" w:rsidR="000A2A2B" w:rsidRPr="007C3060" w:rsidRDefault="000A2A2B" w:rsidP="007C3060">
            <w:r w:rsidRPr="007C3060">
              <w:t>fra kr 500 000 000 til kr 620 000 000</w:t>
            </w:r>
          </w:p>
        </w:tc>
        <w:tc>
          <w:tcPr>
            <w:tcW w:w="1717" w:type="dxa"/>
            <w:tcBorders>
              <w:top w:val="nil"/>
              <w:left w:val="nil"/>
              <w:bottom w:val="nil"/>
              <w:right w:val="nil"/>
            </w:tcBorders>
            <w:tcMar>
              <w:top w:w="128" w:type="dxa"/>
              <w:left w:w="43" w:type="dxa"/>
              <w:bottom w:w="43" w:type="dxa"/>
              <w:right w:w="43" w:type="dxa"/>
            </w:tcMar>
            <w:vAlign w:val="bottom"/>
          </w:tcPr>
          <w:p w14:paraId="2F1B0C6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BB6A275" w14:textId="77777777" w:rsidR="000A2A2B" w:rsidRPr="007C3060" w:rsidRDefault="000A2A2B" w:rsidP="007C3060"/>
        </w:tc>
      </w:tr>
      <w:tr w:rsidR="004B729E" w:rsidRPr="007C3060" w14:paraId="6180FD6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0A3C555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7A2E989" w14:textId="77777777" w:rsidR="000A2A2B" w:rsidRPr="007C3060" w:rsidRDefault="000A2A2B" w:rsidP="007C3060">
            <w:r w:rsidRPr="007C3060">
              <w:t>49</w:t>
            </w:r>
          </w:p>
        </w:tc>
        <w:tc>
          <w:tcPr>
            <w:tcW w:w="4819" w:type="dxa"/>
            <w:tcBorders>
              <w:top w:val="nil"/>
              <w:left w:val="nil"/>
              <w:bottom w:val="nil"/>
              <w:right w:val="nil"/>
            </w:tcBorders>
            <w:tcMar>
              <w:top w:w="128" w:type="dxa"/>
              <w:left w:w="43" w:type="dxa"/>
              <w:bottom w:w="43" w:type="dxa"/>
              <w:right w:w="43" w:type="dxa"/>
            </w:tcMar>
            <w:vAlign w:val="bottom"/>
          </w:tcPr>
          <w:p w14:paraId="4FE5FB12" w14:textId="1EAD71DF" w:rsidR="000A2A2B" w:rsidRPr="007C3060" w:rsidRDefault="000A2A2B" w:rsidP="007C3060">
            <w:r w:rsidRPr="007C3060">
              <w:t xml:space="preserve">Kjøp av eiendommer, </w:t>
            </w:r>
            <w:r w:rsidRPr="007C3060">
              <w:rPr>
                <w:rStyle w:val="kursiv"/>
              </w:rPr>
              <w:t>kan overføres</w:t>
            </w:r>
            <w:r w:rsidRPr="007C3060">
              <w:t>, nedsettes med</w:t>
            </w:r>
          </w:p>
        </w:tc>
        <w:tc>
          <w:tcPr>
            <w:tcW w:w="1717" w:type="dxa"/>
            <w:tcBorders>
              <w:top w:val="nil"/>
              <w:left w:val="nil"/>
              <w:bottom w:val="nil"/>
              <w:right w:val="nil"/>
            </w:tcBorders>
            <w:tcMar>
              <w:top w:w="128" w:type="dxa"/>
              <w:left w:w="43" w:type="dxa"/>
              <w:bottom w:w="43" w:type="dxa"/>
              <w:right w:w="43" w:type="dxa"/>
            </w:tcMar>
            <w:vAlign w:val="bottom"/>
          </w:tcPr>
          <w:p w14:paraId="44DDB44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8593633" w14:textId="77777777" w:rsidR="000A2A2B" w:rsidRPr="007C3060" w:rsidRDefault="000A2A2B" w:rsidP="007C3060">
            <w:r w:rsidRPr="007C3060">
              <w:t>47 500 000</w:t>
            </w:r>
          </w:p>
        </w:tc>
      </w:tr>
      <w:tr w:rsidR="004B729E" w:rsidRPr="007C3060" w14:paraId="2CD72DA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2C86E93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EAE63D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338D5B2" w14:textId="77777777" w:rsidR="000A2A2B" w:rsidRPr="007C3060" w:rsidRDefault="000A2A2B" w:rsidP="007C3060">
            <w:r w:rsidRPr="007C3060">
              <w:t>fra kr 345 519 000 til kr 298 019 000</w:t>
            </w:r>
          </w:p>
        </w:tc>
        <w:tc>
          <w:tcPr>
            <w:tcW w:w="1717" w:type="dxa"/>
            <w:tcBorders>
              <w:top w:val="nil"/>
              <w:left w:val="nil"/>
              <w:bottom w:val="nil"/>
              <w:right w:val="nil"/>
            </w:tcBorders>
            <w:tcMar>
              <w:top w:w="128" w:type="dxa"/>
              <w:left w:w="43" w:type="dxa"/>
              <w:bottom w:w="43" w:type="dxa"/>
              <w:right w:w="43" w:type="dxa"/>
            </w:tcMar>
            <w:vAlign w:val="bottom"/>
          </w:tcPr>
          <w:p w14:paraId="066AD60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BA24FAB" w14:textId="77777777" w:rsidR="000A2A2B" w:rsidRPr="007C3060" w:rsidRDefault="000A2A2B" w:rsidP="007C3060"/>
        </w:tc>
      </w:tr>
      <w:tr w:rsidR="004B729E" w:rsidRPr="007C3060" w14:paraId="18E70DA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55FE89E0" w14:textId="77777777" w:rsidR="000A2A2B" w:rsidRPr="007C3060" w:rsidRDefault="000A2A2B" w:rsidP="007C3060">
            <w:r w:rsidRPr="007C3060">
              <w:t>2460</w:t>
            </w:r>
          </w:p>
        </w:tc>
        <w:tc>
          <w:tcPr>
            <w:tcW w:w="992" w:type="dxa"/>
            <w:tcBorders>
              <w:top w:val="nil"/>
              <w:left w:val="nil"/>
              <w:bottom w:val="nil"/>
              <w:right w:val="nil"/>
            </w:tcBorders>
            <w:tcMar>
              <w:top w:w="128" w:type="dxa"/>
              <w:left w:w="43" w:type="dxa"/>
              <w:bottom w:w="43" w:type="dxa"/>
              <w:right w:w="123" w:type="dxa"/>
            </w:tcMar>
          </w:tcPr>
          <w:p w14:paraId="20FC310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5F21E3C" w14:textId="77777777" w:rsidR="000A2A2B" w:rsidRPr="007C3060" w:rsidRDefault="000A2A2B" w:rsidP="007C3060">
            <w:r w:rsidRPr="007C3060">
              <w:t>Eksportfinansiering Norge:</w:t>
            </w:r>
          </w:p>
        </w:tc>
        <w:tc>
          <w:tcPr>
            <w:tcW w:w="1717" w:type="dxa"/>
            <w:tcBorders>
              <w:top w:val="nil"/>
              <w:left w:val="nil"/>
              <w:bottom w:val="nil"/>
              <w:right w:val="nil"/>
            </w:tcBorders>
            <w:tcMar>
              <w:top w:w="128" w:type="dxa"/>
              <w:left w:w="43" w:type="dxa"/>
              <w:bottom w:w="43" w:type="dxa"/>
              <w:right w:w="43" w:type="dxa"/>
            </w:tcMar>
            <w:vAlign w:val="bottom"/>
          </w:tcPr>
          <w:p w14:paraId="347E8FD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66196E7" w14:textId="77777777" w:rsidR="000A2A2B" w:rsidRPr="007C3060" w:rsidRDefault="000A2A2B" w:rsidP="007C3060"/>
        </w:tc>
      </w:tr>
      <w:tr w:rsidR="004B729E" w:rsidRPr="007C3060" w14:paraId="6C5FA9B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7303DC0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61D6F0E" w14:textId="77777777" w:rsidR="000A2A2B" w:rsidRPr="007C3060" w:rsidRDefault="000A2A2B" w:rsidP="007C3060">
            <w:r w:rsidRPr="007C3060">
              <w:t>24</w:t>
            </w:r>
          </w:p>
        </w:tc>
        <w:tc>
          <w:tcPr>
            <w:tcW w:w="4819" w:type="dxa"/>
            <w:tcBorders>
              <w:top w:val="nil"/>
              <w:left w:val="nil"/>
              <w:bottom w:val="nil"/>
              <w:right w:val="nil"/>
            </w:tcBorders>
            <w:tcMar>
              <w:top w:w="128" w:type="dxa"/>
              <w:left w:w="43" w:type="dxa"/>
              <w:bottom w:w="43" w:type="dxa"/>
              <w:right w:w="43" w:type="dxa"/>
            </w:tcMar>
            <w:vAlign w:val="bottom"/>
          </w:tcPr>
          <w:p w14:paraId="623A5D00" w14:textId="77777777" w:rsidR="000A2A2B" w:rsidRPr="007C3060" w:rsidRDefault="000A2A2B" w:rsidP="007C3060">
            <w:r w:rsidRPr="007C3060">
              <w:t xml:space="preserve">Driftsresultat: </w:t>
            </w:r>
          </w:p>
        </w:tc>
        <w:tc>
          <w:tcPr>
            <w:tcW w:w="1717" w:type="dxa"/>
            <w:tcBorders>
              <w:top w:val="nil"/>
              <w:left w:val="nil"/>
              <w:bottom w:val="nil"/>
              <w:right w:val="nil"/>
            </w:tcBorders>
            <w:tcMar>
              <w:top w:w="128" w:type="dxa"/>
              <w:left w:w="43" w:type="dxa"/>
              <w:bottom w:w="43" w:type="dxa"/>
              <w:right w:w="43" w:type="dxa"/>
            </w:tcMar>
            <w:vAlign w:val="bottom"/>
          </w:tcPr>
          <w:p w14:paraId="740EBF0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4C2B326" w14:textId="77777777" w:rsidR="000A2A2B" w:rsidRPr="007C3060" w:rsidRDefault="000A2A2B" w:rsidP="007C3060"/>
        </w:tc>
      </w:tr>
      <w:tr w:rsidR="004B729E" w:rsidRPr="007C3060" w14:paraId="7805B43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2CFEEDD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AF7C7B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EB4C90A" w14:textId="77777777" w:rsidR="000A2A2B" w:rsidRPr="007C3060" w:rsidRDefault="000A2A2B" w:rsidP="007C3060">
            <w:r w:rsidRPr="007C3060">
              <w:t xml:space="preserve">1 Driftsinntekter </w:t>
            </w:r>
          </w:p>
        </w:tc>
        <w:tc>
          <w:tcPr>
            <w:tcW w:w="1717" w:type="dxa"/>
            <w:tcBorders>
              <w:top w:val="nil"/>
              <w:left w:val="nil"/>
              <w:bottom w:val="nil"/>
              <w:right w:val="nil"/>
            </w:tcBorders>
            <w:tcMar>
              <w:top w:w="128" w:type="dxa"/>
              <w:left w:w="43" w:type="dxa"/>
              <w:bottom w:w="43" w:type="dxa"/>
              <w:right w:w="43" w:type="dxa"/>
            </w:tcMar>
            <w:vAlign w:val="bottom"/>
          </w:tcPr>
          <w:p w14:paraId="18914227" w14:textId="447391A5" w:rsidR="000A2A2B" w:rsidRPr="007C3060" w:rsidRDefault="000A2A2B" w:rsidP="007C3060">
            <w:r w:rsidRPr="007C3060">
              <w:t>- 226 600 000</w:t>
            </w:r>
          </w:p>
        </w:tc>
        <w:tc>
          <w:tcPr>
            <w:tcW w:w="1969" w:type="dxa"/>
            <w:tcBorders>
              <w:top w:val="nil"/>
              <w:left w:val="nil"/>
              <w:bottom w:val="nil"/>
              <w:right w:val="nil"/>
            </w:tcBorders>
            <w:tcMar>
              <w:top w:w="128" w:type="dxa"/>
              <w:left w:w="43" w:type="dxa"/>
              <w:bottom w:w="43" w:type="dxa"/>
              <w:right w:w="43" w:type="dxa"/>
            </w:tcMar>
            <w:vAlign w:val="bottom"/>
          </w:tcPr>
          <w:p w14:paraId="17A38A84" w14:textId="77777777" w:rsidR="000A2A2B" w:rsidRPr="007C3060" w:rsidRDefault="000A2A2B" w:rsidP="007C3060"/>
        </w:tc>
      </w:tr>
      <w:tr w:rsidR="004B729E" w:rsidRPr="007C3060" w14:paraId="1C54A5A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0DDF2F5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6271D2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5963C21" w14:textId="20A731CC" w:rsidR="000A2A2B" w:rsidRPr="007C3060" w:rsidRDefault="000A2A2B" w:rsidP="007C3060">
            <w:r w:rsidRPr="007C3060">
              <w:t>2 Driftsutgifter, o</w:t>
            </w:r>
            <w:r w:rsidRPr="007C3060">
              <w:rPr>
                <w:rStyle w:val="kursiv"/>
              </w:rPr>
              <w:t xml:space="preserve">verslagsbevilgning </w:t>
            </w:r>
            <w:r w:rsidRPr="007C3060">
              <w:rPr>
                <w:rStyle w:val="kursiv"/>
              </w:rPr>
              <w:tab/>
            </w:r>
          </w:p>
        </w:tc>
        <w:tc>
          <w:tcPr>
            <w:tcW w:w="1717" w:type="dxa"/>
            <w:tcBorders>
              <w:top w:val="nil"/>
              <w:left w:val="nil"/>
              <w:bottom w:val="single" w:sz="4" w:space="0" w:color="000000"/>
              <w:right w:val="nil"/>
            </w:tcBorders>
            <w:tcMar>
              <w:top w:w="128" w:type="dxa"/>
              <w:left w:w="43" w:type="dxa"/>
              <w:bottom w:w="43" w:type="dxa"/>
              <w:right w:w="43" w:type="dxa"/>
            </w:tcMar>
            <w:vAlign w:val="bottom"/>
          </w:tcPr>
          <w:p w14:paraId="4F8DAB75" w14:textId="77777777" w:rsidR="000A2A2B" w:rsidRPr="007C3060" w:rsidRDefault="000A2A2B" w:rsidP="007C3060">
            <w:r w:rsidRPr="007C3060">
              <w:t>333 371 000</w:t>
            </w:r>
          </w:p>
        </w:tc>
        <w:tc>
          <w:tcPr>
            <w:tcW w:w="1969" w:type="dxa"/>
            <w:tcBorders>
              <w:top w:val="nil"/>
              <w:left w:val="nil"/>
              <w:bottom w:val="nil"/>
              <w:right w:val="nil"/>
            </w:tcBorders>
            <w:tcMar>
              <w:top w:w="128" w:type="dxa"/>
              <w:left w:w="43" w:type="dxa"/>
              <w:bottom w:w="43" w:type="dxa"/>
              <w:right w:w="43" w:type="dxa"/>
            </w:tcMar>
            <w:vAlign w:val="bottom"/>
          </w:tcPr>
          <w:p w14:paraId="08F78FCF" w14:textId="77777777" w:rsidR="000A2A2B" w:rsidRPr="007C3060" w:rsidRDefault="000A2A2B" w:rsidP="007C3060"/>
        </w:tc>
      </w:tr>
      <w:tr w:rsidR="004B729E" w:rsidRPr="007C3060" w14:paraId="55459FF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vAlign w:val="bottom"/>
          </w:tcPr>
          <w:p w14:paraId="7664E7D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81FF97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DB1ADD6" w14:textId="77777777" w:rsidR="000A2A2B" w:rsidRPr="007C3060" w:rsidRDefault="000A2A2B" w:rsidP="007C3060"/>
        </w:tc>
        <w:tc>
          <w:tcPr>
            <w:tcW w:w="1717" w:type="dxa"/>
            <w:tcBorders>
              <w:top w:val="single" w:sz="4" w:space="0" w:color="000000"/>
              <w:left w:val="nil"/>
              <w:bottom w:val="nil"/>
              <w:right w:val="nil"/>
            </w:tcBorders>
            <w:tcMar>
              <w:top w:w="128" w:type="dxa"/>
              <w:left w:w="43" w:type="dxa"/>
              <w:bottom w:w="43" w:type="dxa"/>
              <w:right w:w="43" w:type="dxa"/>
            </w:tcMar>
            <w:vAlign w:val="bottom"/>
          </w:tcPr>
          <w:p w14:paraId="4466A44A" w14:textId="0A2F57C7" w:rsidR="000A2A2B" w:rsidRPr="007C3060" w:rsidRDefault="000A2A2B" w:rsidP="007C3060">
            <w:r w:rsidRPr="007C3060">
              <w:t>106 771 000</w:t>
            </w:r>
          </w:p>
        </w:tc>
        <w:tc>
          <w:tcPr>
            <w:tcW w:w="1969" w:type="dxa"/>
            <w:tcBorders>
              <w:top w:val="nil"/>
              <w:left w:val="nil"/>
              <w:bottom w:val="nil"/>
              <w:right w:val="nil"/>
            </w:tcBorders>
            <w:tcMar>
              <w:top w:w="128" w:type="dxa"/>
              <w:left w:w="43" w:type="dxa"/>
              <w:bottom w:w="43" w:type="dxa"/>
              <w:right w:w="43" w:type="dxa"/>
            </w:tcMar>
            <w:vAlign w:val="bottom"/>
          </w:tcPr>
          <w:p w14:paraId="30B9718B" w14:textId="77777777" w:rsidR="000A2A2B" w:rsidRPr="007C3060" w:rsidRDefault="000A2A2B" w:rsidP="007C3060"/>
        </w:tc>
      </w:tr>
      <w:tr w:rsidR="004B729E" w:rsidRPr="007C3060" w14:paraId="7536A54E"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6B17731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43" w:type="dxa"/>
            </w:tcMar>
            <w:vAlign w:val="bottom"/>
          </w:tcPr>
          <w:p w14:paraId="7DA8274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6F8BA45" w14:textId="77777777" w:rsidR="000A2A2B" w:rsidRPr="007C3060" w:rsidRDefault="000A2A2B" w:rsidP="007C3060"/>
        </w:tc>
        <w:tc>
          <w:tcPr>
            <w:tcW w:w="1717" w:type="dxa"/>
            <w:tcBorders>
              <w:top w:val="single" w:sz="4" w:space="0" w:color="000000"/>
              <w:left w:val="nil"/>
              <w:bottom w:val="nil"/>
              <w:right w:val="nil"/>
            </w:tcBorders>
            <w:tcMar>
              <w:top w:w="128" w:type="dxa"/>
              <w:left w:w="43" w:type="dxa"/>
              <w:bottom w:w="43" w:type="dxa"/>
              <w:right w:w="43" w:type="dxa"/>
            </w:tcMar>
            <w:vAlign w:val="bottom"/>
          </w:tcPr>
          <w:p w14:paraId="7F0EC84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52706A4" w14:textId="77777777" w:rsidR="000A2A2B" w:rsidRPr="007C3060" w:rsidRDefault="000A2A2B" w:rsidP="007C3060"/>
        </w:tc>
      </w:tr>
      <w:tr w:rsidR="004B729E" w:rsidRPr="007C3060" w14:paraId="44C0545C" w14:textId="77777777" w:rsidTr="00414C2B">
        <w:trPr>
          <w:trHeight w:val="380"/>
          <w:jc w:val="right"/>
        </w:trPr>
        <w:tc>
          <w:tcPr>
            <w:tcW w:w="969" w:type="dxa"/>
            <w:tcBorders>
              <w:top w:val="single" w:sz="4" w:space="0" w:color="000000"/>
              <w:left w:val="nil"/>
              <w:bottom w:val="nil"/>
              <w:right w:val="nil"/>
            </w:tcBorders>
            <w:tcMar>
              <w:top w:w="128" w:type="dxa"/>
              <w:left w:w="43" w:type="dxa"/>
              <w:bottom w:w="43" w:type="dxa"/>
              <w:right w:w="123" w:type="dxa"/>
            </w:tcMar>
            <w:vAlign w:val="bottom"/>
          </w:tcPr>
          <w:p w14:paraId="4C70988C" w14:textId="77777777" w:rsidR="000A2A2B" w:rsidRPr="007C3060" w:rsidRDefault="000A2A2B" w:rsidP="007C3060">
            <w:r w:rsidRPr="007C3060">
              <w:t>2470</w:t>
            </w:r>
          </w:p>
        </w:tc>
        <w:tc>
          <w:tcPr>
            <w:tcW w:w="992" w:type="dxa"/>
            <w:tcBorders>
              <w:top w:val="single" w:sz="4" w:space="0" w:color="000000"/>
              <w:left w:val="nil"/>
              <w:bottom w:val="nil"/>
              <w:right w:val="nil"/>
            </w:tcBorders>
            <w:tcMar>
              <w:top w:w="128" w:type="dxa"/>
              <w:left w:w="43" w:type="dxa"/>
              <w:bottom w:w="43" w:type="dxa"/>
              <w:right w:w="123" w:type="dxa"/>
            </w:tcMar>
          </w:tcPr>
          <w:p w14:paraId="16990C67" w14:textId="77777777" w:rsidR="000A2A2B" w:rsidRPr="007C3060" w:rsidRDefault="000A2A2B" w:rsidP="007C3060"/>
        </w:tc>
        <w:tc>
          <w:tcPr>
            <w:tcW w:w="4819" w:type="dxa"/>
            <w:tcBorders>
              <w:top w:val="single" w:sz="4" w:space="0" w:color="000000"/>
              <w:left w:val="nil"/>
              <w:bottom w:val="nil"/>
              <w:right w:val="nil"/>
            </w:tcBorders>
            <w:tcMar>
              <w:top w:w="128" w:type="dxa"/>
              <w:left w:w="43" w:type="dxa"/>
              <w:bottom w:w="43" w:type="dxa"/>
              <w:right w:w="43" w:type="dxa"/>
            </w:tcMar>
            <w:vAlign w:val="bottom"/>
          </w:tcPr>
          <w:p w14:paraId="087D8138" w14:textId="77777777" w:rsidR="000A2A2B" w:rsidRPr="007C3060" w:rsidRDefault="000A2A2B" w:rsidP="007C3060">
            <w:r w:rsidRPr="007C3060">
              <w:t>Statens pensjonskasse:</w:t>
            </w:r>
          </w:p>
        </w:tc>
        <w:tc>
          <w:tcPr>
            <w:tcW w:w="1717" w:type="dxa"/>
            <w:tcBorders>
              <w:top w:val="single" w:sz="4" w:space="0" w:color="000000"/>
              <w:left w:val="nil"/>
              <w:bottom w:val="nil"/>
              <w:right w:val="nil"/>
            </w:tcBorders>
            <w:tcMar>
              <w:top w:w="128" w:type="dxa"/>
              <w:left w:w="43" w:type="dxa"/>
              <w:bottom w:w="43" w:type="dxa"/>
              <w:right w:w="43" w:type="dxa"/>
            </w:tcMar>
            <w:vAlign w:val="bottom"/>
          </w:tcPr>
          <w:p w14:paraId="51D304DA" w14:textId="77777777" w:rsidR="000A2A2B" w:rsidRPr="007C3060" w:rsidRDefault="000A2A2B" w:rsidP="007C3060"/>
        </w:tc>
        <w:tc>
          <w:tcPr>
            <w:tcW w:w="1969" w:type="dxa"/>
            <w:tcBorders>
              <w:top w:val="single" w:sz="4" w:space="0" w:color="000000"/>
              <w:left w:val="nil"/>
              <w:bottom w:val="nil"/>
              <w:right w:val="nil"/>
            </w:tcBorders>
            <w:tcMar>
              <w:top w:w="128" w:type="dxa"/>
              <w:left w:w="43" w:type="dxa"/>
              <w:bottom w:w="43" w:type="dxa"/>
              <w:right w:w="43" w:type="dxa"/>
            </w:tcMar>
            <w:vAlign w:val="bottom"/>
          </w:tcPr>
          <w:p w14:paraId="276E1249" w14:textId="77777777" w:rsidR="000A2A2B" w:rsidRPr="007C3060" w:rsidRDefault="000A2A2B" w:rsidP="007C3060"/>
        </w:tc>
      </w:tr>
      <w:tr w:rsidR="004B729E" w:rsidRPr="007C3060" w14:paraId="4AF20561"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21711F1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BC2B51D" w14:textId="77777777" w:rsidR="000A2A2B" w:rsidRPr="007C3060" w:rsidRDefault="000A2A2B" w:rsidP="007C3060">
            <w:r w:rsidRPr="007C3060">
              <w:t>24</w:t>
            </w:r>
          </w:p>
        </w:tc>
        <w:tc>
          <w:tcPr>
            <w:tcW w:w="4819" w:type="dxa"/>
            <w:tcBorders>
              <w:top w:val="nil"/>
              <w:left w:val="nil"/>
              <w:bottom w:val="nil"/>
              <w:right w:val="nil"/>
            </w:tcBorders>
            <w:tcMar>
              <w:top w:w="128" w:type="dxa"/>
              <w:left w:w="43" w:type="dxa"/>
              <w:bottom w:w="43" w:type="dxa"/>
              <w:right w:w="43" w:type="dxa"/>
            </w:tcMar>
            <w:vAlign w:val="bottom"/>
          </w:tcPr>
          <w:p w14:paraId="47AAC166" w14:textId="77777777" w:rsidR="000A2A2B" w:rsidRPr="007C3060" w:rsidRDefault="000A2A2B" w:rsidP="007C3060">
            <w:r w:rsidRPr="007C3060">
              <w:t>Driftsresultat:</w:t>
            </w:r>
          </w:p>
        </w:tc>
        <w:tc>
          <w:tcPr>
            <w:tcW w:w="1717" w:type="dxa"/>
            <w:tcBorders>
              <w:top w:val="nil"/>
              <w:left w:val="nil"/>
              <w:bottom w:val="nil"/>
              <w:right w:val="nil"/>
            </w:tcBorders>
            <w:tcMar>
              <w:top w:w="128" w:type="dxa"/>
              <w:left w:w="43" w:type="dxa"/>
              <w:bottom w:w="43" w:type="dxa"/>
              <w:right w:w="43" w:type="dxa"/>
            </w:tcMar>
            <w:vAlign w:val="bottom"/>
          </w:tcPr>
          <w:p w14:paraId="7CCA31C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3E59E2C" w14:textId="77777777" w:rsidR="000A2A2B" w:rsidRPr="007C3060" w:rsidRDefault="000A2A2B" w:rsidP="007C3060"/>
        </w:tc>
      </w:tr>
      <w:tr w:rsidR="004B729E" w:rsidRPr="007C3060" w14:paraId="5B1A2CAB"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41C53CC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6B925F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7F12FE5" w14:textId="77777777" w:rsidR="000A2A2B" w:rsidRPr="007C3060" w:rsidRDefault="000A2A2B" w:rsidP="007C3060">
            <w:r w:rsidRPr="007C3060">
              <w:t xml:space="preserve">1 Driftsinntekter, </w:t>
            </w:r>
            <w:r w:rsidRPr="007C3060">
              <w:rPr>
                <w:rStyle w:val="kursiv"/>
              </w:rPr>
              <w:t>overslagsbevilgning</w:t>
            </w:r>
          </w:p>
        </w:tc>
        <w:tc>
          <w:tcPr>
            <w:tcW w:w="1717" w:type="dxa"/>
            <w:tcBorders>
              <w:top w:val="nil"/>
              <w:left w:val="nil"/>
              <w:bottom w:val="nil"/>
              <w:right w:val="nil"/>
            </w:tcBorders>
            <w:tcMar>
              <w:top w:w="128" w:type="dxa"/>
              <w:left w:w="43" w:type="dxa"/>
              <w:bottom w:w="43" w:type="dxa"/>
              <w:right w:w="43" w:type="dxa"/>
            </w:tcMar>
            <w:vAlign w:val="bottom"/>
          </w:tcPr>
          <w:p w14:paraId="0AC73784" w14:textId="2348682F" w:rsidR="000A2A2B" w:rsidRPr="007C3060" w:rsidRDefault="000A2A2B" w:rsidP="007C3060">
            <w:r w:rsidRPr="007C3060">
              <w:t xml:space="preserve"> -800 000 000</w:t>
            </w:r>
          </w:p>
        </w:tc>
        <w:tc>
          <w:tcPr>
            <w:tcW w:w="1969" w:type="dxa"/>
            <w:tcBorders>
              <w:top w:val="nil"/>
              <w:left w:val="nil"/>
              <w:bottom w:val="nil"/>
              <w:right w:val="nil"/>
            </w:tcBorders>
            <w:tcMar>
              <w:top w:w="128" w:type="dxa"/>
              <w:left w:w="43" w:type="dxa"/>
              <w:bottom w:w="43" w:type="dxa"/>
              <w:right w:w="43" w:type="dxa"/>
            </w:tcMar>
            <w:vAlign w:val="bottom"/>
          </w:tcPr>
          <w:p w14:paraId="17A975D5" w14:textId="77777777" w:rsidR="000A2A2B" w:rsidRPr="007C3060" w:rsidRDefault="000A2A2B" w:rsidP="007C3060"/>
        </w:tc>
      </w:tr>
      <w:tr w:rsidR="004B729E" w:rsidRPr="007C3060" w14:paraId="12E56F0C"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1630701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B49FA2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00D858D" w14:textId="6C671D30" w:rsidR="000A2A2B" w:rsidRPr="007C3060" w:rsidRDefault="000A2A2B" w:rsidP="007C3060">
            <w:r w:rsidRPr="007C3060">
              <w:t xml:space="preserve">2 Driftsutgifter, </w:t>
            </w:r>
            <w:r w:rsidRPr="007C3060">
              <w:rPr>
                <w:rStyle w:val="kursiv"/>
              </w:rPr>
              <w:t>overslagsbevilgning</w:t>
            </w:r>
          </w:p>
        </w:tc>
        <w:tc>
          <w:tcPr>
            <w:tcW w:w="1717" w:type="dxa"/>
            <w:tcBorders>
              <w:top w:val="nil"/>
              <w:left w:val="nil"/>
              <w:bottom w:val="nil"/>
              <w:right w:val="nil"/>
            </w:tcBorders>
            <w:tcMar>
              <w:top w:w="128" w:type="dxa"/>
              <w:left w:w="43" w:type="dxa"/>
              <w:bottom w:w="43" w:type="dxa"/>
              <w:right w:w="43" w:type="dxa"/>
            </w:tcMar>
            <w:vAlign w:val="bottom"/>
          </w:tcPr>
          <w:p w14:paraId="61C94996" w14:textId="77777777" w:rsidR="000A2A2B" w:rsidRPr="007C3060" w:rsidRDefault="000A2A2B" w:rsidP="007C3060">
            <w:r w:rsidRPr="007C3060">
              <w:t>625 000 000</w:t>
            </w:r>
          </w:p>
        </w:tc>
        <w:tc>
          <w:tcPr>
            <w:tcW w:w="1969" w:type="dxa"/>
            <w:tcBorders>
              <w:top w:val="nil"/>
              <w:left w:val="nil"/>
              <w:bottom w:val="nil"/>
              <w:right w:val="nil"/>
            </w:tcBorders>
            <w:tcMar>
              <w:top w:w="128" w:type="dxa"/>
              <w:left w:w="43" w:type="dxa"/>
              <w:bottom w:w="43" w:type="dxa"/>
              <w:right w:w="43" w:type="dxa"/>
            </w:tcMar>
            <w:vAlign w:val="bottom"/>
          </w:tcPr>
          <w:p w14:paraId="0218F7C2" w14:textId="77777777" w:rsidR="000A2A2B" w:rsidRPr="007C3060" w:rsidRDefault="000A2A2B" w:rsidP="007C3060"/>
        </w:tc>
      </w:tr>
      <w:tr w:rsidR="004B729E" w:rsidRPr="007C3060" w14:paraId="7649C196"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06E1E13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28A2B9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9B6F834" w14:textId="511FF753" w:rsidR="000A2A2B" w:rsidRPr="007C3060" w:rsidRDefault="000A2A2B" w:rsidP="007C3060">
            <w:r w:rsidRPr="007C3060">
              <w:t xml:space="preserve">3 Avskrivninger </w:t>
            </w:r>
          </w:p>
        </w:tc>
        <w:tc>
          <w:tcPr>
            <w:tcW w:w="1717" w:type="dxa"/>
            <w:tcBorders>
              <w:top w:val="nil"/>
              <w:left w:val="nil"/>
              <w:bottom w:val="nil"/>
              <w:right w:val="nil"/>
            </w:tcBorders>
            <w:tcMar>
              <w:top w:w="128" w:type="dxa"/>
              <w:left w:w="43" w:type="dxa"/>
              <w:bottom w:w="43" w:type="dxa"/>
              <w:right w:w="43" w:type="dxa"/>
            </w:tcMar>
            <w:vAlign w:val="bottom"/>
          </w:tcPr>
          <w:p w14:paraId="6B5CAD24" w14:textId="77777777" w:rsidR="000A2A2B" w:rsidRPr="007C3060" w:rsidRDefault="000A2A2B" w:rsidP="007C3060">
            <w:r w:rsidRPr="007C3060">
              <w:t>100 000 000</w:t>
            </w:r>
          </w:p>
        </w:tc>
        <w:tc>
          <w:tcPr>
            <w:tcW w:w="1969" w:type="dxa"/>
            <w:tcBorders>
              <w:top w:val="nil"/>
              <w:left w:val="nil"/>
              <w:bottom w:val="nil"/>
              <w:right w:val="nil"/>
            </w:tcBorders>
            <w:tcMar>
              <w:top w:w="128" w:type="dxa"/>
              <w:left w:w="43" w:type="dxa"/>
              <w:bottom w:w="43" w:type="dxa"/>
              <w:right w:w="43" w:type="dxa"/>
            </w:tcMar>
            <w:vAlign w:val="bottom"/>
          </w:tcPr>
          <w:p w14:paraId="5D6B3E81" w14:textId="77777777" w:rsidR="000A2A2B" w:rsidRPr="007C3060" w:rsidRDefault="000A2A2B" w:rsidP="007C3060"/>
        </w:tc>
      </w:tr>
      <w:tr w:rsidR="004B729E" w:rsidRPr="007C3060" w14:paraId="2C8EB721"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069498D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DB7778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27205BB" w14:textId="49A66AB2" w:rsidR="000A2A2B" w:rsidRPr="007C3060" w:rsidRDefault="000A2A2B" w:rsidP="007C3060">
            <w:r w:rsidRPr="007C3060">
              <w:t xml:space="preserve">4 Renter av statens kapital </w:t>
            </w:r>
          </w:p>
        </w:tc>
        <w:tc>
          <w:tcPr>
            <w:tcW w:w="1717" w:type="dxa"/>
            <w:tcBorders>
              <w:top w:val="nil"/>
              <w:left w:val="nil"/>
              <w:bottom w:val="nil"/>
              <w:right w:val="nil"/>
            </w:tcBorders>
            <w:tcMar>
              <w:top w:w="128" w:type="dxa"/>
              <w:left w:w="43" w:type="dxa"/>
              <w:bottom w:w="43" w:type="dxa"/>
              <w:right w:w="43" w:type="dxa"/>
            </w:tcMar>
            <w:vAlign w:val="bottom"/>
          </w:tcPr>
          <w:p w14:paraId="7B52C8E5" w14:textId="77777777" w:rsidR="000A2A2B" w:rsidRPr="007C3060" w:rsidRDefault="000A2A2B" w:rsidP="007C3060">
            <w:r w:rsidRPr="007C3060">
              <w:t>4 000 000</w:t>
            </w:r>
          </w:p>
        </w:tc>
        <w:tc>
          <w:tcPr>
            <w:tcW w:w="1969" w:type="dxa"/>
            <w:tcBorders>
              <w:top w:val="nil"/>
              <w:left w:val="nil"/>
              <w:bottom w:val="nil"/>
              <w:right w:val="nil"/>
            </w:tcBorders>
            <w:tcMar>
              <w:top w:w="128" w:type="dxa"/>
              <w:left w:w="43" w:type="dxa"/>
              <w:bottom w:w="43" w:type="dxa"/>
              <w:right w:w="43" w:type="dxa"/>
            </w:tcMar>
            <w:vAlign w:val="bottom"/>
          </w:tcPr>
          <w:p w14:paraId="31F203F6" w14:textId="77777777" w:rsidR="000A2A2B" w:rsidRPr="007C3060" w:rsidRDefault="000A2A2B" w:rsidP="007C3060"/>
        </w:tc>
      </w:tr>
      <w:tr w:rsidR="004B729E" w:rsidRPr="007C3060" w14:paraId="4774C5F1"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7A1440C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6052F2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FEF2C42" w14:textId="1A3D0634" w:rsidR="000A2A2B" w:rsidRPr="007C3060" w:rsidRDefault="000A2A2B" w:rsidP="007C3060">
            <w:r w:rsidRPr="007C3060">
              <w:t xml:space="preserve">5 Til investeringsformål </w:t>
            </w:r>
          </w:p>
        </w:tc>
        <w:tc>
          <w:tcPr>
            <w:tcW w:w="1717" w:type="dxa"/>
            <w:tcBorders>
              <w:top w:val="nil"/>
              <w:left w:val="nil"/>
              <w:bottom w:val="nil"/>
              <w:right w:val="nil"/>
            </w:tcBorders>
            <w:tcMar>
              <w:top w:w="128" w:type="dxa"/>
              <w:left w:w="43" w:type="dxa"/>
              <w:bottom w:w="43" w:type="dxa"/>
              <w:right w:w="43" w:type="dxa"/>
            </w:tcMar>
            <w:vAlign w:val="bottom"/>
          </w:tcPr>
          <w:p w14:paraId="5581BD43" w14:textId="77777777" w:rsidR="000A2A2B" w:rsidRPr="007C3060" w:rsidRDefault="000A2A2B" w:rsidP="007C3060">
            <w:r w:rsidRPr="007C3060">
              <w:t>76 000 000</w:t>
            </w:r>
          </w:p>
        </w:tc>
        <w:tc>
          <w:tcPr>
            <w:tcW w:w="1969" w:type="dxa"/>
            <w:tcBorders>
              <w:top w:val="nil"/>
              <w:left w:val="nil"/>
              <w:bottom w:val="nil"/>
              <w:right w:val="nil"/>
            </w:tcBorders>
            <w:tcMar>
              <w:top w:w="128" w:type="dxa"/>
              <w:left w:w="43" w:type="dxa"/>
              <w:bottom w:w="43" w:type="dxa"/>
              <w:right w:w="43" w:type="dxa"/>
            </w:tcMar>
            <w:vAlign w:val="bottom"/>
          </w:tcPr>
          <w:p w14:paraId="6D4692A5" w14:textId="77777777" w:rsidR="000A2A2B" w:rsidRPr="007C3060" w:rsidRDefault="000A2A2B" w:rsidP="007C3060"/>
        </w:tc>
      </w:tr>
      <w:tr w:rsidR="004B729E" w:rsidRPr="007C3060" w14:paraId="3B298679"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65DA8E1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C89AC2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89EE715" w14:textId="77777777" w:rsidR="000A2A2B" w:rsidRPr="007C3060" w:rsidRDefault="000A2A2B" w:rsidP="007C3060">
            <w:r w:rsidRPr="007C3060">
              <w:t xml:space="preserve">6 Til reguleringsfond </w:t>
            </w:r>
            <w:r w:rsidRPr="007C3060">
              <w:tab/>
            </w:r>
          </w:p>
        </w:tc>
        <w:tc>
          <w:tcPr>
            <w:tcW w:w="1717" w:type="dxa"/>
            <w:tcBorders>
              <w:top w:val="nil"/>
              <w:left w:val="nil"/>
              <w:bottom w:val="single" w:sz="4" w:space="0" w:color="000000"/>
              <w:right w:val="nil"/>
            </w:tcBorders>
            <w:tcMar>
              <w:top w:w="128" w:type="dxa"/>
              <w:left w:w="43" w:type="dxa"/>
              <w:bottom w:w="43" w:type="dxa"/>
              <w:right w:w="43" w:type="dxa"/>
            </w:tcMar>
            <w:vAlign w:val="bottom"/>
          </w:tcPr>
          <w:p w14:paraId="2313D4F7" w14:textId="77777777" w:rsidR="000A2A2B" w:rsidRPr="007C3060" w:rsidRDefault="000A2A2B" w:rsidP="007C3060">
            <w:r w:rsidRPr="007C3060">
              <w:t>- 25 000 000</w:t>
            </w:r>
          </w:p>
        </w:tc>
        <w:tc>
          <w:tcPr>
            <w:tcW w:w="1969" w:type="dxa"/>
            <w:tcBorders>
              <w:top w:val="nil"/>
              <w:left w:val="nil"/>
              <w:bottom w:val="nil"/>
              <w:right w:val="nil"/>
            </w:tcBorders>
            <w:tcMar>
              <w:top w:w="128" w:type="dxa"/>
              <w:left w:w="43" w:type="dxa"/>
              <w:bottom w:w="43" w:type="dxa"/>
              <w:right w:w="43" w:type="dxa"/>
            </w:tcMar>
            <w:vAlign w:val="bottom"/>
          </w:tcPr>
          <w:p w14:paraId="4ADDD462" w14:textId="77777777" w:rsidR="000A2A2B" w:rsidRPr="007C3060" w:rsidRDefault="000A2A2B" w:rsidP="007C3060"/>
        </w:tc>
      </w:tr>
      <w:tr w:rsidR="004B729E" w:rsidRPr="007C3060" w14:paraId="06F8D9EC"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4318A5C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39B8FC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1E723F4" w14:textId="77777777" w:rsidR="000A2A2B" w:rsidRPr="007C3060" w:rsidRDefault="000A2A2B" w:rsidP="007C3060"/>
        </w:tc>
        <w:tc>
          <w:tcPr>
            <w:tcW w:w="1717" w:type="dxa"/>
            <w:tcBorders>
              <w:top w:val="nil"/>
              <w:left w:val="nil"/>
              <w:bottom w:val="single" w:sz="4" w:space="0" w:color="000000"/>
              <w:right w:val="nil"/>
            </w:tcBorders>
            <w:tcMar>
              <w:top w:w="128" w:type="dxa"/>
              <w:left w:w="43" w:type="dxa"/>
              <w:bottom w:w="43" w:type="dxa"/>
              <w:right w:w="43" w:type="dxa"/>
            </w:tcMar>
            <w:vAlign w:val="bottom"/>
          </w:tcPr>
          <w:p w14:paraId="3B5B01A3" w14:textId="3223C52B" w:rsidR="000A2A2B" w:rsidRPr="007C3060" w:rsidRDefault="000A2A2B" w:rsidP="007C3060">
            <w:r w:rsidRPr="007C3060">
              <w:t>- 20 000 000</w:t>
            </w:r>
          </w:p>
        </w:tc>
        <w:tc>
          <w:tcPr>
            <w:tcW w:w="1969" w:type="dxa"/>
            <w:tcBorders>
              <w:top w:val="nil"/>
              <w:left w:val="nil"/>
              <w:bottom w:val="nil"/>
              <w:right w:val="nil"/>
            </w:tcBorders>
            <w:tcMar>
              <w:top w:w="128" w:type="dxa"/>
              <w:left w:w="43" w:type="dxa"/>
              <w:bottom w:w="43" w:type="dxa"/>
              <w:right w:w="43" w:type="dxa"/>
            </w:tcMar>
            <w:vAlign w:val="bottom"/>
          </w:tcPr>
          <w:p w14:paraId="2D5A9452" w14:textId="77777777" w:rsidR="000A2A2B" w:rsidRPr="007C3060" w:rsidRDefault="000A2A2B" w:rsidP="007C3060"/>
        </w:tc>
      </w:tr>
      <w:tr w:rsidR="004B729E" w:rsidRPr="007C3060" w14:paraId="3D241AB4" w14:textId="77777777" w:rsidTr="00414C2B">
        <w:trPr>
          <w:trHeight w:val="640"/>
          <w:jc w:val="right"/>
        </w:trPr>
        <w:tc>
          <w:tcPr>
            <w:tcW w:w="969" w:type="dxa"/>
            <w:tcBorders>
              <w:top w:val="nil"/>
              <w:left w:val="nil"/>
              <w:bottom w:val="nil"/>
              <w:right w:val="nil"/>
            </w:tcBorders>
            <w:tcMar>
              <w:top w:w="128" w:type="dxa"/>
              <w:left w:w="43" w:type="dxa"/>
              <w:bottom w:w="43" w:type="dxa"/>
              <w:right w:w="43" w:type="dxa"/>
            </w:tcMar>
            <w:vAlign w:val="bottom"/>
          </w:tcPr>
          <w:p w14:paraId="13CCD4D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40D954B" w14:textId="77777777" w:rsidR="000A2A2B" w:rsidRPr="007C3060" w:rsidRDefault="000A2A2B" w:rsidP="007C3060">
            <w:r w:rsidRPr="007C3060">
              <w:t>45</w:t>
            </w:r>
          </w:p>
        </w:tc>
        <w:tc>
          <w:tcPr>
            <w:tcW w:w="4819" w:type="dxa"/>
            <w:tcBorders>
              <w:top w:val="nil"/>
              <w:left w:val="nil"/>
              <w:bottom w:val="nil"/>
              <w:right w:val="nil"/>
            </w:tcBorders>
            <w:tcMar>
              <w:top w:w="128" w:type="dxa"/>
              <w:left w:w="43" w:type="dxa"/>
              <w:bottom w:w="43" w:type="dxa"/>
              <w:right w:w="43" w:type="dxa"/>
            </w:tcMar>
            <w:vAlign w:val="bottom"/>
          </w:tcPr>
          <w:p w14:paraId="082534A4" w14:textId="214FD904" w:rsidR="000A2A2B" w:rsidRPr="007C3060" w:rsidRDefault="000A2A2B" w:rsidP="007C3060">
            <w:r w:rsidRPr="007C3060">
              <w:t xml:space="preserve">Større utstyrsanskaffelser og vedlikehold, </w:t>
            </w:r>
            <w:r w:rsidRPr="007C3060">
              <w:rPr>
                <w:rStyle w:val="kursiv"/>
              </w:rPr>
              <w:t>kan overføres</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16613B9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B38CD2E" w14:textId="77777777" w:rsidR="000A2A2B" w:rsidRPr="007C3060" w:rsidRDefault="000A2A2B" w:rsidP="007C3060">
            <w:r w:rsidRPr="007C3060">
              <w:t>21 000 000</w:t>
            </w:r>
          </w:p>
        </w:tc>
      </w:tr>
      <w:tr w:rsidR="004B729E" w:rsidRPr="007C3060" w14:paraId="1DD17371"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2D213FB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F9503A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2BADB4A" w14:textId="77777777" w:rsidR="000A2A2B" w:rsidRPr="007C3060" w:rsidRDefault="000A2A2B" w:rsidP="007C3060">
            <w:r w:rsidRPr="007C3060">
              <w:t>fra kr 178 960 000 til kr 199 960 000</w:t>
            </w:r>
          </w:p>
        </w:tc>
        <w:tc>
          <w:tcPr>
            <w:tcW w:w="1717" w:type="dxa"/>
            <w:tcBorders>
              <w:top w:val="nil"/>
              <w:left w:val="nil"/>
              <w:bottom w:val="nil"/>
              <w:right w:val="nil"/>
            </w:tcBorders>
            <w:tcMar>
              <w:top w:w="128" w:type="dxa"/>
              <w:left w:w="43" w:type="dxa"/>
              <w:bottom w:w="43" w:type="dxa"/>
              <w:right w:w="43" w:type="dxa"/>
            </w:tcMar>
            <w:vAlign w:val="bottom"/>
          </w:tcPr>
          <w:p w14:paraId="157B7ED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DBD2F6E" w14:textId="77777777" w:rsidR="000A2A2B" w:rsidRPr="007C3060" w:rsidRDefault="000A2A2B" w:rsidP="007C3060"/>
        </w:tc>
      </w:tr>
      <w:tr w:rsidR="004B729E" w:rsidRPr="007C3060" w14:paraId="4E706A33"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07467FC9" w14:textId="77777777" w:rsidR="000A2A2B" w:rsidRPr="007C3060" w:rsidRDefault="000A2A2B" w:rsidP="007C3060">
            <w:r w:rsidRPr="007C3060">
              <w:t>2530</w:t>
            </w:r>
          </w:p>
        </w:tc>
        <w:tc>
          <w:tcPr>
            <w:tcW w:w="992" w:type="dxa"/>
            <w:tcBorders>
              <w:top w:val="nil"/>
              <w:left w:val="nil"/>
              <w:bottom w:val="nil"/>
              <w:right w:val="nil"/>
            </w:tcBorders>
            <w:tcMar>
              <w:top w:w="128" w:type="dxa"/>
              <w:left w:w="43" w:type="dxa"/>
              <w:bottom w:w="43" w:type="dxa"/>
              <w:right w:w="123" w:type="dxa"/>
            </w:tcMar>
          </w:tcPr>
          <w:p w14:paraId="36A0EB4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66FEC65" w14:textId="77777777" w:rsidR="000A2A2B" w:rsidRPr="007C3060" w:rsidRDefault="000A2A2B" w:rsidP="007C3060">
            <w:r w:rsidRPr="007C3060">
              <w:t>Foreldrepenger:</w:t>
            </w:r>
          </w:p>
        </w:tc>
        <w:tc>
          <w:tcPr>
            <w:tcW w:w="1717" w:type="dxa"/>
            <w:tcBorders>
              <w:top w:val="nil"/>
              <w:left w:val="nil"/>
              <w:bottom w:val="nil"/>
              <w:right w:val="nil"/>
            </w:tcBorders>
            <w:tcMar>
              <w:top w:w="128" w:type="dxa"/>
              <w:left w:w="43" w:type="dxa"/>
              <w:bottom w:w="43" w:type="dxa"/>
              <w:right w:w="43" w:type="dxa"/>
            </w:tcMar>
            <w:vAlign w:val="bottom"/>
          </w:tcPr>
          <w:p w14:paraId="1ECCCF7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23FA381" w14:textId="77777777" w:rsidR="000A2A2B" w:rsidRPr="007C3060" w:rsidRDefault="000A2A2B" w:rsidP="007C3060"/>
        </w:tc>
      </w:tr>
      <w:tr w:rsidR="004B729E" w:rsidRPr="007C3060" w14:paraId="46D04017" w14:textId="77777777" w:rsidTr="00414C2B">
        <w:trPr>
          <w:trHeight w:val="640"/>
          <w:jc w:val="right"/>
        </w:trPr>
        <w:tc>
          <w:tcPr>
            <w:tcW w:w="969" w:type="dxa"/>
            <w:tcBorders>
              <w:top w:val="nil"/>
              <w:left w:val="nil"/>
              <w:bottom w:val="nil"/>
              <w:right w:val="nil"/>
            </w:tcBorders>
            <w:tcMar>
              <w:top w:w="128" w:type="dxa"/>
              <w:left w:w="43" w:type="dxa"/>
              <w:bottom w:w="43" w:type="dxa"/>
              <w:right w:w="43" w:type="dxa"/>
            </w:tcMar>
            <w:vAlign w:val="bottom"/>
          </w:tcPr>
          <w:p w14:paraId="49A6F44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4F71CA5"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3712A448" w14:textId="04B8A2EE" w:rsidR="000A2A2B" w:rsidRPr="007C3060" w:rsidRDefault="000A2A2B" w:rsidP="007C3060">
            <w:r w:rsidRPr="007C3060">
              <w:t xml:space="preserve">Foreldrepenger ved fødsel, </w:t>
            </w:r>
            <w:r w:rsidRPr="007C3060">
              <w:rPr>
                <w:rStyle w:val="kursiv"/>
              </w:rPr>
              <w:t>overslagsbevilgning</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61353CC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269FB08" w14:textId="77777777" w:rsidR="000A2A2B" w:rsidRPr="007C3060" w:rsidRDefault="000A2A2B" w:rsidP="007C3060">
            <w:r w:rsidRPr="007C3060">
              <w:t>950 000 000</w:t>
            </w:r>
          </w:p>
        </w:tc>
      </w:tr>
      <w:tr w:rsidR="004B729E" w:rsidRPr="007C3060" w14:paraId="442F6ACA"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3E37988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5E4767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8A2CA17" w14:textId="77777777" w:rsidR="000A2A2B" w:rsidRPr="007C3060" w:rsidRDefault="000A2A2B" w:rsidP="007C3060">
            <w:r w:rsidRPr="007C3060">
              <w:t>fra kr 27 500 000 000 til kr 28 450 000 000</w:t>
            </w:r>
          </w:p>
        </w:tc>
        <w:tc>
          <w:tcPr>
            <w:tcW w:w="1717" w:type="dxa"/>
            <w:tcBorders>
              <w:top w:val="nil"/>
              <w:left w:val="nil"/>
              <w:bottom w:val="nil"/>
              <w:right w:val="nil"/>
            </w:tcBorders>
            <w:tcMar>
              <w:top w:w="128" w:type="dxa"/>
              <w:left w:w="43" w:type="dxa"/>
              <w:bottom w:w="43" w:type="dxa"/>
              <w:right w:w="43" w:type="dxa"/>
            </w:tcMar>
            <w:vAlign w:val="bottom"/>
          </w:tcPr>
          <w:p w14:paraId="782FBA2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A067124" w14:textId="77777777" w:rsidR="000A2A2B" w:rsidRPr="007C3060" w:rsidRDefault="000A2A2B" w:rsidP="007C3060"/>
        </w:tc>
      </w:tr>
      <w:tr w:rsidR="004B729E" w:rsidRPr="007C3060" w14:paraId="0C9CA1FC" w14:textId="77777777" w:rsidTr="00414C2B">
        <w:trPr>
          <w:trHeight w:val="640"/>
          <w:jc w:val="right"/>
        </w:trPr>
        <w:tc>
          <w:tcPr>
            <w:tcW w:w="969" w:type="dxa"/>
            <w:tcBorders>
              <w:top w:val="nil"/>
              <w:left w:val="nil"/>
              <w:bottom w:val="nil"/>
              <w:right w:val="nil"/>
            </w:tcBorders>
            <w:tcMar>
              <w:top w:w="128" w:type="dxa"/>
              <w:left w:w="43" w:type="dxa"/>
              <w:bottom w:w="43" w:type="dxa"/>
              <w:right w:w="43" w:type="dxa"/>
            </w:tcMar>
          </w:tcPr>
          <w:p w14:paraId="6A2092C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EAB1256"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tcPr>
          <w:p w14:paraId="03EB62BC" w14:textId="6CAEBC8D" w:rsidR="000A2A2B" w:rsidRPr="007C3060" w:rsidRDefault="000A2A2B" w:rsidP="007C3060">
            <w:r w:rsidRPr="007C3060">
              <w:t xml:space="preserve">Engangsstønad ved fødsel og adopsjon, </w:t>
            </w:r>
            <w:r w:rsidRPr="007C3060">
              <w:rPr>
                <w:rStyle w:val="kursiv"/>
              </w:rPr>
              <w:t>overslagsbevilgning</w:t>
            </w:r>
            <w:r w:rsidRPr="007C3060">
              <w:t>, nedsettes med</w:t>
            </w:r>
          </w:p>
        </w:tc>
        <w:tc>
          <w:tcPr>
            <w:tcW w:w="1717" w:type="dxa"/>
            <w:tcBorders>
              <w:top w:val="nil"/>
              <w:left w:val="nil"/>
              <w:bottom w:val="nil"/>
              <w:right w:val="nil"/>
            </w:tcBorders>
            <w:tcMar>
              <w:top w:w="128" w:type="dxa"/>
              <w:left w:w="43" w:type="dxa"/>
              <w:bottom w:w="43" w:type="dxa"/>
              <w:right w:w="43" w:type="dxa"/>
            </w:tcMar>
            <w:vAlign w:val="bottom"/>
          </w:tcPr>
          <w:p w14:paraId="7837729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2337F05" w14:textId="77777777" w:rsidR="000A2A2B" w:rsidRPr="007C3060" w:rsidRDefault="000A2A2B" w:rsidP="007C3060">
            <w:r w:rsidRPr="007C3060">
              <w:t>25 000 000</w:t>
            </w:r>
          </w:p>
        </w:tc>
      </w:tr>
      <w:tr w:rsidR="004B729E" w:rsidRPr="007C3060" w14:paraId="2240EB5B"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6FFEF8B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3998AB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46ABF21" w14:textId="77777777" w:rsidR="000A2A2B" w:rsidRPr="007C3060" w:rsidRDefault="000A2A2B" w:rsidP="007C3060">
            <w:r w:rsidRPr="007C3060">
              <w:t>fra kr 615 000 000 til kr 590 000 000</w:t>
            </w:r>
          </w:p>
        </w:tc>
        <w:tc>
          <w:tcPr>
            <w:tcW w:w="1717" w:type="dxa"/>
            <w:tcBorders>
              <w:top w:val="nil"/>
              <w:left w:val="nil"/>
              <w:bottom w:val="nil"/>
              <w:right w:val="nil"/>
            </w:tcBorders>
            <w:tcMar>
              <w:top w:w="128" w:type="dxa"/>
              <w:left w:w="43" w:type="dxa"/>
              <w:bottom w:w="43" w:type="dxa"/>
              <w:right w:w="43" w:type="dxa"/>
            </w:tcMar>
            <w:vAlign w:val="bottom"/>
          </w:tcPr>
          <w:p w14:paraId="1E33477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04A0224" w14:textId="77777777" w:rsidR="000A2A2B" w:rsidRPr="007C3060" w:rsidRDefault="000A2A2B" w:rsidP="007C3060"/>
        </w:tc>
      </w:tr>
      <w:tr w:rsidR="004B729E" w:rsidRPr="007C3060" w14:paraId="5ED56B3D" w14:textId="77777777" w:rsidTr="00414C2B">
        <w:trPr>
          <w:trHeight w:val="640"/>
          <w:jc w:val="right"/>
        </w:trPr>
        <w:tc>
          <w:tcPr>
            <w:tcW w:w="969" w:type="dxa"/>
            <w:tcBorders>
              <w:top w:val="nil"/>
              <w:left w:val="nil"/>
              <w:bottom w:val="nil"/>
              <w:right w:val="nil"/>
            </w:tcBorders>
            <w:tcMar>
              <w:top w:w="128" w:type="dxa"/>
              <w:left w:w="43" w:type="dxa"/>
              <w:bottom w:w="43" w:type="dxa"/>
              <w:right w:w="43" w:type="dxa"/>
            </w:tcMar>
            <w:vAlign w:val="bottom"/>
          </w:tcPr>
          <w:p w14:paraId="2F91D87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9299E2E"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1CA5FB7E" w14:textId="06845095" w:rsidR="000A2A2B" w:rsidRPr="007C3060" w:rsidRDefault="000A2A2B" w:rsidP="007C3060">
            <w:r w:rsidRPr="007C3060">
              <w:t xml:space="preserve">Feriepenger av foreldrepenger, </w:t>
            </w:r>
            <w:r w:rsidRPr="007C3060">
              <w:rPr>
                <w:rStyle w:val="kursiv"/>
              </w:rPr>
              <w:t>overslagsbevilgning</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26ADCDC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4BBAC7F" w14:textId="77777777" w:rsidR="000A2A2B" w:rsidRPr="007C3060" w:rsidRDefault="000A2A2B" w:rsidP="007C3060">
            <w:r w:rsidRPr="007C3060">
              <w:t>60 000 000</w:t>
            </w:r>
          </w:p>
        </w:tc>
      </w:tr>
      <w:tr w:rsidR="004B729E" w:rsidRPr="007C3060" w14:paraId="6F3F30FF"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3C7FDA9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FF21ED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694D55F" w14:textId="77777777" w:rsidR="000A2A2B" w:rsidRPr="007C3060" w:rsidRDefault="000A2A2B" w:rsidP="007C3060">
            <w:r w:rsidRPr="007C3060">
              <w:t>fra kr 665 000 000 til kr 725 000 000</w:t>
            </w:r>
          </w:p>
        </w:tc>
        <w:tc>
          <w:tcPr>
            <w:tcW w:w="1717" w:type="dxa"/>
            <w:tcBorders>
              <w:top w:val="nil"/>
              <w:left w:val="nil"/>
              <w:bottom w:val="nil"/>
              <w:right w:val="nil"/>
            </w:tcBorders>
            <w:tcMar>
              <w:top w:w="128" w:type="dxa"/>
              <w:left w:w="43" w:type="dxa"/>
              <w:bottom w:w="43" w:type="dxa"/>
              <w:right w:w="43" w:type="dxa"/>
            </w:tcMar>
            <w:vAlign w:val="bottom"/>
          </w:tcPr>
          <w:p w14:paraId="26CA861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287CFE4" w14:textId="77777777" w:rsidR="000A2A2B" w:rsidRPr="007C3060" w:rsidRDefault="000A2A2B" w:rsidP="007C3060"/>
        </w:tc>
      </w:tr>
      <w:tr w:rsidR="004B729E" w:rsidRPr="007C3060" w14:paraId="527B7191" w14:textId="77777777" w:rsidTr="00414C2B">
        <w:trPr>
          <w:trHeight w:val="640"/>
          <w:jc w:val="right"/>
        </w:trPr>
        <w:tc>
          <w:tcPr>
            <w:tcW w:w="969" w:type="dxa"/>
            <w:tcBorders>
              <w:top w:val="nil"/>
              <w:left w:val="nil"/>
              <w:bottom w:val="nil"/>
              <w:right w:val="nil"/>
            </w:tcBorders>
            <w:tcMar>
              <w:top w:w="128" w:type="dxa"/>
              <w:left w:w="43" w:type="dxa"/>
              <w:bottom w:w="43" w:type="dxa"/>
              <w:right w:w="43" w:type="dxa"/>
            </w:tcMar>
            <w:vAlign w:val="bottom"/>
          </w:tcPr>
          <w:p w14:paraId="6647984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3AAB0F1"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2652E7C4" w14:textId="1D141236" w:rsidR="000A2A2B" w:rsidRPr="007C3060" w:rsidRDefault="000A2A2B" w:rsidP="007C3060">
            <w:r w:rsidRPr="007C3060">
              <w:t xml:space="preserve">Foreldrepenger ved adopsjon, </w:t>
            </w:r>
            <w:r w:rsidRPr="007C3060">
              <w:rPr>
                <w:rStyle w:val="kursiv"/>
              </w:rPr>
              <w:t>overslagsbevilgning</w:t>
            </w:r>
            <w:r w:rsidRPr="007C3060">
              <w:t>, nedsettes med</w:t>
            </w:r>
          </w:p>
        </w:tc>
        <w:tc>
          <w:tcPr>
            <w:tcW w:w="1717" w:type="dxa"/>
            <w:tcBorders>
              <w:top w:val="nil"/>
              <w:left w:val="nil"/>
              <w:bottom w:val="nil"/>
              <w:right w:val="nil"/>
            </w:tcBorders>
            <w:tcMar>
              <w:top w:w="128" w:type="dxa"/>
              <w:left w:w="43" w:type="dxa"/>
              <w:bottom w:w="43" w:type="dxa"/>
              <w:right w:w="43" w:type="dxa"/>
            </w:tcMar>
            <w:vAlign w:val="bottom"/>
          </w:tcPr>
          <w:p w14:paraId="5592185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BD1FD7" w14:textId="77777777" w:rsidR="000A2A2B" w:rsidRPr="007C3060" w:rsidRDefault="000A2A2B" w:rsidP="007C3060">
            <w:r w:rsidRPr="007C3060">
              <w:t>7 000 000</w:t>
            </w:r>
          </w:p>
        </w:tc>
      </w:tr>
      <w:tr w:rsidR="004B729E" w:rsidRPr="007C3060" w14:paraId="1193AEE2"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64C0A82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E00EB1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448A1C9" w14:textId="77777777" w:rsidR="000A2A2B" w:rsidRPr="007C3060" w:rsidRDefault="000A2A2B" w:rsidP="007C3060">
            <w:r w:rsidRPr="007C3060">
              <w:t>fra kr 28 000 000 til kr 21 000 000</w:t>
            </w:r>
          </w:p>
        </w:tc>
        <w:tc>
          <w:tcPr>
            <w:tcW w:w="1717" w:type="dxa"/>
            <w:tcBorders>
              <w:top w:val="nil"/>
              <w:left w:val="nil"/>
              <w:bottom w:val="nil"/>
              <w:right w:val="nil"/>
            </w:tcBorders>
            <w:tcMar>
              <w:top w:w="128" w:type="dxa"/>
              <w:left w:w="43" w:type="dxa"/>
              <w:bottom w:w="43" w:type="dxa"/>
              <w:right w:w="43" w:type="dxa"/>
            </w:tcMar>
            <w:vAlign w:val="bottom"/>
          </w:tcPr>
          <w:p w14:paraId="4173653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2FF274F" w14:textId="77777777" w:rsidR="000A2A2B" w:rsidRPr="007C3060" w:rsidRDefault="000A2A2B" w:rsidP="007C3060"/>
        </w:tc>
      </w:tr>
      <w:tr w:rsidR="004B729E" w:rsidRPr="007C3060" w14:paraId="72EE42C3"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69A8DBE2" w14:textId="77777777" w:rsidR="000A2A2B" w:rsidRPr="007C3060" w:rsidRDefault="000A2A2B" w:rsidP="007C3060">
            <w:r w:rsidRPr="007C3060">
              <w:t>2541</w:t>
            </w:r>
          </w:p>
        </w:tc>
        <w:tc>
          <w:tcPr>
            <w:tcW w:w="992" w:type="dxa"/>
            <w:tcBorders>
              <w:top w:val="nil"/>
              <w:left w:val="nil"/>
              <w:bottom w:val="nil"/>
              <w:right w:val="nil"/>
            </w:tcBorders>
            <w:tcMar>
              <w:top w:w="128" w:type="dxa"/>
              <w:left w:w="43" w:type="dxa"/>
              <w:bottom w:w="43" w:type="dxa"/>
              <w:right w:w="123" w:type="dxa"/>
            </w:tcMar>
          </w:tcPr>
          <w:p w14:paraId="0E085E6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21A14BE" w14:textId="77777777" w:rsidR="000A2A2B" w:rsidRPr="007C3060" w:rsidRDefault="000A2A2B" w:rsidP="007C3060">
            <w:r w:rsidRPr="007C3060">
              <w:t>Dagpenger:</w:t>
            </w:r>
          </w:p>
        </w:tc>
        <w:tc>
          <w:tcPr>
            <w:tcW w:w="1717" w:type="dxa"/>
            <w:tcBorders>
              <w:top w:val="nil"/>
              <w:left w:val="nil"/>
              <w:bottom w:val="nil"/>
              <w:right w:val="nil"/>
            </w:tcBorders>
            <w:tcMar>
              <w:top w:w="128" w:type="dxa"/>
              <w:left w:w="43" w:type="dxa"/>
              <w:bottom w:w="43" w:type="dxa"/>
              <w:right w:w="43" w:type="dxa"/>
            </w:tcMar>
            <w:vAlign w:val="bottom"/>
          </w:tcPr>
          <w:p w14:paraId="6D9AA4D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0B3F5EC" w14:textId="77777777" w:rsidR="000A2A2B" w:rsidRPr="007C3060" w:rsidRDefault="000A2A2B" w:rsidP="007C3060"/>
        </w:tc>
      </w:tr>
      <w:tr w:rsidR="004B729E" w:rsidRPr="007C3060" w14:paraId="6BB7A237"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39841F7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CB8C093"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76C089C9" w14:textId="77777777" w:rsidR="000A2A2B" w:rsidRPr="007C3060" w:rsidRDefault="000A2A2B" w:rsidP="007C3060">
            <w:r w:rsidRPr="007C3060">
              <w:t xml:space="preserve">Dagpenger, </w:t>
            </w:r>
            <w:r w:rsidRPr="007C3060">
              <w:rPr>
                <w:rStyle w:val="kursiv"/>
              </w:rPr>
              <w:t>overslagsbevilgning</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5372E1A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94874D9" w14:textId="77777777" w:rsidR="000A2A2B" w:rsidRPr="007C3060" w:rsidRDefault="000A2A2B" w:rsidP="007C3060">
            <w:r w:rsidRPr="007C3060">
              <w:t>1 005 000 000</w:t>
            </w:r>
          </w:p>
        </w:tc>
      </w:tr>
      <w:tr w:rsidR="004B729E" w:rsidRPr="007C3060" w14:paraId="31597362"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7ED6FBB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88345F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F1FEE44" w14:textId="77777777" w:rsidR="000A2A2B" w:rsidRPr="007C3060" w:rsidRDefault="000A2A2B" w:rsidP="007C3060">
            <w:r w:rsidRPr="007C3060">
              <w:t>fra kr 14 315 000 000 til kr 15 320 000 000</w:t>
            </w:r>
          </w:p>
        </w:tc>
        <w:tc>
          <w:tcPr>
            <w:tcW w:w="1717" w:type="dxa"/>
            <w:tcBorders>
              <w:top w:val="nil"/>
              <w:left w:val="nil"/>
              <w:bottom w:val="nil"/>
              <w:right w:val="nil"/>
            </w:tcBorders>
            <w:tcMar>
              <w:top w:w="128" w:type="dxa"/>
              <w:left w:w="43" w:type="dxa"/>
              <w:bottom w:w="43" w:type="dxa"/>
              <w:right w:w="43" w:type="dxa"/>
            </w:tcMar>
            <w:vAlign w:val="bottom"/>
          </w:tcPr>
          <w:p w14:paraId="0704A93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8DD0018" w14:textId="77777777" w:rsidR="000A2A2B" w:rsidRPr="007C3060" w:rsidRDefault="000A2A2B" w:rsidP="007C3060"/>
        </w:tc>
      </w:tr>
      <w:tr w:rsidR="004B729E" w:rsidRPr="007C3060" w14:paraId="6CD869A6"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4FAC4833" w14:textId="77777777" w:rsidR="000A2A2B" w:rsidRPr="007C3060" w:rsidRDefault="000A2A2B" w:rsidP="007C3060">
            <w:r w:rsidRPr="007C3060">
              <w:t>2542</w:t>
            </w:r>
          </w:p>
        </w:tc>
        <w:tc>
          <w:tcPr>
            <w:tcW w:w="992" w:type="dxa"/>
            <w:tcBorders>
              <w:top w:val="nil"/>
              <w:left w:val="nil"/>
              <w:bottom w:val="nil"/>
              <w:right w:val="nil"/>
            </w:tcBorders>
            <w:tcMar>
              <w:top w:w="128" w:type="dxa"/>
              <w:left w:w="43" w:type="dxa"/>
              <w:bottom w:w="43" w:type="dxa"/>
              <w:right w:w="123" w:type="dxa"/>
            </w:tcMar>
          </w:tcPr>
          <w:p w14:paraId="1F5A9EF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290A29F" w14:textId="77777777" w:rsidR="000A2A2B" w:rsidRPr="007C3060" w:rsidRDefault="000A2A2B" w:rsidP="007C3060">
            <w:r w:rsidRPr="007C3060">
              <w:t>Statsgaranti for lønnskrav ved konkurs mv.:</w:t>
            </w:r>
          </w:p>
        </w:tc>
        <w:tc>
          <w:tcPr>
            <w:tcW w:w="1717" w:type="dxa"/>
            <w:tcBorders>
              <w:top w:val="nil"/>
              <w:left w:val="nil"/>
              <w:bottom w:val="nil"/>
              <w:right w:val="nil"/>
            </w:tcBorders>
            <w:tcMar>
              <w:top w:w="128" w:type="dxa"/>
              <w:left w:w="43" w:type="dxa"/>
              <w:bottom w:w="43" w:type="dxa"/>
              <w:right w:w="43" w:type="dxa"/>
            </w:tcMar>
            <w:vAlign w:val="bottom"/>
          </w:tcPr>
          <w:p w14:paraId="31BB9F8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5E2E784" w14:textId="77777777" w:rsidR="000A2A2B" w:rsidRPr="007C3060" w:rsidRDefault="000A2A2B" w:rsidP="007C3060"/>
        </w:tc>
      </w:tr>
      <w:tr w:rsidR="004B729E" w:rsidRPr="007C3060" w14:paraId="32718726" w14:textId="77777777" w:rsidTr="00414C2B">
        <w:trPr>
          <w:trHeight w:val="640"/>
          <w:jc w:val="right"/>
        </w:trPr>
        <w:tc>
          <w:tcPr>
            <w:tcW w:w="969" w:type="dxa"/>
            <w:tcBorders>
              <w:top w:val="nil"/>
              <w:left w:val="nil"/>
              <w:bottom w:val="nil"/>
              <w:right w:val="nil"/>
            </w:tcBorders>
            <w:tcMar>
              <w:top w:w="128" w:type="dxa"/>
              <w:left w:w="43" w:type="dxa"/>
              <w:bottom w:w="43" w:type="dxa"/>
              <w:right w:w="43" w:type="dxa"/>
            </w:tcMar>
            <w:vAlign w:val="bottom"/>
          </w:tcPr>
          <w:p w14:paraId="4559F61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741F89E"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28EB8457" w14:textId="260B704B" w:rsidR="000A2A2B" w:rsidRPr="007C3060" w:rsidRDefault="000A2A2B" w:rsidP="007C3060">
            <w:r w:rsidRPr="007C3060">
              <w:t xml:space="preserve">Statsgaranti for lønnskrav ved konkurs mv., </w:t>
            </w:r>
            <w:r w:rsidRPr="007C3060">
              <w:rPr>
                <w:rStyle w:val="kursiv"/>
              </w:rPr>
              <w:t>overslagsbevilgning</w:t>
            </w:r>
            <w:r w:rsidRPr="007C3060">
              <w:t>, forhøyes med</w:t>
            </w:r>
          </w:p>
        </w:tc>
        <w:tc>
          <w:tcPr>
            <w:tcW w:w="1717" w:type="dxa"/>
            <w:tcBorders>
              <w:top w:val="nil"/>
              <w:left w:val="nil"/>
              <w:bottom w:val="nil"/>
              <w:right w:val="nil"/>
            </w:tcBorders>
            <w:tcMar>
              <w:top w:w="128" w:type="dxa"/>
              <w:left w:w="43" w:type="dxa"/>
              <w:bottom w:w="43" w:type="dxa"/>
              <w:right w:w="43" w:type="dxa"/>
            </w:tcMar>
            <w:vAlign w:val="bottom"/>
          </w:tcPr>
          <w:p w14:paraId="6E40C74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6291E05" w14:textId="77777777" w:rsidR="000A2A2B" w:rsidRPr="007C3060" w:rsidRDefault="000A2A2B" w:rsidP="007C3060">
            <w:r w:rsidRPr="007C3060">
              <w:t>50 000 000</w:t>
            </w:r>
          </w:p>
        </w:tc>
      </w:tr>
      <w:tr w:rsidR="004B729E" w:rsidRPr="007C3060" w14:paraId="17040F1A"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485A94C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60A2CD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F674E28" w14:textId="77777777" w:rsidR="000A2A2B" w:rsidRPr="007C3060" w:rsidRDefault="000A2A2B" w:rsidP="007C3060">
            <w:r w:rsidRPr="007C3060">
              <w:t>fra kr 980 000 000 til kr 1 030 000 000</w:t>
            </w:r>
          </w:p>
        </w:tc>
        <w:tc>
          <w:tcPr>
            <w:tcW w:w="1717" w:type="dxa"/>
            <w:tcBorders>
              <w:top w:val="nil"/>
              <w:left w:val="nil"/>
              <w:bottom w:val="nil"/>
              <w:right w:val="nil"/>
            </w:tcBorders>
            <w:tcMar>
              <w:top w:w="128" w:type="dxa"/>
              <w:left w:w="43" w:type="dxa"/>
              <w:bottom w:w="43" w:type="dxa"/>
              <w:right w:w="43" w:type="dxa"/>
            </w:tcMar>
            <w:vAlign w:val="bottom"/>
          </w:tcPr>
          <w:p w14:paraId="192E3FC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E50A62F" w14:textId="77777777" w:rsidR="000A2A2B" w:rsidRPr="007C3060" w:rsidRDefault="000A2A2B" w:rsidP="007C3060"/>
        </w:tc>
      </w:tr>
      <w:tr w:rsidR="004B729E" w:rsidRPr="007C3060" w14:paraId="6F6D5744"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11C40A80" w14:textId="77777777" w:rsidR="000A2A2B" w:rsidRPr="007C3060" w:rsidRDefault="000A2A2B" w:rsidP="007C3060">
            <w:r w:rsidRPr="007C3060">
              <w:t>2620</w:t>
            </w:r>
          </w:p>
        </w:tc>
        <w:tc>
          <w:tcPr>
            <w:tcW w:w="992" w:type="dxa"/>
            <w:tcBorders>
              <w:top w:val="nil"/>
              <w:left w:val="nil"/>
              <w:bottom w:val="nil"/>
              <w:right w:val="nil"/>
            </w:tcBorders>
            <w:tcMar>
              <w:top w:w="128" w:type="dxa"/>
              <w:left w:w="43" w:type="dxa"/>
              <w:bottom w:w="43" w:type="dxa"/>
              <w:right w:w="123" w:type="dxa"/>
            </w:tcMar>
          </w:tcPr>
          <w:p w14:paraId="28D390D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769493F" w14:textId="77777777" w:rsidR="000A2A2B" w:rsidRPr="007C3060" w:rsidRDefault="000A2A2B" w:rsidP="007C3060">
            <w:r w:rsidRPr="007C3060">
              <w:t>Stønad til enslig mor eller far:</w:t>
            </w:r>
          </w:p>
        </w:tc>
        <w:tc>
          <w:tcPr>
            <w:tcW w:w="1717" w:type="dxa"/>
            <w:tcBorders>
              <w:top w:val="nil"/>
              <w:left w:val="nil"/>
              <w:bottom w:val="nil"/>
              <w:right w:val="nil"/>
            </w:tcBorders>
            <w:tcMar>
              <w:top w:w="128" w:type="dxa"/>
              <w:left w:w="43" w:type="dxa"/>
              <w:bottom w:w="43" w:type="dxa"/>
              <w:right w:w="43" w:type="dxa"/>
            </w:tcMar>
            <w:vAlign w:val="bottom"/>
          </w:tcPr>
          <w:p w14:paraId="7D2BE35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7BE025D" w14:textId="77777777" w:rsidR="000A2A2B" w:rsidRPr="007C3060" w:rsidRDefault="000A2A2B" w:rsidP="007C3060"/>
        </w:tc>
      </w:tr>
      <w:tr w:rsidR="004B729E" w:rsidRPr="007C3060" w14:paraId="346BE9E6"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50B9AF5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E89265F"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6E92156D" w14:textId="1FDFBC73" w:rsidR="000A2A2B" w:rsidRPr="007C3060" w:rsidRDefault="000A2A2B" w:rsidP="007C3060">
            <w:r w:rsidRPr="007C3060">
              <w:t xml:space="preserve">Overgangsstønad, </w:t>
            </w:r>
            <w:r w:rsidRPr="007C3060">
              <w:rPr>
                <w:rStyle w:val="kursiv"/>
              </w:rPr>
              <w:t>overslagsbevilgning</w:t>
            </w:r>
            <w:r w:rsidRPr="007C3060">
              <w:t>, nedsettes med</w:t>
            </w:r>
          </w:p>
        </w:tc>
        <w:tc>
          <w:tcPr>
            <w:tcW w:w="1717" w:type="dxa"/>
            <w:tcBorders>
              <w:top w:val="nil"/>
              <w:left w:val="nil"/>
              <w:bottom w:val="nil"/>
              <w:right w:val="nil"/>
            </w:tcBorders>
            <w:tcMar>
              <w:top w:w="128" w:type="dxa"/>
              <w:left w:w="43" w:type="dxa"/>
              <w:bottom w:w="43" w:type="dxa"/>
              <w:right w:w="43" w:type="dxa"/>
            </w:tcMar>
            <w:vAlign w:val="bottom"/>
          </w:tcPr>
          <w:p w14:paraId="754CEDC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34BF7BE" w14:textId="77777777" w:rsidR="000A2A2B" w:rsidRPr="007C3060" w:rsidRDefault="000A2A2B" w:rsidP="007C3060">
            <w:r w:rsidRPr="007C3060">
              <w:t>75 000 000</w:t>
            </w:r>
          </w:p>
        </w:tc>
      </w:tr>
      <w:tr w:rsidR="004B729E" w:rsidRPr="007C3060" w14:paraId="1E8CA8B1"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2AF8E70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9C40CE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12EC796" w14:textId="77777777" w:rsidR="000A2A2B" w:rsidRPr="007C3060" w:rsidRDefault="000A2A2B" w:rsidP="007C3060">
            <w:r w:rsidRPr="007C3060">
              <w:t>fra kr 1 660 000 000 til kr 1 585 000 000</w:t>
            </w:r>
          </w:p>
        </w:tc>
        <w:tc>
          <w:tcPr>
            <w:tcW w:w="1717" w:type="dxa"/>
            <w:tcBorders>
              <w:top w:val="nil"/>
              <w:left w:val="nil"/>
              <w:bottom w:val="nil"/>
              <w:right w:val="nil"/>
            </w:tcBorders>
            <w:tcMar>
              <w:top w:w="128" w:type="dxa"/>
              <w:left w:w="43" w:type="dxa"/>
              <w:bottom w:w="43" w:type="dxa"/>
              <w:right w:w="43" w:type="dxa"/>
            </w:tcMar>
            <w:vAlign w:val="bottom"/>
          </w:tcPr>
          <w:p w14:paraId="5AABBA0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90BA384" w14:textId="77777777" w:rsidR="000A2A2B" w:rsidRPr="007C3060" w:rsidRDefault="000A2A2B" w:rsidP="007C3060"/>
        </w:tc>
      </w:tr>
      <w:tr w:rsidR="004B729E" w:rsidRPr="007C3060" w14:paraId="2FB314B1" w14:textId="77777777" w:rsidTr="00414C2B">
        <w:trPr>
          <w:trHeight w:val="640"/>
          <w:jc w:val="right"/>
        </w:trPr>
        <w:tc>
          <w:tcPr>
            <w:tcW w:w="969" w:type="dxa"/>
            <w:tcBorders>
              <w:top w:val="nil"/>
              <w:left w:val="nil"/>
              <w:bottom w:val="nil"/>
              <w:right w:val="nil"/>
            </w:tcBorders>
            <w:tcMar>
              <w:top w:w="128" w:type="dxa"/>
              <w:left w:w="43" w:type="dxa"/>
              <w:bottom w:w="43" w:type="dxa"/>
              <w:right w:w="43" w:type="dxa"/>
            </w:tcMar>
            <w:vAlign w:val="bottom"/>
          </w:tcPr>
          <w:p w14:paraId="1530487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8581574"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663BED63" w14:textId="13E2D23D" w:rsidR="000A2A2B" w:rsidRPr="007C3060" w:rsidRDefault="000A2A2B" w:rsidP="007C3060">
            <w:r w:rsidRPr="007C3060">
              <w:t xml:space="preserve">Stønad til barnetilsyn til enslig mor eller far i arbeid, </w:t>
            </w:r>
            <w:r w:rsidRPr="007C3060">
              <w:rPr>
                <w:rStyle w:val="kursiv"/>
              </w:rPr>
              <w:t>overslagsbevilgning</w:t>
            </w:r>
            <w:r w:rsidRPr="007C3060">
              <w:t>, nedsettes med</w:t>
            </w:r>
          </w:p>
        </w:tc>
        <w:tc>
          <w:tcPr>
            <w:tcW w:w="1717" w:type="dxa"/>
            <w:tcBorders>
              <w:top w:val="nil"/>
              <w:left w:val="nil"/>
              <w:bottom w:val="nil"/>
              <w:right w:val="nil"/>
            </w:tcBorders>
            <w:tcMar>
              <w:top w:w="128" w:type="dxa"/>
              <w:left w:w="43" w:type="dxa"/>
              <w:bottom w:w="43" w:type="dxa"/>
              <w:right w:w="43" w:type="dxa"/>
            </w:tcMar>
            <w:vAlign w:val="bottom"/>
          </w:tcPr>
          <w:p w14:paraId="240EDEA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981B2BE" w14:textId="77777777" w:rsidR="000A2A2B" w:rsidRPr="007C3060" w:rsidRDefault="000A2A2B" w:rsidP="007C3060">
            <w:r w:rsidRPr="007C3060">
              <w:t>15 000 000</w:t>
            </w:r>
          </w:p>
        </w:tc>
      </w:tr>
      <w:tr w:rsidR="004B729E" w:rsidRPr="007C3060" w14:paraId="205BDAD1"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042D92D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366C89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92B7465" w14:textId="77777777" w:rsidR="000A2A2B" w:rsidRPr="007C3060" w:rsidRDefault="000A2A2B" w:rsidP="007C3060">
            <w:r w:rsidRPr="007C3060">
              <w:t>fra kr 77 000 000 til kr 62 000 000</w:t>
            </w:r>
          </w:p>
        </w:tc>
        <w:tc>
          <w:tcPr>
            <w:tcW w:w="1717" w:type="dxa"/>
            <w:tcBorders>
              <w:top w:val="nil"/>
              <w:left w:val="nil"/>
              <w:bottom w:val="nil"/>
              <w:right w:val="nil"/>
            </w:tcBorders>
            <w:tcMar>
              <w:top w:w="128" w:type="dxa"/>
              <w:left w:w="43" w:type="dxa"/>
              <w:bottom w:w="43" w:type="dxa"/>
              <w:right w:w="43" w:type="dxa"/>
            </w:tcMar>
            <w:vAlign w:val="bottom"/>
          </w:tcPr>
          <w:p w14:paraId="131D317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1FF75EC" w14:textId="77777777" w:rsidR="000A2A2B" w:rsidRPr="007C3060" w:rsidRDefault="000A2A2B" w:rsidP="007C3060"/>
        </w:tc>
      </w:tr>
      <w:tr w:rsidR="004B729E" w:rsidRPr="007C3060" w14:paraId="21C225AC" w14:textId="77777777" w:rsidTr="00414C2B">
        <w:trPr>
          <w:trHeight w:val="640"/>
          <w:jc w:val="right"/>
        </w:trPr>
        <w:tc>
          <w:tcPr>
            <w:tcW w:w="969" w:type="dxa"/>
            <w:tcBorders>
              <w:top w:val="single" w:sz="4" w:space="0" w:color="000000"/>
              <w:left w:val="nil"/>
              <w:bottom w:val="nil"/>
              <w:right w:val="nil"/>
            </w:tcBorders>
            <w:tcMar>
              <w:top w:w="128" w:type="dxa"/>
              <w:left w:w="43" w:type="dxa"/>
              <w:bottom w:w="43" w:type="dxa"/>
              <w:right w:w="43" w:type="dxa"/>
            </w:tcMar>
            <w:vAlign w:val="bottom"/>
          </w:tcPr>
          <w:p w14:paraId="7EE655F8" w14:textId="77777777" w:rsidR="000A2A2B" w:rsidRPr="007C3060" w:rsidRDefault="000A2A2B" w:rsidP="007C3060"/>
        </w:tc>
        <w:tc>
          <w:tcPr>
            <w:tcW w:w="992" w:type="dxa"/>
            <w:tcBorders>
              <w:top w:val="single" w:sz="4" w:space="0" w:color="000000"/>
              <w:left w:val="nil"/>
              <w:bottom w:val="nil"/>
              <w:right w:val="nil"/>
            </w:tcBorders>
            <w:tcMar>
              <w:top w:w="128" w:type="dxa"/>
              <w:left w:w="43" w:type="dxa"/>
              <w:bottom w:w="43" w:type="dxa"/>
              <w:right w:w="123" w:type="dxa"/>
            </w:tcMar>
          </w:tcPr>
          <w:p w14:paraId="657D0753" w14:textId="77777777" w:rsidR="000A2A2B" w:rsidRPr="007C3060" w:rsidRDefault="000A2A2B" w:rsidP="007C3060">
            <w:r w:rsidRPr="007C3060">
              <w:t>73</w:t>
            </w:r>
          </w:p>
        </w:tc>
        <w:tc>
          <w:tcPr>
            <w:tcW w:w="4819" w:type="dxa"/>
            <w:tcBorders>
              <w:top w:val="single" w:sz="4" w:space="0" w:color="000000"/>
              <w:left w:val="nil"/>
              <w:bottom w:val="nil"/>
              <w:right w:val="nil"/>
            </w:tcBorders>
            <w:tcMar>
              <w:top w:w="128" w:type="dxa"/>
              <w:left w:w="43" w:type="dxa"/>
              <w:bottom w:w="43" w:type="dxa"/>
              <w:right w:w="43" w:type="dxa"/>
            </w:tcMar>
            <w:vAlign w:val="bottom"/>
          </w:tcPr>
          <w:p w14:paraId="088EDB4A" w14:textId="7FA83B42" w:rsidR="000A2A2B" w:rsidRPr="007C3060" w:rsidRDefault="000A2A2B" w:rsidP="007C3060">
            <w:r w:rsidRPr="007C3060">
              <w:t xml:space="preserve">Tilleggsstønader og stønad til skolepenger, </w:t>
            </w:r>
            <w:r w:rsidRPr="007C3060">
              <w:rPr>
                <w:rStyle w:val="kursiv"/>
              </w:rPr>
              <w:t>overslagsbevilgning</w:t>
            </w:r>
            <w:r w:rsidRPr="007C3060">
              <w:t>, nedsettes med</w:t>
            </w:r>
          </w:p>
        </w:tc>
        <w:tc>
          <w:tcPr>
            <w:tcW w:w="1717" w:type="dxa"/>
            <w:tcBorders>
              <w:top w:val="single" w:sz="4" w:space="0" w:color="000000"/>
              <w:left w:val="nil"/>
              <w:bottom w:val="nil"/>
              <w:right w:val="nil"/>
            </w:tcBorders>
            <w:tcMar>
              <w:top w:w="128" w:type="dxa"/>
              <w:left w:w="43" w:type="dxa"/>
              <w:bottom w:w="43" w:type="dxa"/>
              <w:right w:w="43" w:type="dxa"/>
            </w:tcMar>
            <w:vAlign w:val="bottom"/>
          </w:tcPr>
          <w:p w14:paraId="6B7F5B14" w14:textId="77777777" w:rsidR="000A2A2B" w:rsidRPr="007C3060" w:rsidRDefault="000A2A2B" w:rsidP="007C3060"/>
        </w:tc>
        <w:tc>
          <w:tcPr>
            <w:tcW w:w="1969" w:type="dxa"/>
            <w:tcBorders>
              <w:top w:val="single" w:sz="4" w:space="0" w:color="000000"/>
              <w:left w:val="nil"/>
              <w:bottom w:val="nil"/>
              <w:right w:val="nil"/>
            </w:tcBorders>
            <w:tcMar>
              <w:top w:w="128" w:type="dxa"/>
              <w:left w:w="43" w:type="dxa"/>
              <w:bottom w:w="43" w:type="dxa"/>
              <w:right w:w="43" w:type="dxa"/>
            </w:tcMar>
            <w:vAlign w:val="bottom"/>
          </w:tcPr>
          <w:p w14:paraId="0FD60D1F" w14:textId="77777777" w:rsidR="000A2A2B" w:rsidRPr="007C3060" w:rsidRDefault="000A2A2B" w:rsidP="007C3060">
            <w:r w:rsidRPr="007C3060">
              <w:t>4 000 000</w:t>
            </w:r>
          </w:p>
        </w:tc>
      </w:tr>
      <w:tr w:rsidR="004B729E" w:rsidRPr="007C3060" w14:paraId="5CF0FCC9" w14:textId="77777777" w:rsidTr="00414C2B">
        <w:trPr>
          <w:trHeight w:val="380"/>
          <w:jc w:val="right"/>
        </w:trPr>
        <w:tc>
          <w:tcPr>
            <w:tcW w:w="969" w:type="dxa"/>
            <w:tcBorders>
              <w:top w:val="nil"/>
              <w:left w:val="nil"/>
              <w:bottom w:val="nil"/>
              <w:right w:val="nil"/>
            </w:tcBorders>
            <w:tcMar>
              <w:top w:w="128" w:type="dxa"/>
              <w:left w:w="43" w:type="dxa"/>
              <w:bottom w:w="43" w:type="dxa"/>
              <w:right w:w="43" w:type="dxa"/>
            </w:tcMar>
            <w:vAlign w:val="bottom"/>
          </w:tcPr>
          <w:p w14:paraId="302BEEE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07A0A3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4E5923B" w14:textId="77777777" w:rsidR="000A2A2B" w:rsidRPr="007C3060" w:rsidRDefault="000A2A2B" w:rsidP="007C3060">
            <w:r w:rsidRPr="007C3060">
              <w:t>fra kr 13 000 000 til kr 9 000 000</w:t>
            </w:r>
          </w:p>
        </w:tc>
        <w:tc>
          <w:tcPr>
            <w:tcW w:w="1717" w:type="dxa"/>
            <w:tcBorders>
              <w:top w:val="nil"/>
              <w:left w:val="nil"/>
              <w:bottom w:val="nil"/>
              <w:right w:val="nil"/>
            </w:tcBorders>
            <w:tcMar>
              <w:top w:w="128" w:type="dxa"/>
              <w:left w:w="43" w:type="dxa"/>
              <w:bottom w:w="43" w:type="dxa"/>
              <w:right w:w="43" w:type="dxa"/>
            </w:tcMar>
            <w:vAlign w:val="bottom"/>
          </w:tcPr>
          <w:p w14:paraId="76279D2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8C4B217" w14:textId="77777777" w:rsidR="000A2A2B" w:rsidRPr="007C3060" w:rsidRDefault="000A2A2B" w:rsidP="007C3060"/>
        </w:tc>
      </w:tr>
      <w:tr w:rsidR="004B729E" w:rsidRPr="007C3060" w14:paraId="167FC0B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41EA275" w14:textId="77777777" w:rsidR="000A2A2B" w:rsidRPr="007C3060" w:rsidRDefault="000A2A2B" w:rsidP="007C3060">
            <w:r w:rsidRPr="007C3060">
              <w:lastRenderedPageBreak/>
              <w:t>2650</w:t>
            </w:r>
          </w:p>
        </w:tc>
        <w:tc>
          <w:tcPr>
            <w:tcW w:w="992" w:type="dxa"/>
            <w:tcBorders>
              <w:top w:val="nil"/>
              <w:left w:val="nil"/>
              <w:bottom w:val="nil"/>
              <w:right w:val="nil"/>
            </w:tcBorders>
            <w:tcMar>
              <w:top w:w="128" w:type="dxa"/>
              <w:left w:w="43" w:type="dxa"/>
              <w:bottom w:w="43" w:type="dxa"/>
              <w:right w:w="123" w:type="dxa"/>
            </w:tcMar>
          </w:tcPr>
          <w:p w14:paraId="464B2A8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CAAAC6B" w14:textId="77777777" w:rsidR="000A2A2B" w:rsidRPr="007C3060" w:rsidRDefault="000A2A2B" w:rsidP="007C3060">
            <w:r w:rsidRPr="007C3060">
              <w:t>Sykepenger:</w:t>
            </w:r>
          </w:p>
        </w:tc>
        <w:tc>
          <w:tcPr>
            <w:tcW w:w="1717" w:type="dxa"/>
            <w:tcBorders>
              <w:top w:val="nil"/>
              <w:left w:val="nil"/>
              <w:bottom w:val="nil"/>
              <w:right w:val="nil"/>
            </w:tcBorders>
            <w:tcMar>
              <w:top w:w="128" w:type="dxa"/>
              <w:left w:w="43" w:type="dxa"/>
              <w:bottom w:w="43" w:type="dxa"/>
              <w:right w:w="43" w:type="dxa"/>
            </w:tcMar>
            <w:vAlign w:val="bottom"/>
          </w:tcPr>
          <w:p w14:paraId="4AA573F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85F990F" w14:textId="77777777" w:rsidR="000A2A2B" w:rsidRPr="007C3060" w:rsidRDefault="000A2A2B" w:rsidP="007C3060"/>
        </w:tc>
      </w:tr>
      <w:tr w:rsidR="004B729E" w:rsidRPr="007C3060" w14:paraId="6649D377"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3E113EB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6A0C814"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512884ED" w14:textId="73F64FA8" w:rsidR="000A2A2B" w:rsidRPr="007C3060" w:rsidRDefault="000A2A2B" w:rsidP="007C3060">
            <w:r w:rsidRPr="007C3060">
              <w:t xml:space="preserve">Sykepenger for arbeidstakere mv.,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1A8053E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81EF27F" w14:textId="77777777" w:rsidR="000A2A2B" w:rsidRPr="007C3060" w:rsidRDefault="000A2A2B" w:rsidP="007C3060">
            <w:r w:rsidRPr="007C3060">
              <w:t>490 000 000</w:t>
            </w:r>
          </w:p>
        </w:tc>
      </w:tr>
      <w:tr w:rsidR="004B729E" w:rsidRPr="007C3060" w14:paraId="63C0231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9427A8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664A33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DD6DBC3" w14:textId="77777777" w:rsidR="000A2A2B" w:rsidRPr="007C3060" w:rsidRDefault="000A2A2B" w:rsidP="007C3060">
            <w:r w:rsidRPr="007C3060">
              <w:t>fra kr 62 220 000 000 til kr 62 710 000 000</w:t>
            </w:r>
          </w:p>
        </w:tc>
        <w:tc>
          <w:tcPr>
            <w:tcW w:w="1717" w:type="dxa"/>
            <w:tcBorders>
              <w:top w:val="nil"/>
              <w:left w:val="nil"/>
              <w:bottom w:val="nil"/>
              <w:right w:val="nil"/>
            </w:tcBorders>
            <w:tcMar>
              <w:top w:w="128" w:type="dxa"/>
              <w:left w:w="43" w:type="dxa"/>
              <w:bottom w:w="43" w:type="dxa"/>
              <w:right w:w="43" w:type="dxa"/>
            </w:tcMar>
            <w:vAlign w:val="bottom"/>
          </w:tcPr>
          <w:p w14:paraId="56B98CB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7578619" w14:textId="77777777" w:rsidR="000A2A2B" w:rsidRPr="007C3060" w:rsidRDefault="000A2A2B" w:rsidP="007C3060"/>
        </w:tc>
      </w:tr>
      <w:tr w:rsidR="004B729E" w:rsidRPr="007C3060" w14:paraId="3B16EB77"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D0F9B3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AC2C06F"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5C5D3D49" w14:textId="4B5AC376" w:rsidR="000A2A2B" w:rsidRPr="007C3060" w:rsidRDefault="000A2A2B" w:rsidP="007C3060">
            <w:r w:rsidRPr="007C3060">
              <w:t xml:space="preserve">Sykepenger for selvstendige,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000506F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BEA0035" w14:textId="77777777" w:rsidR="000A2A2B" w:rsidRPr="007C3060" w:rsidRDefault="000A2A2B" w:rsidP="007C3060">
            <w:r w:rsidRPr="007C3060">
              <w:t>40 000 000</w:t>
            </w:r>
          </w:p>
        </w:tc>
      </w:tr>
      <w:tr w:rsidR="004B729E" w:rsidRPr="007C3060" w14:paraId="250B9A6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953FF6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679339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2BBD097" w14:textId="77777777" w:rsidR="000A2A2B" w:rsidRPr="007C3060" w:rsidRDefault="000A2A2B" w:rsidP="007C3060">
            <w:r w:rsidRPr="007C3060">
              <w:t>fra kr 1 940 000 000 til kr 1 980 000 000</w:t>
            </w:r>
          </w:p>
        </w:tc>
        <w:tc>
          <w:tcPr>
            <w:tcW w:w="1717" w:type="dxa"/>
            <w:tcBorders>
              <w:top w:val="nil"/>
              <w:left w:val="nil"/>
              <w:bottom w:val="nil"/>
              <w:right w:val="nil"/>
            </w:tcBorders>
            <w:tcMar>
              <w:top w:w="128" w:type="dxa"/>
              <w:left w:w="43" w:type="dxa"/>
              <w:bottom w:w="43" w:type="dxa"/>
              <w:right w:w="43" w:type="dxa"/>
            </w:tcMar>
            <w:vAlign w:val="bottom"/>
          </w:tcPr>
          <w:p w14:paraId="4A3DE9F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444F8DA" w14:textId="77777777" w:rsidR="000A2A2B" w:rsidRPr="007C3060" w:rsidRDefault="000A2A2B" w:rsidP="007C3060"/>
        </w:tc>
      </w:tr>
      <w:tr w:rsidR="004B729E" w:rsidRPr="007C3060" w14:paraId="2BB531D6"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92F987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9125DAF" w14:textId="74096134"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20A0B022" w14:textId="77777777" w:rsidR="000A2A2B" w:rsidRPr="007C3060" w:rsidRDefault="000A2A2B" w:rsidP="007C3060">
            <w:r w:rsidRPr="007C3060">
              <w:t xml:space="preserve">Pleie-, opplærings- og omsorgspenger mv.,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4F91CC9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76368B8" w14:textId="77777777" w:rsidR="000A2A2B" w:rsidRPr="007C3060" w:rsidRDefault="000A2A2B" w:rsidP="007C3060">
            <w:r w:rsidRPr="007C3060">
              <w:t>590 000 000</w:t>
            </w:r>
          </w:p>
        </w:tc>
      </w:tr>
      <w:tr w:rsidR="004B729E" w:rsidRPr="007C3060" w14:paraId="3929D77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145B42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A1D656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4C91350" w14:textId="77777777" w:rsidR="000A2A2B" w:rsidRPr="007C3060" w:rsidRDefault="000A2A2B" w:rsidP="007C3060">
            <w:r w:rsidRPr="007C3060">
              <w:t>fra kr 3 520 000 000 til kr 4 110 000 000</w:t>
            </w:r>
          </w:p>
        </w:tc>
        <w:tc>
          <w:tcPr>
            <w:tcW w:w="1717" w:type="dxa"/>
            <w:tcBorders>
              <w:top w:val="nil"/>
              <w:left w:val="nil"/>
              <w:bottom w:val="nil"/>
              <w:right w:val="nil"/>
            </w:tcBorders>
            <w:tcMar>
              <w:top w:w="128" w:type="dxa"/>
              <w:left w:w="43" w:type="dxa"/>
              <w:bottom w:w="43" w:type="dxa"/>
              <w:right w:w="43" w:type="dxa"/>
            </w:tcMar>
            <w:vAlign w:val="bottom"/>
          </w:tcPr>
          <w:p w14:paraId="10F6C28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5925092" w14:textId="77777777" w:rsidR="000A2A2B" w:rsidRPr="007C3060" w:rsidRDefault="000A2A2B" w:rsidP="007C3060"/>
        </w:tc>
      </w:tr>
      <w:tr w:rsidR="004B729E" w:rsidRPr="007C3060" w14:paraId="2E41C22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153BD5B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381722B"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08059C10" w14:textId="26E2F1D7" w:rsidR="000A2A2B" w:rsidRPr="007C3060" w:rsidRDefault="000A2A2B" w:rsidP="007C3060">
            <w:r w:rsidRPr="007C3060">
              <w:t xml:space="preserve">Feriepenger av sykepenger,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5A40CD6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313EB97" w14:textId="77777777" w:rsidR="000A2A2B" w:rsidRPr="007C3060" w:rsidRDefault="000A2A2B" w:rsidP="007C3060">
            <w:r w:rsidRPr="007C3060">
              <w:t>40 000 000</w:t>
            </w:r>
          </w:p>
        </w:tc>
      </w:tr>
      <w:tr w:rsidR="004B729E" w:rsidRPr="007C3060" w14:paraId="1E0A806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BC2BBF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8B118F7"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D17A4B4" w14:textId="77777777" w:rsidR="000A2A2B" w:rsidRPr="007C3060" w:rsidRDefault="000A2A2B" w:rsidP="007C3060">
            <w:r w:rsidRPr="007C3060">
              <w:t>fra kr 3 520 000 000 til kr 3 560 000 000</w:t>
            </w:r>
          </w:p>
        </w:tc>
        <w:tc>
          <w:tcPr>
            <w:tcW w:w="1717" w:type="dxa"/>
            <w:tcBorders>
              <w:top w:val="nil"/>
              <w:left w:val="nil"/>
              <w:bottom w:val="nil"/>
              <w:right w:val="nil"/>
            </w:tcBorders>
            <w:tcMar>
              <w:top w:w="128" w:type="dxa"/>
              <w:left w:w="43" w:type="dxa"/>
              <w:bottom w:w="43" w:type="dxa"/>
              <w:right w:w="43" w:type="dxa"/>
            </w:tcMar>
            <w:vAlign w:val="bottom"/>
          </w:tcPr>
          <w:p w14:paraId="3F16799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C43546B" w14:textId="77777777" w:rsidR="000A2A2B" w:rsidRPr="007C3060" w:rsidRDefault="000A2A2B" w:rsidP="007C3060"/>
        </w:tc>
      </w:tr>
      <w:tr w:rsidR="004B729E" w:rsidRPr="007C3060" w14:paraId="5BA6651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3ED196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9F57046" w14:textId="77777777" w:rsidR="000A2A2B" w:rsidRPr="007C3060" w:rsidRDefault="000A2A2B" w:rsidP="007C3060">
            <w:r w:rsidRPr="007C3060">
              <w:t>76</w:t>
            </w:r>
          </w:p>
        </w:tc>
        <w:tc>
          <w:tcPr>
            <w:tcW w:w="4819" w:type="dxa"/>
            <w:tcBorders>
              <w:top w:val="nil"/>
              <w:left w:val="nil"/>
              <w:bottom w:val="nil"/>
              <w:right w:val="nil"/>
            </w:tcBorders>
            <w:tcMar>
              <w:top w:w="128" w:type="dxa"/>
              <w:left w:w="43" w:type="dxa"/>
              <w:bottom w:w="43" w:type="dxa"/>
              <w:right w:w="43" w:type="dxa"/>
            </w:tcMar>
            <w:vAlign w:val="bottom"/>
          </w:tcPr>
          <w:p w14:paraId="27E0E2B5" w14:textId="77777777" w:rsidR="000A2A2B" w:rsidRPr="007C3060" w:rsidRDefault="000A2A2B" w:rsidP="007C3060">
            <w:r w:rsidRPr="007C3060">
              <w:t xml:space="preserve">Tilskudd til ekspertbistand, </w:t>
            </w:r>
            <w:r w:rsidRPr="007C3060">
              <w:rPr>
                <w:rStyle w:val="kursiv"/>
              </w:rPr>
              <w:t>kan overføres,</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965F2D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7225868" w14:textId="77777777" w:rsidR="000A2A2B" w:rsidRPr="007C3060" w:rsidRDefault="000A2A2B" w:rsidP="007C3060">
            <w:r w:rsidRPr="007C3060">
              <w:t>46 300 000</w:t>
            </w:r>
          </w:p>
        </w:tc>
      </w:tr>
      <w:tr w:rsidR="004B729E" w:rsidRPr="007C3060" w14:paraId="60AAA54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98054D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B433B6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D4BD2D1" w14:textId="77777777" w:rsidR="000A2A2B" w:rsidRPr="007C3060" w:rsidRDefault="000A2A2B" w:rsidP="007C3060">
            <w:r w:rsidRPr="007C3060">
              <w:t>fra kr 97 500 000 til kr 51 200 000</w:t>
            </w:r>
          </w:p>
        </w:tc>
        <w:tc>
          <w:tcPr>
            <w:tcW w:w="1717" w:type="dxa"/>
            <w:tcBorders>
              <w:top w:val="nil"/>
              <w:left w:val="nil"/>
              <w:bottom w:val="nil"/>
              <w:right w:val="nil"/>
            </w:tcBorders>
            <w:tcMar>
              <w:top w:w="128" w:type="dxa"/>
              <w:left w:w="43" w:type="dxa"/>
              <w:bottom w:w="43" w:type="dxa"/>
              <w:right w:w="43" w:type="dxa"/>
            </w:tcMar>
            <w:vAlign w:val="bottom"/>
          </w:tcPr>
          <w:p w14:paraId="30E3461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A058421" w14:textId="77777777" w:rsidR="000A2A2B" w:rsidRPr="007C3060" w:rsidRDefault="000A2A2B" w:rsidP="007C3060"/>
        </w:tc>
      </w:tr>
      <w:tr w:rsidR="004B729E" w:rsidRPr="007C3060" w14:paraId="3ECE4D4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D946779" w14:textId="77777777" w:rsidR="000A2A2B" w:rsidRPr="007C3060" w:rsidRDefault="000A2A2B" w:rsidP="007C3060">
            <w:r w:rsidRPr="007C3060">
              <w:t>2651</w:t>
            </w:r>
          </w:p>
        </w:tc>
        <w:tc>
          <w:tcPr>
            <w:tcW w:w="992" w:type="dxa"/>
            <w:tcBorders>
              <w:top w:val="nil"/>
              <w:left w:val="nil"/>
              <w:bottom w:val="nil"/>
              <w:right w:val="nil"/>
            </w:tcBorders>
            <w:tcMar>
              <w:top w:w="128" w:type="dxa"/>
              <w:left w:w="43" w:type="dxa"/>
              <w:bottom w:w="43" w:type="dxa"/>
              <w:right w:w="123" w:type="dxa"/>
            </w:tcMar>
          </w:tcPr>
          <w:p w14:paraId="1152410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B95B2F7" w14:textId="77777777" w:rsidR="000A2A2B" w:rsidRPr="007C3060" w:rsidRDefault="000A2A2B" w:rsidP="007C3060">
            <w:r w:rsidRPr="007C3060">
              <w:t>Arbeidsavklaringspenger:</w:t>
            </w:r>
          </w:p>
        </w:tc>
        <w:tc>
          <w:tcPr>
            <w:tcW w:w="1717" w:type="dxa"/>
            <w:tcBorders>
              <w:top w:val="nil"/>
              <w:left w:val="nil"/>
              <w:bottom w:val="nil"/>
              <w:right w:val="nil"/>
            </w:tcBorders>
            <w:tcMar>
              <w:top w:w="128" w:type="dxa"/>
              <w:left w:w="43" w:type="dxa"/>
              <w:bottom w:w="43" w:type="dxa"/>
              <w:right w:w="43" w:type="dxa"/>
            </w:tcMar>
            <w:vAlign w:val="bottom"/>
          </w:tcPr>
          <w:p w14:paraId="58FF662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8FEB764" w14:textId="77777777" w:rsidR="000A2A2B" w:rsidRPr="007C3060" w:rsidRDefault="000A2A2B" w:rsidP="007C3060"/>
        </w:tc>
      </w:tr>
      <w:tr w:rsidR="004B729E" w:rsidRPr="007C3060" w14:paraId="5F0EBD4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B77370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7868451"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7E8F1EE5" w14:textId="77777777" w:rsidR="000A2A2B" w:rsidRPr="007C3060" w:rsidRDefault="000A2A2B" w:rsidP="007C3060">
            <w:r w:rsidRPr="007C3060">
              <w:t xml:space="preserve">Arbeidsavklaringspenger,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53A1209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76D16C0" w14:textId="77777777" w:rsidR="000A2A2B" w:rsidRPr="007C3060" w:rsidRDefault="000A2A2B" w:rsidP="007C3060">
            <w:r w:rsidRPr="007C3060">
              <w:t>1 130 000 000</w:t>
            </w:r>
          </w:p>
        </w:tc>
      </w:tr>
      <w:tr w:rsidR="004B729E" w:rsidRPr="007C3060" w14:paraId="554E073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38064D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FA8BB2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721CD53" w14:textId="77777777" w:rsidR="000A2A2B" w:rsidRPr="007C3060" w:rsidRDefault="000A2A2B" w:rsidP="007C3060">
            <w:r w:rsidRPr="007C3060">
              <w:t>fra kr 50 160 000 000 til kr 51 290 000 000</w:t>
            </w:r>
          </w:p>
        </w:tc>
        <w:tc>
          <w:tcPr>
            <w:tcW w:w="1717" w:type="dxa"/>
            <w:tcBorders>
              <w:top w:val="nil"/>
              <w:left w:val="nil"/>
              <w:bottom w:val="nil"/>
              <w:right w:val="nil"/>
            </w:tcBorders>
            <w:tcMar>
              <w:top w:w="128" w:type="dxa"/>
              <w:left w:w="43" w:type="dxa"/>
              <w:bottom w:w="43" w:type="dxa"/>
              <w:right w:w="43" w:type="dxa"/>
            </w:tcMar>
            <w:vAlign w:val="bottom"/>
          </w:tcPr>
          <w:p w14:paraId="36CE952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E3C2B18" w14:textId="77777777" w:rsidR="000A2A2B" w:rsidRPr="007C3060" w:rsidRDefault="000A2A2B" w:rsidP="007C3060"/>
        </w:tc>
      </w:tr>
      <w:tr w:rsidR="004B729E" w:rsidRPr="007C3060" w14:paraId="28D259E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D77BE7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5D2D43D"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64250F69" w14:textId="77777777" w:rsidR="000A2A2B" w:rsidRPr="007C3060" w:rsidRDefault="000A2A2B" w:rsidP="007C3060">
            <w:r w:rsidRPr="007C3060">
              <w:t xml:space="preserve">Tilleggsstønad,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7CCD148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299294D" w14:textId="77777777" w:rsidR="000A2A2B" w:rsidRPr="007C3060" w:rsidRDefault="000A2A2B" w:rsidP="007C3060">
            <w:r w:rsidRPr="007C3060">
              <w:t>14 000 000</w:t>
            </w:r>
          </w:p>
        </w:tc>
      </w:tr>
      <w:tr w:rsidR="004B729E" w:rsidRPr="007C3060" w14:paraId="361047E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8CF87C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C97974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E9295E5" w14:textId="77777777" w:rsidR="000A2A2B" w:rsidRPr="007C3060" w:rsidRDefault="000A2A2B" w:rsidP="007C3060">
            <w:r w:rsidRPr="007C3060">
              <w:t>fra kr 139 000 000 til kr 153 000 000</w:t>
            </w:r>
          </w:p>
        </w:tc>
        <w:tc>
          <w:tcPr>
            <w:tcW w:w="1717" w:type="dxa"/>
            <w:tcBorders>
              <w:top w:val="nil"/>
              <w:left w:val="nil"/>
              <w:bottom w:val="nil"/>
              <w:right w:val="nil"/>
            </w:tcBorders>
            <w:tcMar>
              <w:top w:w="128" w:type="dxa"/>
              <w:left w:w="43" w:type="dxa"/>
              <w:bottom w:w="43" w:type="dxa"/>
              <w:right w:w="43" w:type="dxa"/>
            </w:tcMar>
            <w:vAlign w:val="bottom"/>
          </w:tcPr>
          <w:p w14:paraId="788D40A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DF5B43C" w14:textId="77777777" w:rsidR="000A2A2B" w:rsidRPr="007C3060" w:rsidRDefault="000A2A2B" w:rsidP="007C3060"/>
        </w:tc>
      </w:tr>
      <w:tr w:rsidR="004B729E" w:rsidRPr="007C3060" w14:paraId="5CDA445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9A418A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7538CED"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7B521F09" w14:textId="77777777" w:rsidR="000A2A2B" w:rsidRPr="007C3060" w:rsidRDefault="000A2A2B" w:rsidP="007C3060">
            <w:r w:rsidRPr="007C3060">
              <w:t>Legeerklæringer, nedsettes med</w:t>
            </w:r>
          </w:p>
        </w:tc>
        <w:tc>
          <w:tcPr>
            <w:tcW w:w="1717" w:type="dxa"/>
            <w:tcBorders>
              <w:top w:val="nil"/>
              <w:left w:val="nil"/>
              <w:bottom w:val="nil"/>
              <w:right w:val="nil"/>
            </w:tcBorders>
            <w:tcMar>
              <w:top w:w="128" w:type="dxa"/>
              <w:left w:w="43" w:type="dxa"/>
              <w:bottom w:w="43" w:type="dxa"/>
              <w:right w:w="43" w:type="dxa"/>
            </w:tcMar>
            <w:vAlign w:val="bottom"/>
          </w:tcPr>
          <w:p w14:paraId="187D8C4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37BBBA4" w14:textId="77777777" w:rsidR="000A2A2B" w:rsidRPr="007C3060" w:rsidRDefault="000A2A2B" w:rsidP="007C3060">
            <w:r w:rsidRPr="007C3060">
              <w:t>10 000 000</w:t>
            </w:r>
          </w:p>
        </w:tc>
      </w:tr>
      <w:tr w:rsidR="004B729E" w:rsidRPr="007C3060" w14:paraId="1ACF0D1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C7D900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80C54F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C25109A" w14:textId="77777777" w:rsidR="000A2A2B" w:rsidRPr="007C3060" w:rsidRDefault="000A2A2B" w:rsidP="007C3060">
            <w:r w:rsidRPr="007C3060">
              <w:t>fra kr 490 000 000 til kr 480 000 000</w:t>
            </w:r>
          </w:p>
        </w:tc>
        <w:tc>
          <w:tcPr>
            <w:tcW w:w="1717" w:type="dxa"/>
            <w:tcBorders>
              <w:top w:val="nil"/>
              <w:left w:val="nil"/>
              <w:bottom w:val="nil"/>
              <w:right w:val="nil"/>
            </w:tcBorders>
            <w:tcMar>
              <w:top w:w="128" w:type="dxa"/>
              <w:left w:w="43" w:type="dxa"/>
              <w:bottom w:w="43" w:type="dxa"/>
              <w:right w:w="43" w:type="dxa"/>
            </w:tcMar>
            <w:vAlign w:val="bottom"/>
          </w:tcPr>
          <w:p w14:paraId="44FAC19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2E23318" w14:textId="77777777" w:rsidR="000A2A2B" w:rsidRPr="007C3060" w:rsidRDefault="000A2A2B" w:rsidP="007C3060"/>
        </w:tc>
      </w:tr>
      <w:tr w:rsidR="004B729E" w:rsidRPr="007C3060" w14:paraId="0C407F9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436F2DF" w14:textId="77777777" w:rsidR="000A2A2B" w:rsidRPr="007C3060" w:rsidRDefault="000A2A2B" w:rsidP="007C3060">
            <w:r w:rsidRPr="007C3060">
              <w:t>2655</w:t>
            </w:r>
          </w:p>
        </w:tc>
        <w:tc>
          <w:tcPr>
            <w:tcW w:w="992" w:type="dxa"/>
            <w:tcBorders>
              <w:top w:val="nil"/>
              <w:left w:val="nil"/>
              <w:bottom w:val="nil"/>
              <w:right w:val="nil"/>
            </w:tcBorders>
            <w:tcMar>
              <w:top w:w="128" w:type="dxa"/>
              <w:left w:w="43" w:type="dxa"/>
              <w:bottom w:w="43" w:type="dxa"/>
              <w:right w:w="123" w:type="dxa"/>
            </w:tcMar>
          </w:tcPr>
          <w:p w14:paraId="1B10069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0DA9850" w14:textId="77777777" w:rsidR="000A2A2B" w:rsidRPr="007C3060" w:rsidRDefault="000A2A2B" w:rsidP="007C3060">
            <w:r w:rsidRPr="007C3060">
              <w:t>Uførhet:</w:t>
            </w:r>
          </w:p>
        </w:tc>
        <w:tc>
          <w:tcPr>
            <w:tcW w:w="1717" w:type="dxa"/>
            <w:tcBorders>
              <w:top w:val="nil"/>
              <w:left w:val="nil"/>
              <w:bottom w:val="nil"/>
              <w:right w:val="nil"/>
            </w:tcBorders>
            <w:tcMar>
              <w:top w:w="128" w:type="dxa"/>
              <w:left w:w="43" w:type="dxa"/>
              <w:bottom w:w="43" w:type="dxa"/>
              <w:right w:w="43" w:type="dxa"/>
            </w:tcMar>
            <w:vAlign w:val="bottom"/>
          </w:tcPr>
          <w:p w14:paraId="6D1228C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CB238F8" w14:textId="77777777" w:rsidR="000A2A2B" w:rsidRPr="007C3060" w:rsidRDefault="000A2A2B" w:rsidP="007C3060"/>
        </w:tc>
      </w:tr>
      <w:tr w:rsidR="004B729E" w:rsidRPr="007C3060" w14:paraId="02F4BF0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16BF40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57CF25A"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656A49AC" w14:textId="77777777" w:rsidR="000A2A2B" w:rsidRPr="007C3060" w:rsidRDefault="000A2A2B" w:rsidP="007C3060">
            <w:r w:rsidRPr="007C3060">
              <w:t xml:space="preserve">Uføretrygd,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399949A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8ABD41A" w14:textId="77777777" w:rsidR="000A2A2B" w:rsidRPr="007C3060" w:rsidRDefault="000A2A2B" w:rsidP="007C3060">
            <w:r w:rsidRPr="007C3060">
              <w:t>1 252 500 000</w:t>
            </w:r>
          </w:p>
        </w:tc>
      </w:tr>
      <w:tr w:rsidR="004B729E" w:rsidRPr="007C3060" w14:paraId="61E2AAB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250C09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EF8326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2B34F77" w14:textId="77777777" w:rsidR="000A2A2B" w:rsidRPr="007C3060" w:rsidRDefault="000A2A2B" w:rsidP="007C3060">
            <w:r w:rsidRPr="007C3060">
              <w:t>fra kr 132 617 500 000 til kr 133 870 000 000</w:t>
            </w:r>
          </w:p>
        </w:tc>
        <w:tc>
          <w:tcPr>
            <w:tcW w:w="1717" w:type="dxa"/>
            <w:tcBorders>
              <w:top w:val="nil"/>
              <w:left w:val="nil"/>
              <w:bottom w:val="nil"/>
              <w:right w:val="nil"/>
            </w:tcBorders>
            <w:tcMar>
              <w:top w:w="128" w:type="dxa"/>
              <w:left w:w="43" w:type="dxa"/>
              <w:bottom w:w="43" w:type="dxa"/>
              <w:right w:w="43" w:type="dxa"/>
            </w:tcMar>
            <w:vAlign w:val="bottom"/>
          </w:tcPr>
          <w:p w14:paraId="73FC72B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6C94180" w14:textId="77777777" w:rsidR="000A2A2B" w:rsidRPr="007C3060" w:rsidRDefault="000A2A2B" w:rsidP="007C3060"/>
        </w:tc>
      </w:tr>
      <w:tr w:rsidR="004B729E" w:rsidRPr="007C3060" w14:paraId="3954E8DD"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FBCC2F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7906150"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18F1FCE7" w14:textId="77777777" w:rsidR="000A2A2B" w:rsidRPr="007C3060" w:rsidRDefault="000A2A2B" w:rsidP="007C3060">
            <w:r w:rsidRPr="007C3060">
              <w:t xml:space="preserve">Menerstatning ved yrkesskade,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167FDE4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27FBBD0" w14:textId="77777777" w:rsidR="000A2A2B" w:rsidRPr="007C3060" w:rsidRDefault="000A2A2B" w:rsidP="007C3060">
            <w:r w:rsidRPr="007C3060">
              <w:t>19 000 000</w:t>
            </w:r>
          </w:p>
        </w:tc>
      </w:tr>
      <w:tr w:rsidR="004B729E" w:rsidRPr="007C3060" w14:paraId="4EB9FE8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976390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775C99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CC33A63" w14:textId="77777777" w:rsidR="000A2A2B" w:rsidRPr="007C3060" w:rsidRDefault="000A2A2B" w:rsidP="007C3060">
            <w:r w:rsidRPr="007C3060">
              <w:t>fra kr 68 000 000 til kr 87 000 000</w:t>
            </w:r>
          </w:p>
        </w:tc>
        <w:tc>
          <w:tcPr>
            <w:tcW w:w="1717" w:type="dxa"/>
            <w:tcBorders>
              <w:top w:val="nil"/>
              <w:left w:val="nil"/>
              <w:bottom w:val="nil"/>
              <w:right w:val="nil"/>
            </w:tcBorders>
            <w:tcMar>
              <w:top w:w="128" w:type="dxa"/>
              <w:left w:w="43" w:type="dxa"/>
              <w:bottom w:w="43" w:type="dxa"/>
              <w:right w:w="43" w:type="dxa"/>
            </w:tcMar>
            <w:vAlign w:val="bottom"/>
          </w:tcPr>
          <w:p w14:paraId="08A3B8F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BFB9CC6" w14:textId="77777777" w:rsidR="000A2A2B" w:rsidRPr="007C3060" w:rsidRDefault="000A2A2B" w:rsidP="007C3060"/>
        </w:tc>
      </w:tr>
      <w:tr w:rsidR="004B729E" w:rsidRPr="007C3060" w14:paraId="20598AD6"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065FCB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39C2455" w14:textId="77777777" w:rsidR="000A2A2B" w:rsidRPr="007C3060" w:rsidRDefault="000A2A2B" w:rsidP="007C3060">
            <w:r w:rsidRPr="007C3060">
              <w:t>76</w:t>
            </w:r>
          </w:p>
        </w:tc>
        <w:tc>
          <w:tcPr>
            <w:tcW w:w="4819" w:type="dxa"/>
            <w:tcBorders>
              <w:top w:val="nil"/>
              <w:left w:val="nil"/>
              <w:bottom w:val="nil"/>
              <w:right w:val="nil"/>
            </w:tcBorders>
            <w:tcMar>
              <w:top w:w="128" w:type="dxa"/>
              <w:left w:w="43" w:type="dxa"/>
              <w:bottom w:w="43" w:type="dxa"/>
              <w:right w:w="43" w:type="dxa"/>
            </w:tcMar>
            <w:vAlign w:val="bottom"/>
          </w:tcPr>
          <w:p w14:paraId="482AD1C1" w14:textId="6B6498F3" w:rsidR="000A2A2B" w:rsidRPr="007C3060" w:rsidRDefault="000A2A2B" w:rsidP="007C3060">
            <w:r w:rsidRPr="007C3060">
              <w:t xml:space="preserve">Yrkesskadetrygd gml. lovgivning, </w:t>
            </w:r>
            <w:r w:rsidRPr="007C3060">
              <w:rPr>
                <w:rStyle w:val="kursiv"/>
              </w:rPr>
              <w:t>overslagsbevilgning,</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2DBDC32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3F3F060" w14:textId="77777777" w:rsidR="000A2A2B" w:rsidRPr="007C3060" w:rsidRDefault="000A2A2B" w:rsidP="007C3060">
            <w:r w:rsidRPr="007C3060">
              <w:t>2 000 000</w:t>
            </w:r>
          </w:p>
        </w:tc>
      </w:tr>
      <w:tr w:rsidR="004B729E" w:rsidRPr="007C3060" w14:paraId="128C143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630062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B694B9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18644B0" w14:textId="77777777" w:rsidR="000A2A2B" w:rsidRPr="007C3060" w:rsidRDefault="000A2A2B" w:rsidP="007C3060">
            <w:r w:rsidRPr="007C3060">
              <w:t>fra kr 30 000 000 til kr 28 000 000</w:t>
            </w:r>
          </w:p>
        </w:tc>
        <w:tc>
          <w:tcPr>
            <w:tcW w:w="1717" w:type="dxa"/>
            <w:tcBorders>
              <w:top w:val="nil"/>
              <w:left w:val="nil"/>
              <w:bottom w:val="nil"/>
              <w:right w:val="nil"/>
            </w:tcBorders>
            <w:tcMar>
              <w:top w:w="128" w:type="dxa"/>
              <w:left w:w="43" w:type="dxa"/>
              <w:bottom w:w="43" w:type="dxa"/>
              <w:right w:w="43" w:type="dxa"/>
            </w:tcMar>
            <w:vAlign w:val="bottom"/>
          </w:tcPr>
          <w:p w14:paraId="0705E37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7F30ED1" w14:textId="77777777" w:rsidR="000A2A2B" w:rsidRPr="007C3060" w:rsidRDefault="000A2A2B" w:rsidP="007C3060"/>
        </w:tc>
      </w:tr>
      <w:tr w:rsidR="004B729E" w:rsidRPr="007C3060" w14:paraId="7A80569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2F01C82" w14:textId="77777777" w:rsidR="000A2A2B" w:rsidRPr="007C3060" w:rsidRDefault="000A2A2B" w:rsidP="007C3060">
            <w:r w:rsidRPr="007C3060">
              <w:t>2661</w:t>
            </w:r>
          </w:p>
        </w:tc>
        <w:tc>
          <w:tcPr>
            <w:tcW w:w="992" w:type="dxa"/>
            <w:tcBorders>
              <w:top w:val="nil"/>
              <w:left w:val="nil"/>
              <w:bottom w:val="nil"/>
              <w:right w:val="nil"/>
            </w:tcBorders>
            <w:tcMar>
              <w:top w:w="128" w:type="dxa"/>
              <w:left w:w="43" w:type="dxa"/>
              <w:bottom w:w="43" w:type="dxa"/>
              <w:right w:w="123" w:type="dxa"/>
            </w:tcMar>
          </w:tcPr>
          <w:p w14:paraId="7082663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5992925" w14:textId="77777777" w:rsidR="000A2A2B" w:rsidRPr="007C3060" w:rsidRDefault="000A2A2B" w:rsidP="007C3060">
            <w:r w:rsidRPr="007C3060">
              <w:t>Grunn- og hjelpestønad, hjelpemidler mv.:</w:t>
            </w:r>
          </w:p>
        </w:tc>
        <w:tc>
          <w:tcPr>
            <w:tcW w:w="1717" w:type="dxa"/>
            <w:tcBorders>
              <w:top w:val="nil"/>
              <w:left w:val="nil"/>
              <w:bottom w:val="nil"/>
              <w:right w:val="nil"/>
            </w:tcBorders>
            <w:tcMar>
              <w:top w:w="128" w:type="dxa"/>
              <w:left w:w="43" w:type="dxa"/>
              <w:bottom w:w="43" w:type="dxa"/>
              <w:right w:w="43" w:type="dxa"/>
            </w:tcMar>
            <w:vAlign w:val="bottom"/>
          </w:tcPr>
          <w:p w14:paraId="6FCC5B5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DD9E058" w14:textId="77777777" w:rsidR="000A2A2B" w:rsidRPr="007C3060" w:rsidRDefault="000A2A2B" w:rsidP="007C3060"/>
        </w:tc>
      </w:tr>
      <w:tr w:rsidR="004B729E" w:rsidRPr="007C3060" w14:paraId="5D6214A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8881CF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8CC8F8C"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2AAB907A" w14:textId="77777777" w:rsidR="000A2A2B" w:rsidRPr="007C3060" w:rsidRDefault="000A2A2B" w:rsidP="007C3060">
            <w:r w:rsidRPr="007C3060">
              <w:t xml:space="preserve">Grunnstønad,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12D26F0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DF9A600" w14:textId="77777777" w:rsidR="000A2A2B" w:rsidRPr="007C3060" w:rsidRDefault="000A2A2B" w:rsidP="007C3060">
            <w:r w:rsidRPr="007C3060">
              <w:t>7 300 000</w:t>
            </w:r>
          </w:p>
        </w:tc>
      </w:tr>
      <w:tr w:rsidR="004B729E" w:rsidRPr="007C3060" w14:paraId="7CBD549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6BF55E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54EABA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61CC6E3" w14:textId="77777777" w:rsidR="000A2A2B" w:rsidRPr="007C3060" w:rsidRDefault="000A2A2B" w:rsidP="007C3060">
            <w:r w:rsidRPr="007C3060">
              <w:t>fra kr 1 852 700 000 til kr 1 860 000 000</w:t>
            </w:r>
          </w:p>
        </w:tc>
        <w:tc>
          <w:tcPr>
            <w:tcW w:w="1717" w:type="dxa"/>
            <w:tcBorders>
              <w:top w:val="nil"/>
              <w:left w:val="nil"/>
              <w:bottom w:val="nil"/>
              <w:right w:val="nil"/>
            </w:tcBorders>
            <w:tcMar>
              <w:top w:w="128" w:type="dxa"/>
              <w:left w:w="43" w:type="dxa"/>
              <w:bottom w:w="43" w:type="dxa"/>
              <w:right w:w="43" w:type="dxa"/>
            </w:tcMar>
            <w:vAlign w:val="bottom"/>
          </w:tcPr>
          <w:p w14:paraId="4906F7C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B5BD313" w14:textId="77777777" w:rsidR="000A2A2B" w:rsidRPr="007C3060" w:rsidRDefault="000A2A2B" w:rsidP="007C3060"/>
        </w:tc>
      </w:tr>
      <w:tr w:rsidR="004B729E" w:rsidRPr="007C3060" w14:paraId="14FA388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662489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388BEAD"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3007AE31" w14:textId="77777777" w:rsidR="000A2A2B" w:rsidRPr="007C3060" w:rsidRDefault="000A2A2B" w:rsidP="007C3060">
            <w:r w:rsidRPr="007C3060">
              <w:t xml:space="preserve">Hjelpestønad,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31B2623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36FD990" w14:textId="77777777" w:rsidR="000A2A2B" w:rsidRPr="007C3060" w:rsidRDefault="000A2A2B" w:rsidP="007C3060">
            <w:r w:rsidRPr="007C3060">
              <w:t>38 000 000</w:t>
            </w:r>
          </w:p>
        </w:tc>
      </w:tr>
      <w:tr w:rsidR="004B729E" w:rsidRPr="007C3060" w14:paraId="4093B11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E56D33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3F1550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C578692" w14:textId="77777777" w:rsidR="000A2A2B" w:rsidRPr="007C3060" w:rsidRDefault="000A2A2B" w:rsidP="007C3060">
            <w:r w:rsidRPr="007C3060">
              <w:t>fra kr 2 522 000 000 til kr 2 560 000 000</w:t>
            </w:r>
          </w:p>
        </w:tc>
        <w:tc>
          <w:tcPr>
            <w:tcW w:w="1717" w:type="dxa"/>
            <w:tcBorders>
              <w:top w:val="nil"/>
              <w:left w:val="nil"/>
              <w:bottom w:val="nil"/>
              <w:right w:val="nil"/>
            </w:tcBorders>
            <w:tcMar>
              <w:top w:w="128" w:type="dxa"/>
              <w:left w:w="43" w:type="dxa"/>
              <w:bottom w:w="43" w:type="dxa"/>
              <w:right w:w="43" w:type="dxa"/>
            </w:tcMar>
            <w:vAlign w:val="bottom"/>
          </w:tcPr>
          <w:p w14:paraId="64D25C2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525A765" w14:textId="77777777" w:rsidR="000A2A2B" w:rsidRPr="007C3060" w:rsidRDefault="000A2A2B" w:rsidP="007C3060"/>
        </w:tc>
      </w:tr>
      <w:tr w:rsidR="004B729E" w:rsidRPr="007C3060" w14:paraId="35699B5A"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CFECD9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6225088"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7D78453F" w14:textId="77777777" w:rsidR="000A2A2B" w:rsidRPr="007C3060" w:rsidRDefault="000A2A2B" w:rsidP="007C3060">
            <w:r w:rsidRPr="007C3060">
              <w:t>Stønad til servicehund, forhøyes med</w:t>
            </w:r>
          </w:p>
        </w:tc>
        <w:tc>
          <w:tcPr>
            <w:tcW w:w="1717" w:type="dxa"/>
            <w:tcBorders>
              <w:top w:val="nil"/>
              <w:left w:val="nil"/>
              <w:bottom w:val="nil"/>
              <w:right w:val="nil"/>
            </w:tcBorders>
            <w:tcMar>
              <w:top w:w="128" w:type="dxa"/>
              <w:left w:w="43" w:type="dxa"/>
              <w:bottom w:w="43" w:type="dxa"/>
              <w:right w:w="43" w:type="dxa"/>
            </w:tcMar>
            <w:vAlign w:val="bottom"/>
          </w:tcPr>
          <w:p w14:paraId="0A058BE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1D50D3D" w14:textId="77777777" w:rsidR="000A2A2B" w:rsidRPr="007C3060" w:rsidRDefault="000A2A2B" w:rsidP="007C3060">
            <w:r w:rsidRPr="007C3060">
              <w:t>3 300 000</w:t>
            </w:r>
          </w:p>
        </w:tc>
      </w:tr>
      <w:tr w:rsidR="004B729E" w:rsidRPr="007C3060" w14:paraId="71ECEE4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F799C6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7719A3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C3633C8" w14:textId="77777777" w:rsidR="000A2A2B" w:rsidRPr="007C3060" w:rsidRDefault="000A2A2B" w:rsidP="007C3060">
            <w:r w:rsidRPr="007C3060">
              <w:t>fra kr 10 280 000 til kr 13 580 000</w:t>
            </w:r>
          </w:p>
        </w:tc>
        <w:tc>
          <w:tcPr>
            <w:tcW w:w="1717" w:type="dxa"/>
            <w:tcBorders>
              <w:top w:val="nil"/>
              <w:left w:val="nil"/>
              <w:bottom w:val="nil"/>
              <w:right w:val="nil"/>
            </w:tcBorders>
            <w:tcMar>
              <w:top w:w="128" w:type="dxa"/>
              <w:left w:w="43" w:type="dxa"/>
              <w:bottom w:w="43" w:type="dxa"/>
              <w:right w:w="43" w:type="dxa"/>
            </w:tcMar>
            <w:vAlign w:val="bottom"/>
          </w:tcPr>
          <w:p w14:paraId="166D468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937EF86" w14:textId="77777777" w:rsidR="000A2A2B" w:rsidRPr="007C3060" w:rsidRDefault="000A2A2B" w:rsidP="007C3060"/>
        </w:tc>
      </w:tr>
      <w:tr w:rsidR="004B729E" w:rsidRPr="007C3060" w14:paraId="3D4ED1A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97CEFC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907A01A"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7495D41E" w14:textId="77777777" w:rsidR="000A2A2B" w:rsidRPr="007C3060" w:rsidRDefault="000A2A2B" w:rsidP="007C3060">
            <w:r w:rsidRPr="007C3060">
              <w:t>Hjelpemidler mv. under arbeid og utdanning, forhøyes med</w:t>
            </w:r>
          </w:p>
        </w:tc>
        <w:tc>
          <w:tcPr>
            <w:tcW w:w="1717" w:type="dxa"/>
            <w:tcBorders>
              <w:top w:val="nil"/>
              <w:left w:val="nil"/>
              <w:bottom w:val="nil"/>
              <w:right w:val="nil"/>
            </w:tcBorders>
            <w:tcMar>
              <w:top w:w="128" w:type="dxa"/>
              <w:left w:w="43" w:type="dxa"/>
              <w:bottom w:w="43" w:type="dxa"/>
              <w:right w:w="43" w:type="dxa"/>
            </w:tcMar>
            <w:vAlign w:val="bottom"/>
          </w:tcPr>
          <w:p w14:paraId="32F7787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AD5208E" w14:textId="77777777" w:rsidR="000A2A2B" w:rsidRPr="007C3060" w:rsidRDefault="000A2A2B" w:rsidP="007C3060">
            <w:r w:rsidRPr="007C3060">
              <w:t>760 000</w:t>
            </w:r>
          </w:p>
        </w:tc>
      </w:tr>
      <w:tr w:rsidR="004B729E" w:rsidRPr="007C3060" w14:paraId="53E45D6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3CF083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87AA6B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45B26BA" w14:textId="77777777" w:rsidR="000A2A2B" w:rsidRPr="007C3060" w:rsidRDefault="000A2A2B" w:rsidP="007C3060">
            <w:r w:rsidRPr="007C3060">
              <w:t>fra kr 139 240 000 til kr 140 000 000</w:t>
            </w:r>
          </w:p>
        </w:tc>
        <w:tc>
          <w:tcPr>
            <w:tcW w:w="1717" w:type="dxa"/>
            <w:tcBorders>
              <w:top w:val="nil"/>
              <w:left w:val="nil"/>
              <w:bottom w:val="nil"/>
              <w:right w:val="nil"/>
            </w:tcBorders>
            <w:tcMar>
              <w:top w:w="128" w:type="dxa"/>
              <w:left w:w="43" w:type="dxa"/>
              <w:bottom w:w="43" w:type="dxa"/>
              <w:right w:w="43" w:type="dxa"/>
            </w:tcMar>
            <w:vAlign w:val="bottom"/>
          </w:tcPr>
          <w:p w14:paraId="17E9A2C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915C99C" w14:textId="77777777" w:rsidR="000A2A2B" w:rsidRPr="007C3060" w:rsidRDefault="000A2A2B" w:rsidP="007C3060"/>
        </w:tc>
      </w:tr>
      <w:tr w:rsidR="004B729E" w:rsidRPr="007C3060" w14:paraId="20834FE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AE042C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86FEBD9" w14:textId="77777777" w:rsidR="000A2A2B" w:rsidRPr="007C3060" w:rsidRDefault="000A2A2B" w:rsidP="007C3060">
            <w:r w:rsidRPr="007C3060">
              <w:t>74</w:t>
            </w:r>
          </w:p>
        </w:tc>
        <w:tc>
          <w:tcPr>
            <w:tcW w:w="4819" w:type="dxa"/>
            <w:tcBorders>
              <w:top w:val="nil"/>
              <w:left w:val="nil"/>
              <w:bottom w:val="nil"/>
              <w:right w:val="nil"/>
            </w:tcBorders>
            <w:tcMar>
              <w:top w:w="128" w:type="dxa"/>
              <w:left w:w="43" w:type="dxa"/>
              <w:bottom w:w="43" w:type="dxa"/>
              <w:right w:w="43" w:type="dxa"/>
            </w:tcMar>
            <w:vAlign w:val="bottom"/>
          </w:tcPr>
          <w:p w14:paraId="48B7A5FE" w14:textId="77777777" w:rsidR="000A2A2B" w:rsidRPr="007C3060" w:rsidRDefault="000A2A2B" w:rsidP="007C3060">
            <w:r w:rsidRPr="007C3060">
              <w:t>Tilskudd til biler, forhøyes med</w:t>
            </w:r>
          </w:p>
        </w:tc>
        <w:tc>
          <w:tcPr>
            <w:tcW w:w="1717" w:type="dxa"/>
            <w:tcBorders>
              <w:top w:val="nil"/>
              <w:left w:val="nil"/>
              <w:bottom w:val="nil"/>
              <w:right w:val="nil"/>
            </w:tcBorders>
            <w:tcMar>
              <w:top w:w="128" w:type="dxa"/>
              <w:left w:w="43" w:type="dxa"/>
              <w:bottom w:w="43" w:type="dxa"/>
              <w:right w:w="43" w:type="dxa"/>
            </w:tcMar>
            <w:vAlign w:val="bottom"/>
          </w:tcPr>
          <w:p w14:paraId="4867EA0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589BF78" w14:textId="77777777" w:rsidR="000A2A2B" w:rsidRPr="007C3060" w:rsidRDefault="000A2A2B" w:rsidP="007C3060">
            <w:r w:rsidRPr="007C3060">
              <w:t>175 300 000</w:t>
            </w:r>
          </w:p>
        </w:tc>
      </w:tr>
      <w:tr w:rsidR="004B729E" w:rsidRPr="007C3060" w14:paraId="3887AB6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89C8384"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76E46C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C9F1D3C" w14:textId="77777777" w:rsidR="000A2A2B" w:rsidRPr="007C3060" w:rsidRDefault="000A2A2B" w:rsidP="007C3060">
            <w:r w:rsidRPr="007C3060">
              <w:t>fra kr 809 700 000 til kr 985 000 000</w:t>
            </w:r>
          </w:p>
        </w:tc>
        <w:tc>
          <w:tcPr>
            <w:tcW w:w="1717" w:type="dxa"/>
            <w:tcBorders>
              <w:top w:val="nil"/>
              <w:left w:val="nil"/>
              <w:bottom w:val="nil"/>
              <w:right w:val="nil"/>
            </w:tcBorders>
            <w:tcMar>
              <w:top w:w="128" w:type="dxa"/>
              <w:left w:w="43" w:type="dxa"/>
              <w:bottom w:w="43" w:type="dxa"/>
              <w:right w:w="43" w:type="dxa"/>
            </w:tcMar>
            <w:vAlign w:val="bottom"/>
          </w:tcPr>
          <w:p w14:paraId="3F315CD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3C2857B" w14:textId="77777777" w:rsidR="000A2A2B" w:rsidRPr="007C3060" w:rsidRDefault="000A2A2B" w:rsidP="007C3060"/>
        </w:tc>
      </w:tr>
      <w:tr w:rsidR="004B729E" w:rsidRPr="007C3060" w14:paraId="3F11B52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7C87C7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15AE0F3"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4674CBAE" w14:textId="77777777" w:rsidR="000A2A2B" w:rsidRPr="007C3060" w:rsidRDefault="000A2A2B" w:rsidP="007C3060">
            <w:r w:rsidRPr="007C3060">
              <w:t>Bedring av funksjonsevnen, hjelpemidler, forhøyes med</w:t>
            </w:r>
          </w:p>
        </w:tc>
        <w:tc>
          <w:tcPr>
            <w:tcW w:w="1717" w:type="dxa"/>
            <w:tcBorders>
              <w:top w:val="nil"/>
              <w:left w:val="nil"/>
              <w:bottom w:val="nil"/>
              <w:right w:val="nil"/>
            </w:tcBorders>
            <w:tcMar>
              <w:top w:w="128" w:type="dxa"/>
              <w:left w:w="43" w:type="dxa"/>
              <w:bottom w:w="43" w:type="dxa"/>
              <w:right w:w="43" w:type="dxa"/>
            </w:tcMar>
            <w:vAlign w:val="bottom"/>
          </w:tcPr>
          <w:p w14:paraId="09B6A05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E32D492" w14:textId="77777777" w:rsidR="000A2A2B" w:rsidRPr="007C3060" w:rsidRDefault="000A2A2B" w:rsidP="007C3060">
            <w:r w:rsidRPr="007C3060">
              <w:t>251 900 000</w:t>
            </w:r>
          </w:p>
        </w:tc>
      </w:tr>
      <w:tr w:rsidR="004B729E" w:rsidRPr="007C3060" w14:paraId="3600E82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55EE03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3CCC2B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15803A3" w14:textId="77777777" w:rsidR="000A2A2B" w:rsidRPr="007C3060" w:rsidRDefault="000A2A2B" w:rsidP="007C3060">
            <w:r w:rsidRPr="007C3060">
              <w:t>fra kr 5 148 100 000 til kr 5 400 000 000</w:t>
            </w:r>
          </w:p>
        </w:tc>
        <w:tc>
          <w:tcPr>
            <w:tcW w:w="1717" w:type="dxa"/>
            <w:tcBorders>
              <w:top w:val="nil"/>
              <w:left w:val="nil"/>
              <w:bottom w:val="nil"/>
              <w:right w:val="nil"/>
            </w:tcBorders>
            <w:tcMar>
              <w:top w:w="128" w:type="dxa"/>
              <w:left w:w="43" w:type="dxa"/>
              <w:bottom w:w="43" w:type="dxa"/>
              <w:right w:w="43" w:type="dxa"/>
            </w:tcMar>
            <w:vAlign w:val="bottom"/>
          </w:tcPr>
          <w:p w14:paraId="48904D6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2F6ED77" w14:textId="77777777" w:rsidR="000A2A2B" w:rsidRPr="007C3060" w:rsidRDefault="000A2A2B" w:rsidP="007C3060"/>
        </w:tc>
      </w:tr>
      <w:tr w:rsidR="004B729E" w:rsidRPr="007C3060" w14:paraId="2480741D"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BD674D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D4DF636" w14:textId="77777777" w:rsidR="000A2A2B" w:rsidRPr="007C3060" w:rsidRDefault="000A2A2B" w:rsidP="007C3060">
            <w:r w:rsidRPr="007C3060">
              <w:t>76</w:t>
            </w:r>
          </w:p>
        </w:tc>
        <w:tc>
          <w:tcPr>
            <w:tcW w:w="4819" w:type="dxa"/>
            <w:tcBorders>
              <w:top w:val="nil"/>
              <w:left w:val="nil"/>
              <w:bottom w:val="nil"/>
              <w:right w:val="nil"/>
            </w:tcBorders>
            <w:tcMar>
              <w:top w:w="128" w:type="dxa"/>
              <w:left w:w="43" w:type="dxa"/>
              <w:bottom w:w="43" w:type="dxa"/>
              <w:right w:w="43" w:type="dxa"/>
            </w:tcMar>
            <w:vAlign w:val="bottom"/>
          </w:tcPr>
          <w:p w14:paraId="42EB4ABC" w14:textId="77777777" w:rsidR="000A2A2B" w:rsidRPr="007C3060" w:rsidRDefault="000A2A2B" w:rsidP="007C3060">
            <w:r w:rsidRPr="007C3060">
              <w:t>Bedring av funksjonsevnen, hjelpemidler som tjenester, nedsettes med</w:t>
            </w:r>
          </w:p>
        </w:tc>
        <w:tc>
          <w:tcPr>
            <w:tcW w:w="1717" w:type="dxa"/>
            <w:tcBorders>
              <w:top w:val="nil"/>
              <w:left w:val="nil"/>
              <w:bottom w:val="nil"/>
              <w:right w:val="nil"/>
            </w:tcBorders>
            <w:tcMar>
              <w:top w:w="128" w:type="dxa"/>
              <w:left w:w="43" w:type="dxa"/>
              <w:bottom w:w="43" w:type="dxa"/>
              <w:right w:w="43" w:type="dxa"/>
            </w:tcMar>
            <w:vAlign w:val="bottom"/>
          </w:tcPr>
          <w:p w14:paraId="579EF55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83641A1" w14:textId="77777777" w:rsidR="000A2A2B" w:rsidRPr="007C3060" w:rsidRDefault="000A2A2B" w:rsidP="007C3060">
            <w:r w:rsidRPr="007C3060">
              <w:t>760 000</w:t>
            </w:r>
          </w:p>
        </w:tc>
      </w:tr>
      <w:tr w:rsidR="004B729E" w:rsidRPr="007C3060" w14:paraId="512D972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EF33FF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4E9F93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F0A9105" w14:textId="77777777" w:rsidR="000A2A2B" w:rsidRPr="007C3060" w:rsidRDefault="000A2A2B" w:rsidP="007C3060">
            <w:r w:rsidRPr="007C3060">
              <w:t>fra kr 490 760 000 til kr 490 000 000</w:t>
            </w:r>
          </w:p>
        </w:tc>
        <w:tc>
          <w:tcPr>
            <w:tcW w:w="1717" w:type="dxa"/>
            <w:tcBorders>
              <w:top w:val="nil"/>
              <w:left w:val="nil"/>
              <w:bottom w:val="nil"/>
              <w:right w:val="nil"/>
            </w:tcBorders>
            <w:tcMar>
              <w:top w:w="128" w:type="dxa"/>
              <w:left w:w="43" w:type="dxa"/>
              <w:bottom w:w="43" w:type="dxa"/>
              <w:right w:w="43" w:type="dxa"/>
            </w:tcMar>
            <w:vAlign w:val="bottom"/>
          </w:tcPr>
          <w:p w14:paraId="736A1EB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92951A2" w14:textId="77777777" w:rsidR="000A2A2B" w:rsidRPr="007C3060" w:rsidRDefault="000A2A2B" w:rsidP="007C3060"/>
        </w:tc>
      </w:tr>
      <w:tr w:rsidR="004B729E" w:rsidRPr="007C3060" w14:paraId="599141F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D0BC0A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6EB9812" w14:textId="77777777" w:rsidR="000A2A2B" w:rsidRPr="007C3060" w:rsidRDefault="000A2A2B" w:rsidP="007C3060">
            <w:r w:rsidRPr="007C3060">
              <w:t>77</w:t>
            </w:r>
          </w:p>
        </w:tc>
        <w:tc>
          <w:tcPr>
            <w:tcW w:w="4819" w:type="dxa"/>
            <w:tcBorders>
              <w:top w:val="nil"/>
              <w:left w:val="nil"/>
              <w:bottom w:val="nil"/>
              <w:right w:val="nil"/>
            </w:tcBorders>
            <w:tcMar>
              <w:top w:w="128" w:type="dxa"/>
              <w:left w:w="43" w:type="dxa"/>
              <w:bottom w:w="43" w:type="dxa"/>
              <w:right w:w="43" w:type="dxa"/>
            </w:tcMar>
            <w:vAlign w:val="bottom"/>
          </w:tcPr>
          <w:p w14:paraId="3735C19B" w14:textId="77777777" w:rsidR="000A2A2B" w:rsidRPr="007C3060" w:rsidRDefault="000A2A2B" w:rsidP="007C3060">
            <w:r w:rsidRPr="007C3060">
              <w:t>Ortopediske hjelpemidler, nedsettes med</w:t>
            </w:r>
          </w:p>
        </w:tc>
        <w:tc>
          <w:tcPr>
            <w:tcW w:w="1717" w:type="dxa"/>
            <w:tcBorders>
              <w:top w:val="nil"/>
              <w:left w:val="nil"/>
              <w:bottom w:val="nil"/>
              <w:right w:val="nil"/>
            </w:tcBorders>
            <w:tcMar>
              <w:top w:w="128" w:type="dxa"/>
              <w:left w:w="43" w:type="dxa"/>
              <w:bottom w:w="43" w:type="dxa"/>
              <w:right w:w="43" w:type="dxa"/>
            </w:tcMar>
            <w:vAlign w:val="bottom"/>
          </w:tcPr>
          <w:p w14:paraId="245133B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A390C14" w14:textId="77777777" w:rsidR="000A2A2B" w:rsidRPr="007C3060" w:rsidRDefault="000A2A2B" w:rsidP="007C3060">
            <w:r w:rsidRPr="007C3060">
              <w:t>14 800 000</w:t>
            </w:r>
          </w:p>
        </w:tc>
      </w:tr>
      <w:tr w:rsidR="004B729E" w:rsidRPr="007C3060" w14:paraId="331F427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49D883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A80534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8074001" w14:textId="77777777" w:rsidR="000A2A2B" w:rsidRPr="007C3060" w:rsidRDefault="000A2A2B" w:rsidP="007C3060">
            <w:r w:rsidRPr="007C3060">
              <w:t>fra kr 2 874 800 000 til kr 2 860 000 000</w:t>
            </w:r>
          </w:p>
        </w:tc>
        <w:tc>
          <w:tcPr>
            <w:tcW w:w="1717" w:type="dxa"/>
            <w:tcBorders>
              <w:top w:val="nil"/>
              <w:left w:val="nil"/>
              <w:bottom w:val="nil"/>
              <w:right w:val="nil"/>
            </w:tcBorders>
            <w:tcMar>
              <w:top w:w="128" w:type="dxa"/>
              <w:left w:w="43" w:type="dxa"/>
              <w:bottom w:w="43" w:type="dxa"/>
              <w:right w:w="43" w:type="dxa"/>
            </w:tcMar>
            <w:vAlign w:val="bottom"/>
          </w:tcPr>
          <w:p w14:paraId="592F3A3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3D8E6EA" w14:textId="77777777" w:rsidR="000A2A2B" w:rsidRPr="007C3060" w:rsidRDefault="000A2A2B" w:rsidP="007C3060"/>
        </w:tc>
      </w:tr>
      <w:tr w:rsidR="004B729E" w:rsidRPr="007C3060" w14:paraId="63FA354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1450C6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0F957A1" w14:textId="77777777" w:rsidR="000A2A2B" w:rsidRPr="007C3060" w:rsidRDefault="000A2A2B" w:rsidP="007C3060">
            <w:r w:rsidRPr="007C3060">
              <w:t>78</w:t>
            </w:r>
          </w:p>
        </w:tc>
        <w:tc>
          <w:tcPr>
            <w:tcW w:w="4819" w:type="dxa"/>
            <w:tcBorders>
              <w:top w:val="nil"/>
              <w:left w:val="nil"/>
              <w:bottom w:val="nil"/>
              <w:right w:val="nil"/>
            </w:tcBorders>
            <w:tcMar>
              <w:top w:w="128" w:type="dxa"/>
              <w:left w:w="43" w:type="dxa"/>
              <w:bottom w:w="43" w:type="dxa"/>
              <w:right w:w="43" w:type="dxa"/>
            </w:tcMar>
            <w:vAlign w:val="bottom"/>
          </w:tcPr>
          <w:p w14:paraId="58A3ACA1" w14:textId="77777777" w:rsidR="000A2A2B" w:rsidRPr="007C3060" w:rsidRDefault="000A2A2B" w:rsidP="007C3060">
            <w:r w:rsidRPr="007C3060">
              <w:t>Høreapparater, forhøyes med</w:t>
            </w:r>
          </w:p>
        </w:tc>
        <w:tc>
          <w:tcPr>
            <w:tcW w:w="1717" w:type="dxa"/>
            <w:tcBorders>
              <w:top w:val="nil"/>
              <w:left w:val="nil"/>
              <w:bottom w:val="nil"/>
              <w:right w:val="nil"/>
            </w:tcBorders>
            <w:tcMar>
              <w:top w:w="128" w:type="dxa"/>
              <w:left w:w="43" w:type="dxa"/>
              <w:bottom w:w="43" w:type="dxa"/>
              <w:right w:w="43" w:type="dxa"/>
            </w:tcMar>
            <w:vAlign w:val="bottom"/>
          </w:tcPr>
          <w:p w14:paraId="1A2280F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8BA73D3" w14:textId="77777777" w:rsidR="000A2A2B" w:rsidRPr="007C3060" w:rsidRDefault="000A2A2B" w:rsidP="007C3060">
            <w:r w:rsidRPr="007C3060">
              <w:t>57 100 000</w:t>
            </w:r>
          </w:p>
        </w:tc>
      </w:tr>
      <w:tr w:rsidR="004B729E" w:rsidRPr="007C3060" w14:paraId="4449868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0DBA80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5CA2BAC"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7FA4D7C" w14:textId="77777777" w:rsidR="000A2A2B" w:rsidRPr="007C3060" w:rsidRDefault="000A2A2B" w:rsidP="007C3060">
            <w:r w:rsidRPr="007C3060">
              <w:t>fra kr 1 082 900 000 til kr 1 140 000 000</w:t>
            </w:r>
          </w:p>
        </w:tc>
        <w:tc>
          <w:tcPr>
            <w:tcW w:w="1717" w:type="dxa"/>
            <w:tcBorders>
              <w:top w:val="nil"/>
              <w:left w:val="nil"/>
              <w:bottom w:val="nil"/>
              <w:right w:val="nil"/>
            </w:tcBorders>
            <w:tcMar>
              <w:top w:w="128" w:type="dxa"/>
              <w:left w:w="43" w:type="dxa"/>
              <w:bottom w:w="43" w:type="dxa"/>
              <w:right w:w="43" w:type="dxa"/>
            </w:tcMar>
            <w:vAlign w:val="bottom"/>
          </w:tcPr>
          <w:p w14:paraId="687B6C6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1F9B960" w14:textId="77777777" w:rsidR="000A2A2B" w:rsidRPr="007C3060" w:rsidRDefault="000A2A2B" w:rsidP="007C3060"/>
        </w:tc>
      </w:tr>
      <w:tr w:rsidR="004B729E" w:rsidRPr="007C3060" w14:paraId="14025DE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3BB6733" w14:textId="77777777" w:rsidR="000A2A2B" w:rsidRPr="007C3060" w:rsidRDefault="000A2A2B" w:rsidP="007C3060">
            <w:r w:rsidRPr="007C3060">
              <w:t>2670</w:t>
            </w:r>
          </w:p>
        </w:tc>
        <w:tc>
          <w:tcPr>
            <w:tcW w:w="992" w:type="dxa"/>
            <w:tcBorders>
              <w:top w:val="nil"/>
              <w:left w:val="nil"/>
              <w:bottom w:val="nil"/>
              <w:right w:val="nil"/>
            </w:tcBorders>
            <w:tcMar>
              <w:top w:w="128" w:type="dxa"/>
              <w:left w:w="43" w:type="dxa"/>
              <w:bottom w:w="43" w:type="dxa"/>
              <w:right w:w="123" w:type="dxa"/>
            </w:tcMar>
          </w:tcPr>
          <w:p w14:paraId="5772EE2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F27848A" w14:textId="77777777" w:rsidR="000A2A2B" w:rsidRPr="007C3060" w:rsidRDefault="000A2A2B" w:rsidP="007C3060">
            <w:r w:rsidRPr="007C3060">
              <w:t>Alderdom:</w:t>
            </w:r>
          </w:p>
        </w:tc>
        <w:tc>
          <w:tcPr>
            <w:tcW w:w="1717" w:type="dxa"/>
            <w:tcBorders>
              <w:top w:val="nil"/>
              <w:left w:val="nil"/>
              <w:bottom w:val="nil"/>
              <w:right w:val="nil"/>
            </w:tcBorders>
            <w:tcMar>
              <w:top w:w="128" w:type="dxa"/>
              <w:left w:w="43" w:type="dxa"/>
              <w:bottom w:w="43" w:type="dxa"/>
              <w:right w:w="43" w:type="dxa"/>
            </w:tcMar>
            <w:vAlign w:val="bottom"/>
          </w:tcPr>
          <w:p w14:paraId="5A14A6A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54B477C" w14:textId="77777777" w:rsidR="000A2A2B" w:rsidRPr="007C3060" w:rsidRDefault="000A2A2B" w:rsidP="007C3060"/>
        </w:tc>
      </w:tr>
      <w:tr w:rsidR="004B729E" w:rsidRPr="007C3060" w14:paraId="2B7145F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9DA2CE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1FA8C84"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03ED6692" w14:textId="77777777" w:rsidR="000A2A2B" w:rsidRPr="007C3060" w:rsidRDefault="000A2A2B" w:rsidP="007C3060">
            <w:r w:rsidRPr="007C3060">
              <w:t xml:space="preserve">Grunnpensjon, </w:t>
            </w:r>
            <w:r w:rsidRPr="007C3060">
              <w:rPr>
                <w:rStyle w:val="kursiv"/>
              </w:rPr>
              <w:t>overslagsbevilgning,</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45848E8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95C0D27" w14:textId="77777777" w:rsidR="000A2A2B" w:rsidRPr="007C3060" w:rsidRDefault="000A2A2B" w:rsidP="007C3060">
            <w:r w:rsidRPr="007C3060">
              <w:t>300 000 000</w:t>
            </w:r>
          </w:p>
        </w:tc>
      </w:tr>
      <w:tr w:rsidR="004B729E" w:rsidRPr="007C3060" w14:paraId="3ED74F2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396FD4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27FB57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8611E79" w14:textId="77777777" w:rsidR="000A2A2B" w:rsidRPr="007C3060" w:rsidRDefault="000A2A2B" w:rsidP="007C3060">
            <w:r w:rsidRPr="007C3060">
              <w:t>fra kr 95 980 000 000 til kr 95 680 000 000</w:t>
            </w:r>
          </w:p>
        </w:tc>
        <w:tc>
          <w:tcPr>
            <w:tcW w:w="1717" w:type="dxa"/>
            <w:tcBorders>
              <w:top w:val="nil"/>
              <w:left w:val="nil"/>
              <w:bottom w:val="nil"/>
              <w:right w:val="nil"/>
            </w:tcBorders>
            <w:tcMar>
              <w:top w:w="128" w:type="dxa"/>
              <w:left w:w="43" w:type="dxa"/>
              <w:bottom w:w="43" w:type="dxa"/>
              <w:right w:w="43" w:type="dxa"/>
            </w:tcMar>
            <w:vAlign w:val="bottom"/>
          </w:tcPr>
          <w:p w14:paraId="00DAE10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7F86213" w14:textId="77777777" w:rsidR="000A2A2B" w:rsidRPr="007C3060" w:rsidRDefault="000A2A2B" w:rsidP="007C3060"/>
        </w:tc>
      </w:tr>
      <w:tr w:rsidR="004B729E" w:rsidRPr="007C3060" w14:paraId="2B9FE86E"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503EE0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2CF1CC4"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3E8F7B12" w14:textId="77777777" w:rsidR="000A2A2B" w:rsidRPr="007C3060" w:rsidRDefault="000A2A2B" w:rsidP="007C3060">
            <w:r w:rsidRPr="007C3060">
              <w:t xml:space="preserve">Tilleggspensjon, </w:t>
            </w:r>
            <w:r w:rsidRPr="007C3060">
              <w:rPr>
                <w:rStyle w:val="kursiv"/>
              </w:rPr>
              <w:t>overslagsbevilgning,</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217142A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1169D5E" w14:textId="77777777" w:rsidR="000A2A2B" w:rsidRPr="007C3060" w:rsidRDefault="000A2A2B" w:rsidP="007C3060">
            <w:r w:rsidRPr="007C3060">
              <w:t>700 000 000</w:t>
            </w:r>
          </w:p>
        </w:tc>
      </w:tr>
      <w:tr w:rsidR="004B729E" w:rsidRPr="007C3060" w14:paraId="1F4706D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0A4902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43B6AAF"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67883BA" w14:textId="77777777" w:rsidR="000A2A2B" w:rsidRPr="007C3060" w:rsidRDefault="000A2A2B" w:rsidP="007C3060">
            <w:r w:rsidRPr="007C3060">
              <w:t>fra kr 194 460 000 000 til kr 193 760 000 000</w:t>
            </w:r>
          </w:p>
        </w:tc>
        <w:tc>
          <w:tcPr>
            <w:tcW w:w="1717" w:type="dxa"/>
            <w:tcBorders>
              <w:top w:val="nil"/>
              <w:left w:val="nil"/>
              <w:bottom w:val="nil"/>
              <w:right w:val="nil"/>
            </w:tcBorders>
            <w:tcMar>
              <w:top w:w="128" w:type="dxa"/>
              <w:left w:w="43" w:type="dxa"/>
              <w:bottom w:w="43" w:type="dxa"/>
              <w:right w:w="43" w:type="dxa"/>
            </w:tcMar>
            <w:vAlign w:val="bottom"/>
          </w:tcPr>
          <w:p w14:paraId="386273B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3FD80E8" w14:textId="77777777" w:rsidR="000A2A2B" w:rsidRPr="007C3060" w:rsidRDefault="000A2A2B" w:rsidP="007C3060"/>
        </w:tc>
      </w:tr>
      <w:tr w:rsidR="004B729E" w:rsidRPr="007C3060" w14:paraId="0DAFC51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2DD652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27E7239"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47F09B26" w14:textId="77777777" w:rsidR="000A2A2B" w:rsidRPr="007C3060" w:rsidRDefault="000A2A2B" w:rsidP="007C3060">
            <w:r w:rsidRPr="007C3060">
              <w:t xml:space="preserve">Inntektspensjon, </w:t>
            </w:r>
            <w:r w:rsidRPr="007C3060">
              <w:rPr>
                <w:rStyle w:val="kursiv"/>
              </w:rPr>
              <w:t>overslagsbevilgning,</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747CD23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39A9E17" w14:textId="77777777" w:rsidR="000A2A2B" w:rsidRPr="007C3060" w:rsidRDefault="000A2A2B" w:rsidP="007C3060">
            <w:r w:rsidRPr="007C3060">
              <w:t>430 000 000</w:t>
            </w:r>
          </w:p>
        </w:tc>
      </w:tr>
      <w:tr w:rsidR="004B729E" w:rsidRPr="007C3060" w14:paraId="1F9178F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B28595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5F77C73"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26E2391" w14:textId="77777777" w:rsidR="000A2A2B" w:rsidRPr="007C3060" w:rsidRDefault="000A2A2B" w:rsidP="007C3060">
            <w:r w:rsidRPr="007C3060">
              <w:t>fra kr 34 790 000 000 til kr 34 360 000 000</w:t>
            </w:r>
          </w:p>
        </w:tc>
        <w:tc>
          <w:tcPr>
            <w:tcW w:w="1717" w:type="dxa"/>
            <w:tcBorders>
              <w:top w:val="nil"/>
              <w:left w:val="nil"/>
              <w:bottom w:val="nil"/>
              <w:right w:val="nil"/>
            </w:tcBorders>
            <w:tcMar>
              <w:top w:w="128" w:type="dxa"/>
              <w:left w:w="43" w:type="dxa"/>
              <w:bottom w:w="43" w:type="dxa"/>
              <w:right w:w="43" w:type="dxa"/>
            </w:tcMar>
            <w:vAlign w:val="bottom"/>
          </w:tcPr>
          <w:p w14:paraId="165738B6"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B275916" w14:textId="77777777" w:rsidR="000A2A2B" w:rsidRPr="007C3060" w:rsidRDefault="000A2A2B" w:rsidP="007C3060"/>
        </w:tc>
      </w:tr>
      <w:tr w:rsidR="004B729E" w:rsidRPr="007C3060" w14:paraId="7C776A2D"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2ADA324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FC7E7D9"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031634B2" w14:textId="0D4C85EF" w:rsidR="000A2A2B" w:rsidRPr="007C3060" w:rsidRDefault="000A2A2B" w:rsidP="007C3060">
            <w:r w:rsidRPr="007C3060">
              <w:t xml:space="preserve">Særtillegg, pensjonstillegg mv., </w:t>
            </w:r>
            <w:r w:rsidRPr="007C3060">
              <w:rPr>
                <w:rStyle w:val="kursiv"/>
              </w:rPr>
              <w:t>overslagsbevilgning,</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05F0415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D088F89" w14:textId="77777777" w:rsidR="000A2A2B" w:rsidRPr="007C3060" w:rsidRDefault="000A2A2B" w:rsidP="007C3060">
            <w:r w:rsidRPr="007C3060">
              <w:t>188 000 000</w:t>
            </w:r>
          </w:p>
        </w:tc>
      </w:tr>
      <w:tr w:rsidR="004B729E" w:rsidRPr="007C3060" w14:paraId="091B612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C31352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6D146A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58F5512" w14:textId="77777777" w:rsidR="000A2A2B" w:rsidRPr="007C3060" w:rsidRDefault="000A2A2B" w:rsidP="007C3060">
            <w:r w:rsidRPr="007C3060">
              <w:t>fra kr 10 648 000 000 til kr 10 460 000 000</w:t>
            </w:r>
          </w:p>
        </w:tc>
        <w:tc>
          <w:tcPr>
            <w:tcW w:w="1717" w:type="dxa"/>
            <w:tcBorders>
              <w:top w:val="nil"/>
              <w:left w:val="nil"/>
              <w:bottom w:val="nil"/>
              <w:right w:val="nil"/>
            </w:tcBorders>
            <w:tcMar>
              <w:top w:w="128" w:type="dxa"/>
              <w:left w:w="43" w:type="dxa"/>
              <w:bottom w:w="43" w:type="dxa"/>
              <w:right w:w="43" w:type="dxa"/>
            </w:tcMar>
            <w:vAlign w:val="bottom"/>
          </w:tcPr>
          <w:p w14:paraId="56BF716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96F2CEE" w14:textId="77777777" w:rsidR="000A2A2B" w:rsidRPr="007C3060" w:rsidRDefault="000A2A2B" w:rsidP="007C3060"/>
        </w:tc>
      </w:tr>
      <w:tr w:rsidR="004B729E" w:rsidRPr="007C3060" w14:paraId="6D562FB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A6A1171" w14:textId="77777777" w:rsidR="000A2A2B" w:rsidRPr="007C3060" w:rsidRDefault="000A2A2B" w:rsidP="007C3060">
            <w:r w:rsidRPr="007C3060">
              <w:t>2680</w:t>
            </w:r>
          </w:p>
        </w:tc>
        <w:tc>
          <w:tcPr>
            <w:tcW w:w="992" w:type="dxa"/>
            <w:tcBorders>
              <w:top w:val="nil"/>
              <w:left w:val="nil"/>
              <w:bottom w:val="nil"/>
              <w:right w:val="nil"/>
            </w:tcBorders>
            <w:tcMar>
              <w:top w:w="128" w:type="dxa"/>
              <w:left w:w="43" w:type="dxa"/>
              <w:bottom w:w="43" w:type="dxa"/>
              <w:right w:w="123" w:type="dxa"/>
            </w:tcMar>
          </w:tcPr>
          <w:p w14:paraId="522C0FD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F6790D3" w14:textId="77777777" w:rsidR="000A2A2B" w:rsidRPr="007C3060" w:rsidRDefault="000A2A2B" w:rsidP="007C3060">
            <w:r w:rsidRPr="007C3060">
              <w:t>Etterlatte:</w:t>
            </w:r>
          </w:p>
        </w:tc>
        <w:tc>
          <w:tcPr>
            <w:tcW w:w="1717" w:type="dxa"/>
            <w:tcBorders>
              <w:top w:val="nil"/>
              <w:left w:val="nil"/>
              <w:bottom w:val="nil"/>
              <w:right w:val="nil"/>
            </w:tcBorders>
            <w:tcMar>
              <w:top w:w="128" w:type="dxa"/>
              <w:left w:w="43" w:type="dxa"/>
              <w:bottom w:w="43" w:type="dxa"/>
              <w:right w:w="43" w:type="dxa"/>
            </w:tcMar>
            <w:vAlign w:val="bottom"/>
          </w:tcPr>
          <w:p w14:paraId="432BEEE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779F91B" w14:textId="77777777" w:rsidR="000A2A2B" w:rsidRPr="007C3060" w:rsidRDefault="000A2A2B" w:rsidP="007C3060"/>
        </w:tc>
      </w:tr>
      <w:tr w:rsidR="004B729E" w:rsidRPr="007C3060" w14:paraId="6C55817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E714E1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BCD43EE"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0CB40C88" w14:textId="77777777" w:rsidR="000A2A2B" w:rsidRPr="007C3060" w:rsidRDefault="000A2A2B" w:rsidP="007C3060">
            <w:r w:rsidRPr="007C3060">
              <w:t xml:space="preserve">Omstillingsstønad mv.,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725175A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A1C577F" w14:textId="77777777" w:rsidR="000A2A2B" w:rsidRPr="007C3060" w:rsidRDefault="000A2A2B" w:rsidP="007C3060">
            <w:r w:rsidRPr="007C3060">
              <w:t>10 000 000</w:t>
            </w:r>
          </w:p>
        </w:tc>
      </w:tr>
      <w:tr w:rsidR="004B729E" w:rsidRPr="007C3060" w14:paraId="1E44E89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754CCBC"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B3F10C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D728864" w14:textId="77777777" w:rsidR="000A2A2B" w:rsidRPr="007C3060" w:rsidRDefault="000A2A2B" w:rsidP="007C3060">
            <w:r w:rsidRPr="007C3060">
              <w:t>fra kr 1 700 000 000 til kr 1 710 000 000</w:t>
            </w:r>
          </w:p>
        </w:tc>
        <w:tc>
          <w:tcPr>
            <w:tcW w:w="1717" w:type="dxa"/>
            <w:tcBorders>
              <w:top w:val="nil"/>
              <w:left w:val="nil"/>
              <w:bottom w:val="nil"/>
              <w:right w:val="nil"/>
            </w:tcBorders>
            <w:tcMar>
              <w:top w:w="128" w:type="dxa"/>
              <w:left w:w="43" w:type="dxa"/>
              <w:bottom w:w="43" w:type="dxa"/>
              <w:right w:w="43" w:type="dxa"/>
            </w:tcMar>
            <w:vAlign w:val="bottom"/>
          </w:tcPr>
          <w:p w14:paraId="6DE73AD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ACA4EFB" w14:textId="77777777" w:rsidR="000A2A2B" w:rsidRPr="007C3060" w:rsidRDefault="000A2A2B" w:rsidP="007C3060"/>
        </w:tc>
      </w:tr>
      <w:tr w:rsidR="004B729E" w:rsidRPr="007C3060" w14:paraId="411226A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49C014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FE92C58"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2F573756" w14:textId="77777777" w:rsidR="000A2A2B" w:rsidRPr="007C3060" w:rsidRDefault="000A2A2B" w:rsidP="007C3060">
            <w:r w:rsidRPr="007C3060">
              <w:t xml:space="preserve">Barnepensjon,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3FF2B26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CB25921" w14:textId="77777777" w:rsidR="000A2A2B" w:rsidRPr="007C3060" w:rsidRDefault="000A2A2B" w:rsidP="007C3060">
            <w:r w:rsidRPr="007C3060">
              <w:t>80 000 000</w:t>
            </w:r>
          </w:p>
        </w:tc>
      </w:tr>
      <w:tr w:rsidR="004B729E" w:rsidRPr="007C3060" w14:paraId="4307594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0626C9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AED1AC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529EFA2" w14:textId="77777777" w:rsidR="000A2A2B" w:rsidRPr="007C3060" w:rsidRDefault="000A2A2B" w:rsidP="007C3060">
            <w:r w:rsidRPr="007C3060">
              <w:t>fra kr 1 690 000 000 til kr 1 770 000 000</w:t>
            </w:r>
          </w:p>
        </w:tc>
        <w:tc>
          <w:tcPr>
            <w:tcW w:w="1717" w:type="dxa"/>
            <w:tcBorders>
              <w:top w:val="nil"/>
              <w:left w:val="nil"/>
              <w:bottom w:val="nil"/>
              <w:right w:val="nil"/>
            </w:tcBorders>
            <w:tcMar>
              <w:top w:w="128" w:type="dxa"/>
              <w:left w:w="43" w:type="dxa"/>
              <w:bottom w:w="43" w:type="dxa"/>
              <w:right w:w="43" w:type="dxa"/>
            </w:tcMar>
            <w:vAlign w:val="bottom"/>
          </w:tcPr>
          <w:p w14:paraId="74DAE66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CC6D5DE" w14:textId="77777777" w:rsidR="000A2A2B" w:rsidRPr="007C3060" w:rsidRDefault="000A2A2B" w:rsidP="007C3060"/>
        </w:tc>
      </w:tr>
      <w:tr w:rsidR="004B729E" w:rsidRPr="007C3060" w14:paraId="73BE3CAD"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0BF8B20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ED2FAC7" w14:textId="77777777" w:rsidR="000A2A2B" w:rsidRPr="007C3060" w:rsidRDefault="000A2A2B" w:rsidP="007C3060">
            <w:r w:rsidRPr="007C3060">
              <w:t>74</w:t>
            </w:r>
          </w:p>
        </w:tc>
        <w:tc>
          <w:tcPr>
            <w:tcW w:w="4819" w:type="dxa"/>
            <w:tcBorders>
              <w:top w:val="nil"/>
              <w:left w:val="nil"/>
              <w:bottom w:val="nil"/>
              <w:right w:val="nil"/>
            </w:tcBorders>
            <w:tcMar>
              <w:top w:w="128" w:type="dxa"/>
              <w:left w:w="43" w:type="dxa"/>
              <w:bottom w:w="43" w:type="dxa"/>
              <w:right w:w="43" w:type="dxa"/>
            </w:tcMar>
            <w:vAlign w:val="bottom"/>
          </w:tcPr>
          <w:p w14:paraId="5EEB99A1" w14:textId="4BBAEBC7" w:rsidR="000A2A2B" w:rsidRPr="007C3060" w:rsidRDefault="000A2A2B" w:rsidP="007C3060">
            <w:r w:rsidRPr="007C3060">
              <w:t xml:space="preserve">Tilleggsstønader og stønad til skolepenger, </w:t>
            </w:r>
            <w:r w:rsidRPr="007C3060">
              <w:rPr>
                <w:rStyle w:val="kursiv"/>
              </w:rPr>
              <w:t xml:space="preserve">overslagsbevilgning,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0F71A09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5297D72" w14:textId="77777777" w:rsidR="000A2A2B" w:rsidRPr="007C3060" w:rsidRDefault="000A2A2B" w:rsidP="007C3060">
            <w:r w:rsidRPr="007C3060">
              <w:t>100 000</w:t>
            </w:r>
          </w:p>
        </w:tc>
      </w:tr>
      <w:tr w:rsidR="004B729E" w:rsidRPr="007C3060" w14:paraId="6650EC7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42AB6E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5B69D4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9BD31FE" w14:textId="77777777" w:rsidR="000A2A2B" w:rsidRPr="007C3060" w:rsidRDefault="000A2A2B" w:rsidP="007C3060">
            <w:r w:rsidRPr="007C3060">
              <w:t>fra kr 200 000 til kr 100 000</w:t>
            </w:r>
          </w:p>
        </w:tc>
        <w:tc>
          <w:tcPr>
            <w:tcW w:w="1717" w:type="dxa"/>
            <w:tcBorders>
              <w:top w:val="nil"/>
              <w:left w:val="nil"/>
              <w:bottom w:val="nil"/>
              <w:right w:val="nil"/>
            </w:tcBorders>
            <w:tcMar>
              <w:top w:w="128" w:type="dxa"/>
              <w:left w:w="43" w:type="dxa"/>
              <w:bottom w:w="43" w:type="dxa"/>
              <w:right w:w="43" w:type="dxa"/>
            </w:tcMar>
            <w:vAlign w:val="bottom"/>
          </w:tcPr>
          <w:p w14:paraId="4A33BEC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E29D804" w14:textId="77777777" w:rsidR="000A2A2B" w:rsidRPr="007C3060" w:rsidRDefault="000A2A2B" w:rsidP="007C3060"/>
        </w:tc>
      </w:tr>
      <w:tr w:rsidR="004B729E" w:rsidRPr="007C3060" w14:paraId="1C29F50B"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498D6BD9"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16F4803"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352A6F4F" w14:textId="5CF415D8" w:rsidR="000A2A2B" w:rsidRPr="007C3060" w:rsidRDefault="000A2A2B" w:rsidP="007C3060">
            <w:r w:rsidRPr="007C3060">
              <w:t xml:space="preserve">Stønad til barnetilsyn til gjenlevende i arbeid, </w:t>
            </w:r>
            <w:r w:rsidRPr="007C3060">
              <w:rPr>
                <w:rStyle w:val="kursiv"/>
              </w:rPr>
              <w:t xml:space="preserve">overslagsbevilgning, </w:t>
            </w:r>
            <w:r w:rsidRPr="007C3060">
              <w:t>nedsettes med</w:t>
            </w:r>
          </w:p>
        </w:tc>
        <w:tc>
          <w:tcPr>
            <w:tcW w:w="1717" w:type="dxa"/>
            <w:tcBorders>
              <w:top w:val="nil"/>
              <w:left w:val="nil"/>
              <w:bottom w:val="nil"/>
              <w:right w:val="nil"/>
            </w:tcBorders>
            <w:tcMar>
              <w:top w:w="128" w:type="dxa"/>
              <w:left w:w="43" w:type="dxa"/>
              <w:bottom w:w="43" w:type="dxa"/>
              <w:right w:w="43" w:type="dxa"/>
            </w:tcMar>
            <w:vAlign w:val="bottom"/>
          </w:tcPr>
          <w:p w14:paraId="37FD09D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16F0BF2" w14:textId="77777777" w:rsidR="000A2A2B" w:rsidRPr="007C3060" w:rsidRDefault="000A2A2B" w:rsidP="007C3060">
            <w:r w:rsidRPr="007C3060">
              <w:t>1 000 000</w:t>
            </w:r>
          </w:p>
        </w:tc>
      </w:tr>
      <w:tr w:rsidR="004B729E" w:rsidRPr="007C3060" w14:paraId="3F302D5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0AA6E5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5576ED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644C40E" w14:textId="77777777" w:rsidR="000A2A2B" w:rsidRPr="007C3060" w:rsidRDefault="000A2A2B" w:rsidP="007C3060">
            <w:r w:rsidRPr="007C3060">
              <w:t>fra kr 2 500 000 til kr 1 500 000</w:t>
            </w:r>
          </w:p>
        </w:tc>
        <w:tc>
          <w:tcPr>
            <w:tcW w:w="1717" w:type="dxa"/>
            <w:tcBorders>
              <w:top w:val="nil"/>
              <w:left w:val="nil"/>
              <w:bottom w:val="nil"/>
              <w:right w:val="nil"/>
            </w:tcBorders>
            <w:tcMar>
              <w:top w:w="128" w:type="dxa"/>
              <w:left w:w="43" w:type="dxa"/>
              <w:bottom w:w="43" w:type="dxa"/>
              <w:right w:w="43" w:type="dxa"/>
            </w:tcMar>
            <w:vAlign w:val="bottom"/>
          </w:tcPr>
          <w:p w14:paraId="07220BF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0315254" w14:textId="77777777" w:rsidR="000A2A2B" w:rsidRPr="007C3060" w:rsidRDefault="000A2A2B" w:rsidP="007C3060"/>
        </w:tc>
      </w:tr>
      <w:tr w:rsidR="004B729E" w:rsidRPr="007C3060" w14:paraId="10ABE40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6475D3C" w14:textId="77777777" w:rsidR="000A2A2B" w:rsidRPr="007C3060" w:rsidRDefault="000A2A2B" w:rsidP="007C3060">
            <w:r w:rsidRPr="007C3060">
              <w:t>2686</w:t>
            </w:r>
          </w:p>
        </w:tc>
        <w:tc>
          <w:tcPr>
            <w:tcW w:w="992" w:type="dxa"/>
            <w:tcBorders>
              <w:top w:val="nil"/>
              <w:left w:val="nil"/>
              <w:bottom w:val="nil"/>
              <w:right w:val="nil"/>
            </w:tcBorders>
            <w:tcMar>
              <w:top w:w="128" w:type="dxa"/>
              <w:left w:w="43" w:type="dxa"/>
              <w:bottom w:w="43" w:type="dxa"/>
              <w:right w:w="123" w:type="dxa"/>
            </w:tcMar>
          </w:tcPr>
          <w:p w14:paraId="6AD0945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ED7F418" w14:textId="77777777" w:rsidR="000A2A2B" w:rsidRPr="007C3060" w:rsidRDefault="000A2A2B" w:rsidP="007C3060">
            <w:r w:rsidRPr="007C3060">
              <w:t>Stønad ved gravferd:</w:t>
            </w:r>
          </w:p>
        </w:tc>
        <w:tc>
          <w:tcPr>
            <w:tcW w:w="1717" w:type="dxa"/>
            <w:tcBorders>
              <w:top w:val="nil"/>
              <w:left w:val="nil"/>
              <w:bottom w:val="nil"/>
              <w:right w:val="nil"/>
            </w:tcBorders>
            <w:tcMar>
              <w:top w:w="128" w:type="dxa"/>
              <w:left w:w="43" w:type="dxa"/>
              <w:bottom w:w="43" w:type="dxa"/>
              <w:right w:w="43" w:type="dxa"/>
            </w:tcMar>
            <w:vAlign w:val="bottom"/>
          </w:tcPr>
          <w:p w14:paraId="1DBC2DF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73B1545" w14:textId="77777777" w:rsidR="000A2A2B" w:rsidRPr="007C3060" w:rsidRDefault="000A2A2B" w:rsidP="007C3060"/>
        </w:tc>
      </w:tr>
      <w:tr w:rsidR="004B729E" w:rsidRPr="007C3060" w14:paraId="2E4CAD4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D5823A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95CBD93"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65E16633" w14:textId="77777777" w:rsidR="000A2A2B" w:rsidRPr="007C3060" w:rsidRDefault="000A2A2B" w:rsidP="007C3060">
            <w:r w:rsidRPr="007C3060">
              <w:t xml:space="preserve">Stønad ved gravferd, </w:t>
            </w:r>
            <w:r w:rsidRPr="007C3060">
              <w:rPr>
                <w:rStyle w:val="kursiv"/>
              </w:rPr>
              <w:t>overslagsbevilgning,</w:t>
            </w:r>
            <w:r w:rsidRPr="007C3060">
              <w:t xml:space="preserve"> forhøyes med</w:t>
            </w:r>
          </w:p>
        </w:tc>
        <w:tc>
          <w:tcPr>
            <w:tcW w:w="1717" w:type="dxa"/>
            <w:tcBorders>
              <w:top w:val="nil"/>
              <w:left w:val="nil"/>
              <w:bottom w:val="nil"/>
              <w:right w:val="nil"/>
            </w:tcBorders>
            <w:tcMar>
              <w:top w:w="128" w:type="dxa"/>
              <w:left w:w="43" w:type="dxa"/>
              <w:bottom w:w="43" w:type="dxa"/>
              <w:right w:w="43" w:type="dxa"/>
            </w:tcMar>
            <w:vAlign w:val="bottom"/>
          </w:tcPr>
          <w:p w14:paraId="131A9C6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EEEE824" w14:textId="77777777" w:rsidR="000A2A2B" w:rsidRPr="007C3060" w:rsidRDefault="000A2A2B" w:rsidP="007C3060">
            <w:r w:rsidRPr="007C3060">
              <w:t>55 000 000</w:t>
            </w:r>
          </w:p>
        </w:tc>
      </w:tr>
      <w:tr w:rsidR="004B729E" w:rsidRPr="007C3060" w14:paraId="1B2F211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EA074E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CB1A24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5AB47E6" w14:textId="77777777" w:rsidR="000A2A2B" w:rsidRPr="007C3060" w:rsidRDefault="000A2A2B" w:rsidP="007C3060">
            <w:r w:rsidRPr="007C3060">
              <w:t>fra kr 325 000 000 til kr 380 000 000</w:t>
            </w:r>
          </w:p>
        </w:tc>
        <w:tc>
          <w:tcPr>
            <w:tcW w:w="1717" w:type="dxa"/>
            <w:tcBorders>
              <w:top w:val="nil"/>
              <w:left w:val="nil"/>
              <w:bottom w:val="nil"/>
              <w:right w:val="nil"/>
            </w:tcBorders>
            <w:tcMar>
              <w:top w:w="128" w:type="dxa"/>
              <w:left w:w="43" w:type="dxa"/>
              <w:bottom w:w="43" w:type="dxa"/>
              <w:right w:w="43" w:type="dxa"/>
            </w:tcMar>
            <w:vAlign w:val="bottom"/>
          </w:tcPr>
          <w:p w14:paraId="56F20EC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F2CF7E7" w14:textId="77777777" w:rsidR="000A2A2B" w:rsidRPr="007C3060" w:rsidRDefault="000A2A2B" w:rsidP="007C3060"/>
        </w:tc>
      </w:tr>
      <w:tr w:rsidR="004B729E" w:rsidRPr="007C3060" w14:paraId="2FA1C8F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A14ACAB" w14:textId="77777777" w:rsidR="000A2A2B" w:rsidRPr="007C3060" w:rsidRDefault="000A2A2B" w:rsidP="007C3060">
            <w:r w:rsidRPr="007C3060">
              <w:t>2711</w:t>
            </w:r>
          </w:p>
        </w:tc>
        <w:tc>
          <w:tcPr>
            <w:tcW w:w="992" w:type="dxa"/>
            <w:tcBorders>
              <w:top w:val="nil"/>
              <w:left w:val="nil"/>
              <w:bottom w:val="nil"/>
              <w:right w:val="nil"/>
            </w:tcBorders>
            <w:tcMar>
              <w:top w:w="128" w:type="dxa"/>
              <w:left w:w="43" w:type="dxa"/>
              <w:bottom w:w="43" w:type="dxa"/>
              <w:right w:w="123" w:type="dxa"/>
            </w:tcMar>
          </w:tcPr>
          <w:p w14:paraId="0631030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14CD99D" w14:textId="77777777" w:rsidR="000A2A2B" w:rsidRPr="007C3060" w:rsidRDefault="000A2A2B" w:rsidP="007C3060">
            <w:r w:rsidRPr="007C3060">
              <w:t>Spesialisthelsetjeneste mv.:</w:t>
            </w:r>
          </w:p>
        </w:tc>
        <w:tc>
          <w:tcPr>
            <w:tcW w:w="1717" w:type="dxa"/>
            <w:tcBorders>
              <w:top w:val="nil"/>
              <w:left w:val="nil"/>
              <w:bottom w:val="nil"/>
              <w:right w:val="nil"/>
            </w:tcBorders>
            <w:tcMar>
              <w:top w:w="128" w:type="dxa"/>
              <w:left w:w="43" w:type="dxa"/>
              <w:bottom w:w="43" w:type="dxa"/>
              <w:right w:w="43" w:type="dxa"/>
            </w:tcMar>
            <w:vAlign w:val="bottom"/>
          </w:tcPr>
          <w:p w14:paraId="1C4521D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3312694" w14:textId="77777777" w:rsidR="000A2A2B" w:rsidRPr="007C3060" w:rsidRDefault="000A2A2B" w:rsidP="007C3060"/>
        </w:tc>
      </w:tr>
      <w:tr w:rsidR="004B729E" w:rsidRPr="007C3060" w14:paraId="0D02FA4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CA6A2D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FC1CB0D"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58978D5C" w14:textId="77777777" w:rsidR="000A2A2B" w:rsidRPr="007C3060" w:rsidRDefault="000A2A2B" w:rsidP="007C3060">
            <w:r w:rsidRPr="007C3060">
              <w:t>Spesialisthjelp, forhøyes med</w:t>
            </w:r>
          </w:p>
        </w:tc>
        <w:tc>
          <w:tcPr>
            <w:tcW w:w="1717" w:type="dxa"/>
            <w:tcBorders>
              <w:top w:val="nil"/>
              <w:left w:val="nil"/>
              <w:bottom w:val="nil"/>
              <w:right w:val="nil"/>
            </w:tcBorders>
            <w:tcMar>
              <w:top w:w="128" w:type="dxa"/>
              <w:left w:w="43" w:type="dxa"/>
              <w:bottom w:w="43" w:type="dxa"/>
              <w:right w:w="43" w:type="dxa"/>
            </w:tcMar>
            <w:vAlign w:val="bottom"/>
          </w:tcPr>
          <w:p w14:paraId="4916E1E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DE45E51" w14:textId="77777777" w:rsidR="000A2A2B" w:rsidRPr="007C3060" w:rsidRDefault="000A2A2B" w:rsidP="007C3060">
            <w:r w:rsidRPr="007C3060">
              <w:t>18 900 000</w:t>
            </w:r>
          </w:p>
        </w:tc>
      </w:tr>
      <w:tr w:rsidR="004B729E" w:rsidRPr="007C3060" w14:paraId="02C6256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648601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19C2F1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FC6AD04" w14:textId="77777777" w:rsidR="000A2A2B" w:rsidRPr="007C3060" w:rsidRDefault="000A2A2B" w:rsidP="007C3060">
            <w:r w:rsidRPr="007C3060">
              <w:t>fra kr 3 031 100 000 til kr 3 050 000 000</w:t>
            </w:r>
          </w:p>
        </w:tc>
        <w:tc>
          <w:tcPr>
            <w:tcW w:w="1717" w:type="dxa"/>
            <w:tcBorders>
              <w:top w:val="nil"/>
              <w:left w:val="nil"/>
              <w:bottom w:val="nil"/>
              <w:right w:val="nil"/>
            </w:tcBorders>
            <w:tcMar>
              <w:top w:w="128" w:type="dxa"/>
              <w:left w:w="43" w:type="dxa"/>
              <w:bottom w:w="43" w:type="dxa"/>
              <w:right w:w="43" w:type="dxa"/>
            </w:tcMar>
            <w:vAlign w:val="bottom"/>
          </w:tcPr>
          <w:p w14:paraId="43E8465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0E09523" w14:textId="77777777" w:rsidR="000A2A2B" w:rsidRPr="007C3060" w:rsidRDefault="000A2A2B" w:rsidP="007C3060"/>
        </w:tc>
      </w:tr>
      <w:tr w:rsidR="004B729E" w:rsidRPr="007C3060" w14:paraId="6BCC1F3C"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695910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2EA4EC8"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61DD1BD2" w14:textId="77777777" w:rsidR="000A2A2B" w:rsidRPr="007C3060" w:rsidRDefault="000A2A2B" w:rsidP="007C3060">
            <w:r w:rsidRPr="007C3060">
              <w:t>Psykologhjelp, nedsettes med</w:t>
            </w:r>
          </w:p>
        </w:tc>
        <w:tc>
          <w:tcPr>
            <w:tcW w:w="1717" w:type="dxa"/>
            <w:tcBorders>
              <w:top w:val="nil"/>
              <w:left w:val="nil"/>
              <w:bottom w:val="nil"/>
              <w:right w:val="nil"/>
            </w:tcBorders>
            <w:tcMar>
              <w:top w:w="128" w:type="dxa"/>
              <w:left w:w="43" w:type="dxa"/>
              <w:bottom w:w="43" w:type="dxa"/>
              <w:right w:w="43" w:type="dxa"/>
            </w:tcMar>
            <w:vAlign w:val="bottom"/>
          </w:tcPr>
          <w:p w14:paraId="7A813BB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ADBC2C7" w14:textId="77777777" w:rsidR="000A2A2B" w:rsidRPr="007C3060" w:rsidRDefault="000A2A2B" w:rsidP="007C3060">
            <w:r w:rsidRPr="007C3060">
              <w:t>34 900 000</w:t>
            </w:r>
          </w:p>
        </w:tc>
      </w:tr>
      <w:tr w:rsidR="004B729E" w:rsidRPr="007C3060" w14:paraId="4B35021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0D743E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D5589C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4593775A" w14:textId="77777777" w:rsidR="000A2A2B" w:rsidRPr="007C3060" w:rsidRDefault="000A2A2B" w:rsidP="007C3060">
            <w:r w:rsidRPr="007C3060">
              <w:t>fra kr 477 900 000 til kr 443 000 000</w:t>
            </w:r>
          </w:p>
        </w:tc>
        <w:tc>
          <w:tcPr>
            <w:tcW w:w="1717" w:type="dxa"/>
            <w:tcBorders>
              <w:top w:val="nil"/>
              <w:left w:val="nil"/>
              <w:bottom w:val="nil"/>
              <w:right w:val="nil"/>
            </w:tcBorders>
            <w:tcMar>
              <w:top w:w="128" w:type="dxa"/>
              <w:left w:w="43" w:type="dxa"/>
              <w:bottom w:w="43" w:type="dxa"/>
              <w:right w:w="43" w:type="dxa"/>
            </w:tcMar>
            <w:vAlign w:val="bottom"/>
          </w:tcPr>
          <w:p w14:paraId="45568C4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450CF7F" w14:textId="77777777" w:rsidR="000A2A2B" w:rsidRPr="007C3060" w:rsidRDefault="000A2A2B" w:rsidP="007C3060"/>
        </w:tc>
      </w:tr>
      <w:tr w:rsidR="004B729E" w:rsidRPr="007C3060" w14:paraId="1A820DB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B9E2D1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E345AB8"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09890164" w14:textId="77777777" w:rsidR="000A2A2B" w:rsidRPr="007C3060" w:rsidRDefault="000A2A2B" w:rsidP="007C3060">
            <w:r w:rsidRPr="007C3060">
              <w:t>Tannbehandling, forhøyes med</w:t>
            </w:r>
          </w:p>
        </w:tc>
        <w:tc>
          <w:tcPr>
            <w:tcW w:w="1717" w:type="dxa"/>
            <w:tcBorders>
              <w:top w:val="nil"/>
              <w:left w:val="nil"/>
              <w:bottom w:val="nil"/>
              <w:right w:val="nil"/>
            </w:tcBorders>
            <w:tcMar>
              <w:top w:w="128" w:type="dxa"/>
              <w:left w:w="43" w:type="dxa"/>
              <w:bottom w:w="43" w:type="dxa"/>
              <w:right w:w="43" w:type="dxa"/>
            </w:tcMar>
            <w:vAlign w:val="bottom"/>
          </w:tcPr>
          <w:p w14:paraId="680703C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02A1C06" w14:textId="77777777" w:rsidR="000A2A2B" w:rsidRPr="007C3060" w:rsidRDefault="000A2A2B" w:rsidP="007C3060">
            <w:r w:rsidRPr="007C3060">
              <w:t>36 500 000</w:t>
            </w:r>
          </w:p>
        </w:tc>
      </w:tr>
      <w:tr w:rsidR="004B729E" w:rsidRPr="007C3060" w14:paraId="0FC02D2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A55D35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99A907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9A524D5" w14:textId="77777777" w:rsidR="000A2A2B" w:rsidRPr="007C3060" w:rsidRDefault="000A2A2B" w:rsidP="007C3060">
            <w:r w:rsidRPr="007C3060">
              <w:t>fra kr 3 007 000 000 til kr 3 043 500 000</w:t>
            </w:r>
          </w:p>
        </w:tc>
        <w:tc>
          <w:tcPr>
            <w:tcW w:w="1717" w:type="dxa"/>
            <w:tcBorders>
              <w:top w:val="nil"/>
              <w:left w:val="nil"/>
              <w:bottom w:val="nil"/>
              <w:right w:val="nil"/>
            </w:tcBorders>
            <w:tcMar>
              <w:top w:w="128" w:type="dxa"/>
              <w:left w:w="43" w:type="dxa"/>
              <w:bottom w:w="43" w:type="dxa"/>
              <w:right w:w="43" w:type="dxa"/>
            </w:tcMar>
            <w:vAlign w:val="bottom"/>
          </w:tcPr>
          <w:p w14:paraId="2F82E60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BBF94E7" w14:textId="77777777" w:rsidR="000A2A2B" w:rsidRPr="007C3060" w:rsidRDefault="000A2A2B" w:rsidP="007C3060"/>
        </w:tc>
      </w:tr>
      <w:tr w:rsidR="004B729E" w:rsidRPr="007C3060" w14:paraId="376889F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A90CC5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7FFD0983" w14:textId="77777777" w:rsidR="000A2A2B" w:rsidRPr="007C3060" w:rsidRDefault="000A2A2B" w:rsidP="007C3060">
            <w:r w:rsidRPr="007C3060">
              <w:t>76</w:t>
            </w:r>
          </w:p>
        </w:tc>
        <w:tc>
          <w:tcPr>
            <w:tcW w:w="4819" w:type="dxa"/>
            <w:tcBorders>
              <w:top w:val="nil"/>
              <w:left w:val="nil"/>
              <w:bottom w:val="nil"/>
              <w:right w:val="nil"/>
            </w:tcBorders>
            <w:tcMar>
              <w:top w:w="128" w:type="dxa"/>
              <w:left w:w="43" w:type="dxa"/>
              <w:bottom w:w="43" w:type="dxa"/>
              <w:right w:w="43" w:type="dxa"/>
            </w:tcMar>
            <w:vAlign w:val="bottom"/>
          </w:tcPr>
          <w:p w14:paraId="2962DEDA" w14:textId="77777777" w:rsidR="000A2A2B" w:rsidRPr="007C3060" w:rsidRDefault="000A2A2B" w:rsidP="007C3060">
            <w:r w:rsidRPr="007C3060">
              <w:t>Private laboratorier og røntgeninstitutt, forhøyes med</w:t>
            </w:r>
          </w:p>
        </w:tc>
        <w:tc>
          <w:tcPr>
            <w:tcW w:w="1717" w:type="dxa"/>
            <w:tcBorders>
              <w:top w:val="nil"/>
              <w:left w:val="nil"/>
              <w:bottom w:val="nil"/>
              <w:right w:val="nil"/>
            </w:tcBorders>
            <w:tcMar>
              <w:top w:w="128" w:type="dxa"/>
              <w:left w:w="43" w:type="dxa"/>
              <w:bottom w:w="43" w:type="dxa"/>
              <w:right w:w="43" w:type="dxa"/>
            </w:tcMar>
            <w:vAlign w:val="bottom"/>
          </w:tcPr>
          <w:p w14:paraId="510C193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82FA8B8" w14:textId="77777777" w:rsidR="000A2A2B" w:rsidRPr="007C3060" w:rsidRDefault="000A2A2B" w:rsidP="007C3060">
            <w:r w:rsidRPr="007C3060">
              <w:t>163 588 000</w:t>
            </w:r>
          </w:p>
        </w:tc>
      </w:tr>
      <w:tr w:rsidR="004B729E" w:rsidRPr="007C3060" w14:paraId="11C4C93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0818A8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4ABD63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F46349B" w14:textId="77777777" w:rsidR="000A2A2B" w:rsidRPr="007C3060" w:rsidRDefault="000A2A2B" w:rsidP="007C3060">
            <w:r w:rsidRPr="007C3060">
              <w:t>fra kr 1 506 412 000 til kr 1 670 000 000</w:t>
            </w:r>
          </w:p>
        </w:tc>
        <w:tc>
          <w:tcPr>
            <w:tcW w:w="1717" w:type="dxa"/>
            <w:tcBorders>
              <w:top w:val="nil"/>
              <w:left w:val="nil"/>
              <w:bottom w:val="nil"/>
              <w:right w:val="nil"/>
            </w:tcBorders>
            <w:tcMar>
              <w:top w:w="128" w:type="dxa"/>
              <w:left w:w="43" w:type="dxa"/>
              <w:bottom w:w="43" w:type="dxa"/>
              <w:right w:w="43" w:type="dxa"/>
            </w:tcMar>
            <w:vAlign w:val="bottom"/>
          </w:tcPr>
          <w:p w14:paraId="135CE75E"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E24B871" w14:textId="77777777" w:rsidR="000A2A2B" w:rsidRPr="007C3060" w:rsidRDefault="000A2A2B" w:rsidP="007C3060"/>
        </w:tc>
      </w:tr>
      <w:tr w:rsidR="004B729E" w:rsidRPr="007C3060" w14:paraId="633BD44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56796FF" w14:textId="77777777" w:rsidR="000A2A2B" w:rsidRPr="007C3060" w:rsidRDefault="000A2A2B" w:rsidP="007C3060">
            <w:r w:rsidRPr="007C3060">
              <w:t>2751</w:t>
            </w:r>
          </w:p>
        </w:tc>
        <w:tc>
          <w:tcPr>
            <w:tcW w:w="992" w:type="dxa"/>
            <w:tcBorders>
              <w:top w:val="nil"/>
              <w:left w:val="nil"/>
              <w:bottom w:val="nil"/>
              <w:right w:val="nil"/>
            </w:tcBorders>
            <w:tcMar>
              <w:top w:w="128" w:type="dxa"/>
              <w:left w:w="43" w:type="dxa"/>
              <w:bottom w:w="43" w:type="dxa"/>
              <w:right w:w="123" w:type="dxa"/>
            </w:tcMar>
          </w:tcPr>
          <w:p w14:paraId="32189CF0"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5497708" w14:textId="77777777" w:rsidR="000A2A2B" w:rsidRPr="007C3060" w:rsidRDefault="000A2A2B" w:rsidP="007C3060">
            <w:r w:rsidRPr="007C3060">
              <w:t>Legemidler mv.:</w:t>
            </w:r>
          </w:p>
        </w:tc>
        <w:tc>
          <w:tcPr>
            <w:tcW w:w="1717" w:type="dxa"/>
            <w:tcBorders>
              <w:top w:val="nil"/>
              <w:left w:val="nil"/>
              <w:bottom w:val="nil"/>
              <w:right w:val="nil"/>
            </w:tcBorders>
            <w:tcMar>
              <w:top w:w="128" w:type="dxa"/>
              <w:left w:w="43" w:type="dxa"/>
              <w:bottom w:w="43" w:type="dxa"/>
              <w:right w:w="43" w:type="dxa"/>
            </w:tcMar>
            <w:vAlign w:val="bottom"/>
          </w:tcPr>
          <w:p w14:paraId="1E68519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30DCB45" w14:textId="77777777" w:rsidR="000A2A2B" w:rsidRPr="007C3060" w:rsidRDefault="000A2A2B" w:rsidP="007C3060"/>
        </w:tc>
      </w:tr>
      <w:tr w:rsidR="004B729E" w:rsidRPr="007C3060" w14:paraId="2A3EBCA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94AB8A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29B9061"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74FE904F" w14:textId="77777777" w:rsidR="000A2A2B" w:rsidRPr="007C3060" w:rsidRDefault="000A2A2B" w:rsidP="007C3060">
            <w:r w:rsidRPr="007C3060">
              <w:t>Legemidler, nedsettes med</w:t>
            </w:r>
          </w:p>
        </w:tc>
        <w:tc>
          <w:tcPr>
            <w:tcW w:w="1717" w:type="dxa"/>
            <w:tcBorders>
              <w:top w:val="nil"/>
              <w:left w:val="nil"/>
              <w:bottom w:val="nil"/>
              <w:right w:val="nil"/>
            </w:tcBorders>
            <w:tcMar>
              <w:top w:w="128" w:type="dxa"/>
              <w:left w:w="43" w:type="dxa"/>
              <w:bottom w:w="43" w:type="dxa"/>
              <w:right w:w="43" w:type="dxa"/>
            </w:tcMar>
            <w:vAlign w:val="bottom"/>
          </w:tcPr>
          <w:p w14:paraId="64F313F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C50FE75" w14:textId="77777777" w:rsidR="000A2A2B" w:rsidRPr="007C3060" w:rsidRDefault="000A2A2B" w:rsidP="007C3060">
            <w:r w:rsidRPr="007C3060">
              <w:t>784 900 000</w:t>
            </w:r>
          </w:p>
        </w:tc>
      </w:tr>
      <w:tr w:rsidR="004B729E" w:rsidRPr="007C3060" w14:paraId="156E2271"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3D80698"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181CA5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B3C2C44" w14:textId="77777777" w:rsidR="000A2A2B" w:rsidRPr="007C3060" w:rsidRDefault="000A2A2B" w:rsidP="007C3060">
            <w:r w:rsidRPr="007C3060">
              <w:t>fra kr 15 104 900 000 til kr 14 320 000 000</w:t>
            </w:r>
          </w:p>
        </w:tc>
        <w:tc>
          <w:tcPr>
            <w:tcW w:w="1717" w:type="dxa"/>
            <w:tcBorders>
              <w:top w:val="nil"/>
              <w:left w:val="nil"/>
              <w:bottom w:val="nil"/>
              <w:right w:val="nil"/>
            </w:tcBorders>
            <w:tcMar>
              <w:top w:w="128" w:type="dxa"/>
              <w:left w:w="43" w:type="dxa"/>
              <w:bottom w:w="43" w:type="dxa"/>
              <w:right w:w="43" w:type="dxa"/>
            </w:tcMar>
            <w:vAlign w:val="bottom"/>
          </w:tcPr>
          <w:p w14:paraId="4E7B238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50F4244" w14:textId="77777777" w:rsidR="000A2A2B" w:rsidRPr="007C3060" w:rsidRDefault="000A2A2B" w:rsidP="007C3060"/>
        </w:tc>
      </w:tr>
      <w:tr w:rsidR="004B729E" w:rsidRPr="007C3060" w14:paraId="1CD0E77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D2C069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D04C762"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1B61EB39" w14:textId="77777777" w:rsidR="000A2A2B" w:rsidRPr="007C3060" w:rsidRDefault="000A2A2B" w:rsidP="007C3060">
            <w:r w:rsidRPr="007C3060">
              <w:t>Legeerklæringer, forhøyes med</w:t>
            </w:r>
          </w:p>
        </w:tc>
        <w:tc>
          <w:tcPr>
            <w:tcW w:w="1717" w:type="dxa"/>
            <w:tcBorders>
              <w:top w:val="nil"/>
              <w:left w:val="nil"/>
              <w:bottom w:val="nil"/>
              <w:right w:val="nil"/>
            </w:tcBorders>
            <w:tcMar>
              <w:top w:w="128" w:type="dxa"/>
              <w:left w:w="43" w:type="dxa"/>
              <w:bottom w:w="43" w:type="dxa"/>
              <w:right w:w="43" w:type="dxa"/>
            </w:tcMar>
            <w:vAlign w:val="bottom"/>
          </w:tcPr>
          <w:p w14:paraId="16899D6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868855C" w14:textId="77777777" w:rsidR="000A2A2B" w:rsidRPr="007C3060" w:rsidRDefault="000A2A2B" w:rsidP="007C3060">
            <w:r w:rsidRPr="007C3060">
              <w:t>15 000 000</w:t>
            </w:r>
          </w:p>
        </w:tc>
      </w:tr>
      <w:tr w:rsidR="004B729E" w:rsidRPr="007C3060" w14:paraId="56A3F860"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154BF621"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E2E112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855C63C" w14:textId="77777777" w:rsidR="000A2A2B" w:rsidRPr="007C3060" w:rsidRDefault="000A2A2B" w:rsidP="007C3060">
            <w:r w:rsidRPr="007C3060">
              <w:t>fra kr 17 000 000 til kr 32 000 000</w:t>
            </w:r>
          </w:p>
        </w:tc>
        <w:tc>
          <w:tcPr>
            <w:tcW w:w="1717" w:type="dxa"/>
            <w:tcBorders>
              <w:top w:val="nil"/>
              <w:left w:val="nil"/>
              <w:bottom w:val="nil"/>
              <w:right w:val="nil"/>
            </w:tcBorders>
            <w:tcMar>
              <w:top w:w="128" w:type="dxa"/>
              <w:left w:w="43" w:type="dxa"/>
              <w:bottom w:w="43" w:type="dxa"/>
              <w:right w:w="43" w:type="dxa"/>
            </w:tcMar>
            <w:vAlign w:val="bottom"/>
          </w:tcPr>
          <w:p w14:paraId="3DA2D24D"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A6A9A08" w14:textId="77777777" w:rsidR="000A2A2B" w:rsidRPr="007C3060" w:rsidRDefault="000A2A2B" w:rsidP="007C3060"/>
        </w:tc>
      </w:tr>
      <w:tr w:rsidR="004B729E" w:rsidRPr="007C3060" w14:paraId="102F0B83"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B7C620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DCA6B22"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797CCC18" w14:textId="77777777" w:rsidR="000A2A2B" w:rsidRPr="007C3060" w:rsidRDefault="000A2A2B" w:rsidP="007C3060">
            <w:r w:rsidRPr="007C3060">
              <w:t>Medisinsk forbruksmateriell, nedsettes med</w:t>
            </w:r>
          </w:p>
        </w:tc>
        <w:tc>
          <w:tcPr>
            <w:tcW w:w="1717" w:type="dxa"/>
            <w:tcBorders>
              <w:top w:val="nil"/>
              <w:left w:val="nil"/>
              <w:bottom w:val="nil"/>
              <w:right w:val="nil"/>
            </w:tcBorders>
            <w:tcMar>
              <w:top w:w="128" w:type="dxa"/>
              <w:left w:w="43" w:type="dxa"/>
              <w:bottom w:w="43" w:type="dxa"/>
              <w:right w:w="43" w:type="dxa"/>
            </w:tcMar>
            <w:vAlign w:val="bottom"/>
          </w:tcPr>
          <w:p w14:paraId="43AE9F4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D20D8EF" w14:textId="77777777" w:rsidR="000A2A2B" w:rsidRPr="007C3060" w:rsidRDefault="000A2A2B" w:rsidP="007C3060">
            <w:r w:rsidRPr="007C3060">
              <w:t>30 000 000</w:t>
            </w:r>
          </w:p>
        </w:tc>
      </w:tr>
      <w:tr w:rsidR="004B729E" w:rsidRPr="007C3060" w14:paraId="6524050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7D96D6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B467622"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092EEA45" w14:textId="77777777" w:rsidR="000A2A2B" w:rsidRPr="007C3060" w:rsidRDefault="000A2A2B" w:rsidP="007C3060">
            <w:r w:rsidRPr="007C3060">
              <w:t>fra kr 2 490 000 000 til kr 2 460 000 000</w:t>
            </w:r>
          </w:p>
        </w:tc>
        <w:tc>
          <w:tcPr>
            <w:tcW w:w="1717" w:type="dxa"/>
            <w:tcBorders>
              <w:top w:val="nil"/>
              <w:left w:val="nil"/>
              <w:bottom w:val="nil"/>
              <w:right w:val="nil"/>
            </w:tcBorders>
            <w:tcMar>
              <w:top w:w="128" w:type="dxa"/>
              <w:left w:w="43" w:type="dxa"/>
              <w:bottom w:w="43" w:type="dxa"/>
              <w:right w:w="43" w:type="dxa"/>
            </w:tcMar>
            <w:vAlign w:val="bottom"/>
          </w:tcPr>
          <w:p w14:paraId="67DE0C8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C94022B" w14:textId="77777777" w:rsidR="000A2A2B" w:rsidRPr="007C3060" w:rsidRDefault="000A2A2B" w:rsidP="007C3060"/>
        </w:tc>
      </w:tr>
      <w:tr w:rsidR="004B729E" w:rsidRPr="007C3060" w14:paraId="4C98EFD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1E11251" w14:textId="77777777" w:rsidR="000A2A2B" w:rsidRPr="007C3060" w:rsidRDefault="000A2A2B" w:rsidP="007C3060">
            <w:r w:rsidRPr="007C3060">
              <w:t>2752</w:t>
            </w:r>
          </w:p>
        </w:tc>
        <w:tc>
          <w:tcPr>
            <w:tcW w:w="992" w:type="dxa"/>
            <w:tcBorders>
              <w:top w:val="nil"/>
              <w:left w:val="nil"/>
              <w:bottom w:val="nil"/>
              <w:right w:val="nil"/>
            </w:tcBorders>
            <w:tcMar>
              <w:top w:w="128" w:type="dxa"/>
              <w:left w:w="43" w:type="dxa"/>
              <w:bottom w:w="43" w:type="dxa"/>
              <w:right w:w="123" w:type="dxa"/>
            </w:tcMar>
          </w:tcPr>
          <w:p w14:paraId="2288792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89DA5B0" w14:textId="77777777" w:rsidR="000A2A2B" w:rsidRPr="007C3060" w:rsidRDefault="000A2A2B" w:rsidP="007C3060">
            <w:r w:rsidRPr="007C3060">
              <w:t>Refusjon av egenbetaling:</w:t>
            </w:r>
          </w:p>
        </w:tc>
        <w:tc>
          <w:tcPr>
            <w:tcW w:w="1717" w:type="dxa"/>
            <w:tcBorders>
              <w:top w:val="nil"/>
              <w:left w:val="nil"/>
              <w:bottom w:val="nil"/>
              <w:right w:val="nil"/>
            </w:tcBorders>
            <w:tcMar>
              <w:top w:w="128" w:type="dxa"/>
              <w:left w:w="43" w:type="dxa"/>
              <w:bottom w:w="43" w:type="dxa"/>
              <w:right w:w="43" w:type="dxa"/>
            </w:tcMar>
            <w:vAlign w:val="bottom"/>
          </w:tcPr>
          <w:p w14:paraId="02EA31D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D8619CE" w14:textId="77777777" w:rsidR="000A2A2B" w:rsidRPr="007C3060" w:rsidRDefault="000A2A2B" w:rsidP="007C3060"/>
        </w:tc>
      </w:tr>
      <w:tr w:rsidR="004B729E" w:rsidRPr="007C3060" w14:paraId="145AF09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236138D"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F98D926"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75CF40DF" w14:textId="77777777" w:rsidR="000A2A2B" w:rsidRPr="007C3060" w:rsidRDefault="000A2A2B" w:rsidP="007C3060">
            <w:r w:rsidRPr="007C3060">
              <w:t>Egenandelstak, forhøyes med</w:t>
            </w:r>
          </w:p>
        </w:tc>
        <w:tc>
          <w:tcPr>
            <w:tcW w:w="1717" w:type="dxa"/>
            <w:tcBorders>
              <w:top w:val="nil"/>
              <w:left w:val="nil"/>
              <w:bottom w:val="nil"/>
              <w:right w:val="nil"/>
            </w:tcBorders>
            <w:tcMar>
              <w:top w:w="128" w:type="dxa"/>
              <w:left w:w="43" w:type="dxa"/>
              <w:bottom w:w="43" w:type="dxa"/>
              <w:right w:w="43" w:type="dxa"/>
            </w:tcMar>
            <w:vAlign w:val="bottom"/>
          </w:tcPr>
          <w:p w14:paraId="2AF8A27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F7CDDF0" w14:textId="77777777" w:rsidR="000A2A2B" w:rsidRPr="007C3060" w:rsidRDefault="000A2A2B" w:rsidP="007C3060">
            <w:r w:rsidRPr="007C3060">
              <w:t>149 300 000</w:t>
            </w:r>
          </w:p>
        </w:tc>
      </w:tr>
      <w:tr w:rsidR="004B729E" w:rsidRPr="007C3060" w14:paraId="55F49768"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FCCB7B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BB169D5"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035F59C" w14:textId="77777777" w:rsidR="000A2A2B" w:rsidRPr="007C3060" w:rsidRDefault="000A2A2B" w:rsidP="007C3060">
            <w:r w:rsidRPr="007C3060">
              <w:t>fra kr 8 660 700 000 til kr 8 810 000 000</w:t>
            </w:r>
          </w:p>
        </w:tc>
        <w:tc>
          <w:tcPr>
            <w:tcW w:w="1717" w:type="dxa"/>
            <w:tcBorders>
              <w:top w:val="nil"/>
              <w:left w:val="nil"/>
              <w:bottom w:val="nil"/>
              <w:right w:val="nil"/>
            </w:tcBorders>
            <w:tcMar>
              <w:top w:w="128" w:type="dxa"/>
              <w:left w:w="43" w:type="dxa"/>
              <w:bottom w:w="43" w:type="dxa"/>
              <w:right w:w="43" w:type="dxa"/>
            </w:tcMar>
            <w:vAlign w:val="bottom"/>
          </w:tcPr>
          <w:p w14:paraId="011C247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FAE8A18" w14:textId="77777777" w:rsidR="000A2A2B" w:rsidRPr="007C3060" w:rsidRDefault="000A2A2B" w:rsidP="007C3060"/>
        </w:tc>
      </w:tr>
      <w:tr w:rsidR="004B729E" w:rsidRPr="007C3060" w14:paraId="16C9F29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3614A36" w14:textId="77777777" w:rsidR="000A2A2B" w:rsidRPr="007C3060" w:rsidRDefault="000A2A2B" w:rsidP="007C3060">
            <w:r w:rsidRPr="007C3060">
              <w:t>2755</w:t>
            </w:r>
          </w:p>
        </w:tc>
        <w:tc>
          <w:tcPr>
            <w:tcW w:w="992" w:type="dxa"/>
            <w:tcBorders>
              <w:top w:val="nil"/>
              <w:left w:val="nil"/>
              <w:bottom w:val="nil"/>
              <w:right w:val="nil"/>
            </w:tcBorders>
            <w:tcMar>
              <w:top w:w="128" w:type="dxa"/>
              <w:left w:w="43" w:type="dxa"/>
              <w:bottom w:w="43" w:type="dxa"/>
              <w:right w:w="123" w:type="dxa"/>
            </w:tcMar>
          </w:tcPr>
          <w:p w14:paraId="6668B81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A6BD061" w14:textId="77777777" w:rsidR="000A2A2B" w:rsidRPr="007C3060" w:rsidRDefault="000A2A2B" w:rsidP="007C3060">
            <w:r w:rsidRPr="007C3060">
              <w:t>Helsetjenester i kommunene mv.:</w:t>
            </w:r>
          </w:p>
        </w:tc>
        <w:tc>
          <w:tcPr>
            <w:tcW w:w="1717" w:type="dxa"/>
            <w:tcBorders>
              <w:top w:val="nil"/>
              <w:left w:val="nil"/>
              <w:bottom w:val="nil"/>
              <w:right w:val="nil"/>
            </w:tcBorders>
            <w:tcMar>
              <w:top w:w="128" w:type="dxa"/>
              <w:left w:w="43" w:type="dxa"/>
              <w:bottom w:w="43" w:type="dxa"/>
              <w:right w:w="43" w:type="dxa"/>
            </w:tcMar>
            <w:vAlign w:val="bottom"/>
          </w:tcPr>
          <w:p w14:paraId="7525FAA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D0D6AE0" w14:textId="77777777" w:rsidR="000A2A2B" w:rsidRPr="007C3060" w:rsidRDefault="000A2A2B" w:rsidP="007C3060"/>
        </w:tc>
      </w:tr>
      <w:tr w:rsidR="004B729E" w:rsidRPr="007C3060" w14:paraId="25B0EDBD" w14:textId="77777777" w:rsidTr="00414C2B">
        <w:trPr>
          <w:trHeight w:val="640"/>
          <w:jc w:val="right"/>
        </w:trPr>
        <w:tc>
          <w:tcPr>
            <w:tcW w:w="969" w:type="dxa"/>
            <w:tcBorders>
              <w:top w:val="nil"/>
              <w:left w:val="nil"/>
              <w:bottom w:val="nil"/>
              <w:right w:val="nil"/>
            </w:tcBorders>
            <w:tcMar>
              <w:top w:w="128" w:type="dxa"/>
              <w:left w:w="43" w:type="dxa"/>
              <w:bottom w:w="43" w:type="dxa"/>
              <w:right w:w="123" w:type="dxa"/>
            </w:tcMar>
          </w:tcPr>
          <w:p w14:paraId="5C6D1F5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158302F" w14:textId="77777777" w:rsidR="000A2A2B" w:rsidRPr="007C3060" w:rsidRDefault="000A2A2B" w:rsidP="007C3060">
            <w:r w:rsidRPr="007C3060">
              <w:t>62</w:t>
            </w:r>
          </w:p>
        </w:tc>
        <w:tc>
          <w:tcPr>
            <w:tcW w:w="4819" w:type="dxa"/>
            <w:tcBorders>
              <w:top w:val="nil"/>
              <w:left w:val="nil"/>
              <w:bottom w:val="nil"/>
              <w:right w:val="nil"/>
            </w:tcBorders>
            <w:tcMar>
              <w:top w:w="128" w:type="dxa"/>
              <w:left w:w="43" w:type="dxa"/>
              <w:bottom w:w="43" w:type="dxa"/>
              <w:right w:w="43" w:type="dxa"/>
            </w:tcMar>
            <w:vAlign w:val="bottom"/>
          </w:tcPr>
          <w:p w14:paraId="0F3D6447" w14:textId="1AF6F688" w:rsidR="000A2A2B" w:rsidRPr="007C3060" w:rsidRDefault="000A2A2B" w:rsidP="007C3060">
            <w:r w:rsidRPr="007C3060">
              <w:t xml:space="preserve">Fastlønnsordning fysioterapeuter, </w:t>
            </w:r>
            <w:r w:rsidRPr="007C3060">
              <w:rPr>
                <w:rStyle w:val="kursiv"/>
              </w:rPr>
              <w:t>kan nyttes under post 71,</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413CAC2B"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FA5C630" w14:textId="77777777" w:rsidR="000A2A2B" w:rsidRPr="007C3060" w:rsidRDefault="000A2A2B" w:rsidP="007C3060">
            <w:r w:rsidRPr="007C3060">
              <w:t>49 000 000</w:t>
            </w:r>
          </w:p>
        </w:tc>
      </w:tr>
      <w:tr w:rsidR="004B729E" w:rsidRPr="007C3060" w14:paraId="300C786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F9D3E6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E6EFD76"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2FE52C3" w14:textId="77777777" w:rsidR="000A2A2B" w:rsidRPr="007C3060" w:rsidRDefault="000A2A2B" w:rsidP="007C3060">
            <w:r w:rsidRPr="007C3060">
              <w:t>fra kr 637 000 000 til kr 588 000 000</w:t>
            </w:r>
          </w:p>
        </w:tc>
        <w:tc>
          <w:tcPr>
            <w:tcW w:w="1717" w:type="dxa"/>
            <w:tcBorders>
              <w:top w:val="nil"/>
              <w:left w:val="nil"/>
              <w:bottom w:val="nil"/>
              <w:right w:val="nil"/>
            </w:tcBorders>
            <w:tcMar>
              <w:top w:w="128" w:type="dxa"/>
              <w:left w:w="43" w:type="dxa"/>
              <w:bottom w:w="43" w:type="dxa"/>
              <w:right w:w="43" w:type="dxa"/>
            </w:tcMar>
            <w:vAlign w:val="bottom"/>
          </w:tcPr>
          <w:p w14:paraId="11B9D3D7"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100A025" w14:textId="77777777" w:rsidR="000A2A2B" w:rsidRPr="007C3060" w:rsidRDefault="000A2A2B" w:rsidP="007C3060"/>
        </w:tc>
      </w:tr>
      <w:tr w:rsidR="004B729E" w:rsidRPr="007C3060" w14:paraId="75CD71D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9738312"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F783537"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119E3322" w14:textId="77777777" w:rsidR="000A2A2B" w:rsidRPr="007C3060" w:rsidRDefault="000A2A2B" w:rsidP="007C3060">
            <w:r w:rsidRPr="007C3060">
              <w:t>Allmennlegehjelp, forhøyes med</w:t>
            </w:r>
          </w:p>
        </w:tc>
        <w:tc>
          <w:tcPr>
            <w:tcW w:w="1717" w:type="dxa"/>
            <w:tcBorders>
              <w:top w:val="nil"/>
              <w:left w:val="nil"/>
              <w:bottom w:val="nil"/>
              <w:right w:val="nil"/>
            </w:tcBorders>
            <w:tcMar>
              <w:top w:w="128" w:type="dxa"/>
              <w:left w:w="43" w:type="dxa"/>
              <w:bottom w:w="43" w:type="dxa"/>
              <w:right w:w="43" w:type="dxa"/>
            </w:tcMar>
            <w:vAlign w:val="bottom"/>
          </w:tcPr>
          <w:p w14:paraId="7D1C6302"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50F44C1" w14:textId="77777777" w:rsidR="000A2A2B" w:rsidRPr="007C3060" w:rsidRDefault="000A2A2B" w:rsidP="007C3060">
            <w:r w:rsidRPr="007C3060">
              <w:t>104 100 000</w:t>
            </w:r>
          </w:p>
        </w:tc>
      </w:tr>
      <w:tr w:rsidR="004B729E" w:rsidRPr="007C3060" w14:paraId="0C3ECF2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595E547"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289C56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3A672736" w14:textId="77777777" w:rsidR="000A2A2B" w:rsidRPr="007C3060" w:rsidRDefault="000A2A2B" w:rsidP="007C3060">
            <w:r w:rsidRPr="007C3060">
              <w:t>fra kr 7 481 900 000 til kr 7 586 000 000</w:t>
            </w:r>
          </w:p>
        </w:tc>
        <w:tc>
          <w:tcPr>
            <w:tcW w:w="1717" w:type="dxa"/>
            <w:tcBorders>
              <w:top w:val="nil"/>
              <w:left w:val="nil"/>
              <w:bottom w:val="nil"/>
              <w:right w:val="nil"/>
            </w:tcBorders>
            <w:tcMar>
              <w:top w:w="128" w:type="dxa"/>
              <w:left w:w="43" w:type="dxa"/>
              <w:bottom w:w="43" w:type="dxa"/>
              <w:right w:w="43" w:type="dxa"/>
            </w:tcMar>
            <w:vAlign w:val="bottom"/>
          </w:tcPr>
          <w:p w14:paraId="225802D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5717268" w14:textId="77777777" w:rsidR="000A2A2B" w:rsidRPr="007C3060" w:rsidRDefault="000A2A2B" w:rsidP="007C3060"/>
        </w:tc>
      </w:tr>
      <w:tr w:rsidR="004B729E" w:rsidRPr="007C3060" w14:paraId="6309632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09D0C8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3F6E506"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31BCD752" w14:textId="77777777" w:rsidR="000A2A2B" w:rsidRPr="007C3060" w:rsidRDefault="000A2A2B" w:rsidP="007C3060">
            <w:r w:rsidRPr="007C3060">
              <w:t xml:space="preserve">Fysioterapi, </w:t>
            </w:r>
            <w:r w:rsidRPr="007C3060">
              <w:rPr>
                <w:rStyle w:val="kursiv"/>
              </w:rPr>
              <w:t>kan nyttes under post 62,</w:t>
            </w:r>
            <w:r w:rsidRPr="007C3060">
              <w:t xml:space="preserve"> nedsettes med</w:t>
            </w:r>
          </w:p>
        </w:tc>
        <w:tc>
          <w:tcPr>
            <w:tcW w:w="1717" w:type="dxa"/>
            <w:tcBorders>
              <w:top w:val="nil"/>
              <w:left w:val="nil"/>
              <w:bottom w:val="nil"/>
              <w:right w:val="nil"/>
            </w:tcBorders>
            <w:tcMar>
              <w:top w:w="128" w:type="dxa"/>
              <w:left w:w="43" w:type="dxa"/>
              <w:bottom w:w="43" w:type="dxa"/>
              <w:right w:w="43" w:type="dxa"/>
            </w:tcMar>
            <w:vAlign w:val="bottom"/>
          </w:tcPr>
          <w:p w14:paraId="349D2AD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C819A4E" w14:textId="77777777" w:rsidR="000A2A2B" w:rsidRPr="007C3060" w:rsidRDefault="000A2A2B" w:rsidP="007C3060">
            <w:r w:rsidRPr="007C3060">
              <w:t>15 000 000</w:t>
            </w:r>
          </w:p>
        </w:tc>
      </w:tr>
      <w:tr w:rsidR="004B729E" w:rsidRPr="007C3060" w14:paraId="5A3F555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A2D873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FA91DBA"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5E62CD4" w14:textId="77777777" w:rsidR="000A2A2B" w:rsidRPr="007C3060" w:rsidRDefault="000A2A2B" w:rsidP="007C3060">
            <w:r w:rsidRPr="007C3060">
              <w:t>fra kr 1 730 000 000 til kr 1 715 000 000</w:t>
            </w:r>
          </w:p>
        </w:tc>
        <w:tc>
          <w:tcPr>
            <w:tcW w:w="1717" w:type="dxa"/>
            <w:tcBorders>
              <w:top w:val="nil"/>
              <w:left w:val="nil"/>
              <w:bottom w:val="nil"/>
              <w:right w:val="nil"/>
            </w:tcBorders>
            <w:tcMar>
              <w:top w:w="128" w:type="dxa"/>
              <w:left w:w="43" w:type="dxa"/>
              <w:bottom w:w="43" w:type="dxa"/>
              <w:right w:w="43" w:type="dxa"/>
            </w:tcMar>
            <w:vAlign w:val="bottom"/>
          </w:tcPr>
          <w:p w14:paraId="7A52AD0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0C615CE" w14:textId="77777777" w:rsidR="000A2A2B" w:rsidRPr="007C3060" w:rsidRDefault="000A2A2B" w:rsidP="007C3060"/>
        </w:tc>
      </w:tr>
      <w:tr w:rsidR="004B729E" w:rsidRPr="007C3060" w14:paraId="050CD12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AB95B05"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3E5B10C"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5DC5F838" w14:textId="77777777" w:rsidR="000A2A2B" w:rsidRPr="007C3060" w:rsidRDefault="000A2A2B" w:rsidP="007C3060">
            <w:r w:rsidRPr="007C3060">
              <w:t>Jordmorhjelp, nedsettes med</w:t>
            </w:r>
          </w:p>
        </w:tc>
        <w:tc>
          <w:tcPr>
            <w:tcW w:w="1717" w:type="dxa"/>
            <w:tcBorders>
              <w:top w:val="nil"/>
              <w:left w:val="nil"/>
              <w:bottom w:val="nil"/>
              <w:right w:val="nil"/>
            </w:tcBorders>
            <w:tcMar>
              <w:top w:w="128" w:type="dxa"/>
              <w:left w:w="43" w:type="dxa"/>
              <w:bottom w:w="43" w:type="dxa"/>
              <w:right w:w="43" w:type="dxa"/>
            </w:tcMar>
            <w:vAlign w:val="bottom"/>
          </w:tcPr>
          <w:p w14:paraId="0ED0548A"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6947DD97" w14:textId="77777777" w:rsidR="000A2A2B" w:rsidRPr="007C3060" w:rsidRDefault="000A2A2B" w:rsidP="007C3060">
            <w:r w:rsidRPr="007C3060">
              <w:t>4 000 000</w:t>
            </w:r>
          </w:p>
        </w:tc>
      </w:tr>
      <w:tr w:rsidR="004B729E" w:rsidRPr="007C3060" w14:paraId="1723E06F"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7C1BE0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EA511F4"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5DAE8293" w14:textId="77777777" w:rsidR="000A2A2B" w:rsidRPr="007C3060" w:rsidRDefault="000A2A2B" w:rsidP="007C3060">
            <w:r w:rsidRPr="007C3060">
              <w:t>fra kr 105 000 000 til kr 101 000 000</w:t>
            </w:r>
          </w:p>
        </w:tc>
        <w:tc>
          <w:tcPr>
            <w:tcW w:w="1717" w:type="dxa"/>
            <w:tcBorders>
              <w:top w:val="nil"/>
              <w:left w:val="nil"/>
              <w:bottom w:val="nil"/>
              <w:right w:val="nil"/>
            </w:tcBorders>
            <w:tcMar>
              <w:top w:w="128" w:type="dxa"/>
              <w:left w:w="43" w:type="dxa"/>
              <w:bottom w:w="43" w:type="dxa"/>
              <w:right w:w="43" w:type="dxa"/>
            </w:tcMar>
            <w:vAlign w:val="bottom"/>
          </w:tcPr>
          <w:p w14:paraId="0AD41F71"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06C6E3F5" w14:textId="77777777" w:rsidR="000A2A2B" w:rsidRPr="007C3060" w:rsidRDefault="000A2A2B" w:rsidP="007C3060"/>
        </w:tc>
      </w:tr>
      <w:tr w:rsidR="004B729E" w:rsidRPr="007C3060" w14:paraId="034C7B1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665BF2A" w14:textId="77777777" w:rsidR="000A2A2B" w:rsidRPr="007C3060" w:rsidRDefault="000A2A2B" w:rsidP="007C3060">
            <w:r w:rsidRPr="007C3060">
              <w:t>(NY)</w:t>
            </w:r>
          </w:p>
        </w:tc>
        <w:tc>
          <w:tcPr>
            <w:tcW w:w="992" w:type="dxa"/>
            <w:tcBorders>
              <w:top w:val="nil"/>
              <w:left w:val="nil"/>
              <w:bottom w:val="nil"/>
              <w:right w:val="nil"/>
            </w:tcBorders>
            <w:tcMar>
              <w:top w:w="128" w:type="dxa"/>
              <w:left w:w="43" w:type="dxa"/>
              <w:bottom w:w="43" w:type="dxa"/>
              <w:right w:w="123" w:type="dxa"/>
            </w:tcMar>
          </w:tcPr>
          <w:p w14:paraId="18639AFB" w14:textId="77777777" w:rsidR="000A2A2B" w:rsidRPr="007C3060" w:rsidRDefault="000A2A2B" w:rsidP="007C3060">
            <w:r w:rsidRPr="007C3060">
              <w:t>73</w:t>
            </w:r>
          </w:p>
        </w:tc>
        <w:tc>
          <w:tcPr>
            <w:tcW w:w="4819" w:type="dxa"/>
            <w:tcBorders>
              <w:top w:val="nil"/>
              <w:left w:val="nil"/>
              <w:bottom w:val="nil"/>
              <w:right w:val="nil"/>
            </w:tcBorders>
            <w:tcMar>
              <w:top w:w="128" w:type="dxa"/>
              <w:left w:w="43" w:type="dxa"/>
              <w:bottom w:w="43" w:type="dxa"/>
              <w:right w:w="43" w:type="dxa"/>
            </w:tcMar>
            <w:vAlign w:val="bottom"/>
          </w:tcPr>
          <w:p w14:paraId="403D582A" w14:textId="77777777" w:rsidR="000A2A2B" w:rsidRPr="007C3060" w:rsidRDefault="000A2A2B" w:rsidP="007C3060">
            <w:r w:rsidRPr="007C3060">
              <w:t>Kiropraktorbehandling, bevilges med</w:t>
            </w:r>
          </w:p>
        </w:tc>
        <w:tc>
          <w:tcPr>
            <w:tcW w:w="1717" w:type="dxa"/>
            <w:tcBorders>
              <w:top w:val="nil"/>
              <w:left w:val="nil"/>
              <w:bottom w:val="nil"/>
              <w:right w:val="nil"/>
            </w:tcBorders>
            <w:tcMar>
              <w:top w:w="128" w:type="dxa"/>
              <w:left w:w="43" w:type="dxa"/>
              <w:bottom w:w="43" w:type="dxa"/>
              <w:right w:w="43" w:type="dxa"/>
            </w:tcMar>
            <w:vAlign w:val="bottom"/>
          </w:tcPr>
          <w:p w14:paraId="0C6C19F4"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A2C5F30" w14:textId="77777777" w:rsidR="000A2A2B" w:rsidRPr="007C3060" w:rsidRDefault="000A2A2B" w:rsidP="007C3060">
            <w:r w:rsidRPr="007C3060">
              <w:t>20 800 000</w:t>
            </w:r>
          </w:p>
        </w:tc>
      </w:tr>
      <w:tr w:rsidR="004B729E" w:rsidRPr="007C3060" w14:paraId="108DBAE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81B2C9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589C99D" w14:textId="77777777" w:rsidR="000A2A2B" w:rsidRPr="007C3060" w:rsidRDefault="000A2A2B" w:rsidP="007C3060">
            <w:r w:rsidRPr="007C3060">
              <w:t>75</w:t>
            </w:r>
          </w:p>
        </w:tc>
        <w:tc>
          <w:tcPr>
            <w:tcW w:w="4819" w:type="dxa"/>
            <w:tcBorders>
              <w:top w:val="nil"/>
              <w:left w:val="nil"/>
              <w:bottom w:val="nil"/>
              <w:right w:val="nil"/>
            </w:tcBorders>
            <w:tcMar>
              <w:top w:w="128" w:type="dxa"/>
              <w:left w:w="43" w:type="dxa"/>
              <w:bottom w:w="43" w:type="dxa"/>
              <w:right w:w="43" w:type="dxa"/>
            </w:tcMar>
            <w:vAlign w:val="bottom"/>
          </w:tcPr>
          <w:p w14:paraId="02085E16" w14:textId="77777777" w:rsidR="000A2A2B" w:rsidRPr="007C3060" w:rsidRDefault="000A2A2B" w:rsidP="007C3060">
            <w:r w:rsidRPr="007C3060">
              <w:t xml:space="preserve">Logopedisk og </w:t>
            </w:r>
            <w:proofErr w:type="spellStart"/>
            <w:r w:rsidRPr="007C3060">
              <w:t>ortoptisk</w:t>
            </w:r>
            <w:proofErr w:type="spellEnd"/>
            <w:r w:rsidRPr="007C3060">
              <w:t xml:space="preserve"> behandling, nedsettes med</w:t>
            </w:r>
          </w:p>
        </w:tc>
        <w:tc>
          <w:tcPr>
            <w:tcW w:w="1717" w:type="dxa"/>
            <w:tcBorders>
              <w:top w:val="nil"/>
              <w:left w:val="nil"/>
              <w:bottom w:val="nil"/>
              <w:right w:val="nil"/>
            </w:tcBorders>
            <w:tcMar>
              <w:top w:w="128" w:type="dxa"/>
              <w:left w:w="43" w:type="dxa"/>
              <w:bottom w:w="43" w:type="dxa"/>
              <w:right w:w="43" w:type="dxa"/>
            </w:tcMar>
            <w:vAlign w:val="bottom"/>
          </w:tcPr>
          <w:p w14:paraId="160E218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727E520" w14:textId="77777777" w:rsidR="000A2A2B" w:rsidRPr="007C3060" w:rsidRDefault="000A2A2B" w:rsidP="007C3060">
            <w:r w:rsidRPr="007C3060">
              <w:t>11 000 000</w:t>
            </w:r>
          </w:p>
        </w:tc>
      </w:tr>
      <w:tr w:rsidR="004B729E" w:rsidRPr="007C3060" w14:paraId="59EC7106"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847947F"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5D18938B"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2E1194F" w14:textId="77777777" w:rsidR="000A2A2B" w:rsidRPr="007C3060" w:rsidRDefault="000A2A2B" w:rsidP="007C3060">
            <w:r w:rsidRPr="007C3060">
              <w:t>fra kr 401 000 000 til kr 390 000 000</w:t>
            </w:r>
          </w:p>
        </w:tc>
        <w:tc>
          <w:tcPr>
            <w:tcW w:w="1717" w:type="dxa"/>
            <w:tcBorders>
              <w:top w:val="nil"/>
              <w:left w:val="nil"/>
              <w:bottom w:val="nil"/>
              <w:right w:val="nil"/>
            </w:tcBorders>
            <w:tcMar>
              <w:top w:w="128" w:type="dxa"/>
              <w:left w:w="43" w:type="dxa"/>
              <w:bottom w:w="43" w:type="dxa"/>
              <w:right w:w="43" w:type="dxa"/>
            </w:tcMar>
            <w:vAlign w:val="bottom"/>
          </w:tcPr>
          <w:p w14:paraId="6094AF0F"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0CB79A" w14:textId="77777777" w:rsidR="000A2A2B" w:rsidRPr="007C3060" w:rsidRDefault="000A2A2B" w:rsidP="007C3060"/>
        </w:tc>
      </w:tr>
      <w:tr w:rsidR="004B729E" w:rsidRPr="007C3060" w14:paraId="64F3D884"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EB8EA77" w14:textId="77777777" w:rsidR="000A2A2B" w:rsidRPr="007C3060" w:rsidRDefault="000A2A2B" w:rsidP="007C3060">
            <w:r w:rsidRPr="007C3060">
              <w:t>2756</w:t>
            </w:r>
          </w:p>
        </w:tc>
        <w:tc>
          <w:tcPr>
            <w:tcW w:w="992" w:type="dxa"/>
            <w:tcBorders>
              <w:top w:val="nil"/>
              <w:left w:val="nil"/>
              <w:bottom w:val="nil"/>
              <w:right w:val="nil"/>
            </w:tcBorders>
            <w:tcMar>
              <w:top w:w="128" w:type="dxa"/>
              <w:left w:w="43" w:type="dxa"/>
              <w:bottom w:w="43" w:type="dxa"/>
              <w:right w:w="123" w:type="dxa"/>
            </w:tcMar>
          </w:tcPr>
          <w:p w14:paraId="7707B7A9"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E1DC5D4" w14:textId="77777777" w:rsidR="000A2A2B" w:rsidRPr="007C3060" w:rsidRDefault="000A2A2B" w:rsidP="007C3060">
            <w:r w:rsidRPr="007C3060">
              <w:t>Andre helsetjenester:</w:t>
            </w:r>
          </w:p>
        </w:tc>
        <w:tc>
          <w:tcPr>
            <w:tcW w:w="1717" w:type="dxa"/>
            <w:tcBorders>
              <w:top w:val="nil"/>
              <w:left w:val="nil"/>
              <w:bottom w:val="nil"/>
              <w:right w:val="nil"/>
            </w:tcBorders>
            <w:tcMar>
              <w:top w:w="128" w:type="dxa"/>
              <w:left w:w="43" w:type="dxa"/>
              <w:bottom w:w="43" w:type="dxa"/>
              <w:right w:w="43" w:type="dxa"/>
            </w:tcMar>
            <w:vAlign w:val="bottom"/>
          </w:tcPr>
          <w:p w14:paraId="573B448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17C1129D" w14:textId="77777777" w:rsidR="000A2A2B" w:rsidRPr="007C3060" w:rsidRDefault="000A2A2B" w:rsidP="007C3060"/>
        </w:tc>
      </w:tr>
      <w:tr w:rsidR="004B729E" w:rsidRPr="007C3060" w14:paraId="71FF124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9C624BA"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417BFF89" w14:textId="77777777" w:rsidR="000A2A2B" w:rsidRPr="007C3060" w:rsidRDefault="000A2A2B" w:rsidP="007C3060">
            <w:r w:rsidRPr="007C3060">
              <w:t>70</w:t>
            </w:r>
          </w:p>
        </w:tc>
        <w:tc>
          <w:tcPr>
            <w:tcW w:w="4819" w:type="dxa"/>
            <w:tcBorders>
              <w:top w:val="nil"/>
              <w:left w:val="nil"/>
              <w:bottom w:val="nil"/>
              <w:right w:val="nil"/>
            </w:tcBorders>
            <w:tcMar>
              <w:top w:w="128" w:type="dxa"/>
              <w:left w:w="43" w:type="dxa"/>
              <w:bottom w:w="43" w:type="dxa"/>
              <w:right w:w="43" w:type="dxa"/>
            </w:tcMar>
            <w:vAlign w:val="bottom"/>
          </w:tcPr>
          <w:p w14:paraId="4D07104C" w14:textId="77777777" w:rsidR="000A2A2B" w:rsidRPr="007C3060" w:rsidRDefault="000A2A2B" w:rsidP="007C3060">
            <w:r w:rsidRPr="007C3060">
              <w:t>Helsetjenester i annet EØS-land, forhøyes med</w:t>
            </w:r>
          </w:p>
        </w:tc>
        <w:tc>
          <w:tcPr>
            <w:tcW w:w="1717" w:type="dxa"/>
            <w:tcBorders>
              <w:top w:val="nil"/>
              <w:left w:val="nil"/>
              <w:bottom w:val="nil"/>
              <w:right w:val="nil"/>
            </w:tcBorders>
            <w:tcMar>
              <w:top w:w="128" w:type="dxa"/>
              <w:left w:w="43" w:type="dxa"/>
              <w:bottom w:w="43" w:type="dxa"/>
              <w:right w:w="43" w:type="dxa"/>
            </w:tcMar>
            <w:vAlign w:val="bottom"/>
          </w:tcPr>
          <w:p w14:paraId="2309122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E0ADE4E" w14:textId="77777777" w:rsidR="000A2A2B" w:rsidRPr="007C3060" w:rsidRDefault="000A2A2B" w:rsidP="007C3060">
            <w:r w:rsidRPr="007C3060">
              <w:t>2 000 000</w:t>
            </w:r>
          </w:p>
        </w:tc>
      </w:tr>
      <w:tr w:rsidR="004B729E" w:rsidRPr="007C3060" w14:paraId="398DA662"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616D139E"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30968EE8"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1AF53373" w14:textId="77777777" w:rsidR="000A2A2B" w:rsidRPr="007C3060" w:rsidRDefault="000A2A2B" w:rsidP="007C3060">
            <w:r w:rsidRPr="007C3060">
              <w:t>fra kr 7 000 000 til kr 9 000 000</w:t>
            </w:r>
          </w:p>
        </w:tc>
        <w:tc>
          <w:tcPr>
            <w:tcW w:w="1717" w:type="dxa"/>
            <w:tcBorders>
              <w:top w:val="nil"/>
              <w:left w:val="nil"/>
              <w:bottom w:val="nil"/>
              <w:right w:val="nil"/>
            </w:tcBorders>
            <w:tcMar>
              <w:top w:w="128" w:type="dxa"/>
              <w:left w:w="43" w:type="dxa"/>
              <w:bottom w:w="43" w:type="dxa"/>
              <w:right w:w="43" w:type="dxa"/>
            </w:tcMar>
            <w:vAlign w:val="bottom"/>
          </w:tcPr>
          <w:p w14:paraId="4BC37C19"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257CA333" w14:textId="77777777" w:rsidR="000A2A2B" w:rsidRPr="007C3060" w:rsidRDefault="000A2A2B" w:rsidP="007C3060"/>
        </w:tc>
      </w:tr>
      <w:tr w:rsidR="004B729E" w:rsidRPr="007C3060" w14:paraId="67A8DF67"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0A34C2B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251D9F8C" w14:textId="77777777" w:rsidR="000A2A2B" w:rsidRPr="007C3060" w:rsidRDefault="000A2A2B" w:rsidP="007C3060">
            <w:r w:rsidRPr="007C3060">
              <w:t>71</w:t>
            </w:r>
          </w:p>
        </w:tc>
        <w:tc>
          <w:tcPr>
            <w:tcW w:w="4819" w:type="dxa"/>
            <w:tcBorders>
              <w:top w:val="nil"/>
              <w:left w:val="nil"/>
              <w:bottom w:val="nil"/>
              <w:right w:val="nil"/>
            </w:tcBorders>
            <w:tcMar>
              <w:top w:w="128" w:type="dxa"/>
              <w:left w:w="43" w:type="dxa"/>
              <w:bottom w:w="43" w:type="dxa"/>
              <w:right w:w="43" w:type="dxa"/>
            </w:tcMar>
            <w:vAlign w:val="bottom"/>
          </w:tcPr>
          <w:p w14:paraId="7C7E8DE1" w14:textId="77777777" w:rsidR="000A2A2B" w:rsidRPr="007C3060" w:rsidRDefault="000A2A2B" w:rsidP="007C3060">
            <w:r w:rsidRPr="007C3060">
              <w:t>Helsetjenester i utlandet mv., nedsettes med</w:t>
            </w:r>
          </w:p>
        </w:tc>
        <w:tc>
          <w:tcPr>
            <w:tcW w:w="1717" w:type="dxa"/>
            <w:tcBorders>
              <w:top w:val="nil"/>
              <w:left w:val="nil"/>
              <w:bottom w:val="nil"/>
              <w:right w:val="nil"/>
            </w:tcBorders>
            <w:tcMar>
              <w:top w:w="128" w:type="dxa"/>
              <w:left w:w="43" w:type="dxa"/>
              <w:bottom w:w="43" w:type="dxa"/>
              <w:right w:w="43" w:type="dxa"/>
            </w:tcMar>
            <w:vAlign w:val="bottom"/>
          </w:tcPr>
          <w:p w14:paraId="1E15F0A5"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ABD9FD1" w14:textId="77777777" w:rsidR="000A2A2B" w:rsidRPr="007C3060" w:rsidRDefault="000A2A2B" w:rsidP="007C3060">
            <w:r w:rsidRPr="007C3060">
              <w:t>155 000 000</w:t>
            </w:r>
          </w:p>
        </w:tc>
      </w:tr>
      <w:tr w:rsidR="004B729E" w:rsidRPr="007C3060" w14:paraId="3987B9B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548F6163"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1B97ED2E"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2E72CBDD" w14:textId="77777777" w:rsidR="000A2A2B" w:rsidRPr="007C3060" w:rsidRDefault="000A2A2B" w:rsidP="007C3060">
            <w:r w:rsidRPr="007C3060">
              <w:t>fra kr 770 000 000 til kr 615 000 000</w:t>
            </w:r>
          </w:p>
        </w:tc>
        <w:tc>
          <w:tcPr>
            <w:tcW w:w="1717" w:type="dxa"/>
            <w:tcBorders>
              <w:top w:val="nil"/>
              <w:left w:val="nil"/>
              <w:bottom w:val="nil"/>
              <w:right w:val="nil"/>
            </w:tcBorders>
            <w:tcMar>
              <w:top w:w="128" w:type="dxa"/>
              <w:left w:w="43" w:type="dxa"/>
              <w:bottom w:w="43" w:type="dxa"/>
              <w:right w:w="43" w:type="dxa"/>
            </w:tcMar>
            <w:vAlign w:val="bottom"/>
          </w:tcPr>
          <w:p w14:paraId="0503A213"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776D5CA2" w14:textId="77777777" w:rsidR="000A2A2B" w:rsidRPr="007C3060" w:rsidRDefault="000A2A2B" w:rsidP="007C3060"/>
        </w:tc>
      </w:tr>
      <w:tr w:rsidR="004B729E" w:rsidRPr="007C3060" w14:paraId="040BB25D"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26ECC640"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47E4922" w14:textId="77777777" w:rsidR="000A2A2B" w:rsidRPr="007C3060" w:rsidRDefault="000A2A2B" w:rsidP="007C3060">
            <w:r w:rsidRPr="007C3060">
              <w:t>72</w:t>
            </w:r>
          </w:p>
        </w:tc>
        <w:tc>
          <w:tcPr>
            <w:tcW w:w="4819" w:type="dxa"/>
            <w:tcBorders>
              <w:top w:val="nil"/>
              <w:left w:val="nil"/>
              <w:bottom w:val="nil"/>
              <w:right w:val="nil"/>
            </w:tcBorders>
            <w:tcMar>
              <w:top w:w="128" w:type="dxa"/>
              <w:left w:w="43" w:type="dxa"/>
              <w:bottom w:w="43" w:type="dxa"/>
              <w:right w:w="43" w:type="dxa"/>
            </w:tcMar>
            <w:vAlign w:val="bottom"/>
          </w:tcPr>
          <w:p w14:paraId="5BC88CEB" w14:textId="77777777" w:rsidR="000A2A2B" w:rsidRPr="007C3060" w:rsidRDefault="000A2A2B" w:rsidP="007C3060">
            <w:r w:rsidRPr="007C3060">
              <w:t>Helsetjenester til utenlandsboende mv., nedsettes med</w:t>
            </w:r>
          </w:p>
        </w:tc>
        <w:tc>
          <w:tcPr>
            <w:tcW w:w="1717" w:type="dxa"/>
            <w:tcBorders>
              <w:top w:val="nil"/>
              <w:left w:val="nil"/>
              <w:bottom w:val="nil"/>
              <w:right w:val="nil"/>
            </w:tcBorders>
            <w:tcMar>
              <w:top w:w="128" w:type="dxa"/>
              <w:left w:w="43" w:type="dxa"/>
              <w:bottom w:w="43" w:type="dxa"/>
              <w:right w:w="43" w:type="dxa"/>
            </w:tcMar>
            <w:vAlign w:val="bottom"/>
          </w:tcPr>
          <w:p w14:paraId="37D2FEF8"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348C43A4" w14:textId="77777777" w:rsidR="000A2A2B" w:rsidRPr="007C3060" w:rsidRDefault="000A2A2B" w:rsidP="007C3060">
            <w:r w:rsidRPr="007C3060">
              <w:t>65 000 000</w:t>
            </w:r>
          </w:p>
        </w:tc>
      </w:tr>
      <w:tr w:rsidR="004B729E" w:rsidRPr="007C3060" w14:paraId="119E4179"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4FC64DB6"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05A0143D"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693528D2" w14:textId="77777777" w:rsidR="000A2A2B" w:rsidRPr="007C3060" w:rsidRDefault="000A2A2B" w:rsidP="007C3060">
            <w:r w:rsidRPr="007C3060">
              <w:t>fra kr 460 000 000 til kr 395 000 000</w:t>
            </w:r>
          </w:p>
        </w:tc>
        <w:tc>
          <w:tcPr>
            <w:tcW w:w="1717" w:type="dxa"/>
            <w:tcBorders>
              <w:top w:val="nil"/>
              <w:left w:val="nil"/>
              <w:bottom w:val="nil"/>
              <w:right w:val="nil"/>
            </w:tcBorders>
            <w:tcMar>
              <w:top w:w="128" w:type="dxa"/>
              <w:left w:w="43" w:type="dxa"/>
              <w:bottom w:w="43" w:type="dxa"/>
              <w:right w:w="43" w:type="dxa"/>
            </w:tcMar>
            <w:vAlign w:val="bottom"/>
          </w:tcPr>
          <w:p w14:paraId="376BF720"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43F4639C" w14:textId="77777777" w:rsidR="000A2A2B" w:rsidRPr="007C3060" w:rsidRDefault="000A2A2B" w:rsidP="007C3060"/>
        </w:tc>
      </w:tr>
      <w:tr w:rsidR="004B729E" w:rsidRPr="007C3060" w14:paraId="78718F15"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7F4284B6" w14:textId="77777777" w:rsidR="000A2A2B" w:rsidRPr="007C3060" w:rsidRDefault="000A2A2B" w:rsidP="007C3060">
            <w:r w:rsidRPr="007C3060">
              <w:t>2800</w:t>
            </w:r>
          </w:p>
        </w:tc>
        <w:tc>
          <w:tcPr>
            <w:tcW w:w="992" w:type="dxa"/>
            <w:tcBorders>
              <w:top w:val="nil"/>
              <w:left w:val="nil"/>
              <w:bottom w:val="nil"/>
              <w:right w:val="nil"/>
            </w:tcBorders>
            <w:tcMar>
              <w:top w:w="128" w:type="dxa"/>
              <w:left w:w="43" w:type="dxa"/>
              <w:bottom w:w="43" w:type="dxa"/>
              <w:right w:w="123" w:type="dxa"/>
            </w:tcMar>
          </w:tcPr>
          <w:p w14:paraId="35EA3E71" w14:textId="77777777" w:rsidR="000A2A2B" w:rsidRPr="007C3060" w:rsidRDefault="000A2A2B" w:rsidP="007C3060"/>
        </w:tc>
        <w:tc>
          <w:tcPr>
            <w:tcW w:w="4819" w:type="dxa"/>
            <w:tcBorders>
              <w:top w:val="nil"/>
              <w:left w:val="nil"/>
              <w:bottom w:val="nil"/>
              <w:right w:val="nil"/>
            </w:tcBorders>
            <w:tcMar>
              <w:top w:w="128" w:type="dxa"/>
              <w:left w:w="43" w:type="dxa"/>
              <w:bottom w:w="43" w:type="dxa"/>
              <w:right w:w="43" w:type="dxa"/>
            </w:tcMar>
            <w:vAlign w:val="bottom"/>
          </w:tcPr>
          <w:p w14:paraId="766A467F" w14:textId="77777777" w:rsidR="000A2A2B" w:rsidRPr="007C3060" w:rsidRDefault="000A2A2B" w:rsidP="007C3060">
            <w:r w:rsidRPr="007C3060">
              <w:t>Statens pensjonsfond utland:</w:t>
            </w:r>
          </w:p>
        </w:tc>
        <w:tc>
          <w:tcPr>
            <w:tcW w:w="1717" w:type="dxa"/>
            <w:tcBorders>
              <w:top w:val="nil"/>
              <w:left w:val="nil"/>
              <w:bottom w:val="nil"/>
              <w:right w:val="nil"/>
            </w:tcBorders>
            <w:tcMar>
              <w:top w:w="128" w:type="dxa"/>
              <w:left w:w="43" w:type="dxa"/>
              <w:bottom w:w="43" w:type="dxa"/>
              <w:right w:w="43" w:type="dxa"/>
            </w:tcMar>
            <w:vAlign w:val="bottom"/>
          </w:tcPr>
          <w:p w14:paraId="661F60F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vAlign w:val="bottom"/>
          </w:tcPr>
          <w:p w14:paraId="5CD87E49" w14:textId="77777777" w:rsidR="000A2A2B" w:rsidRPr="007C3060" w:rsidRDefault="000A2A2B" w:rsidP="007C3060"/>
        </w:tc>
      </w:tr>
      <w:tr w:rsidR="004B729E" w:rsidRPr="007C3060" w14:paraId="5E43D5EB" w14:textId="77777777" w:rsidTr="00414C2B">
        <w:trPr>
          <w:trHeight w:val="380"/>
          <w:jc w:val="right"/>
        </w:trPr>
        <w:tc>
          <w:tcPr>
            <w:tcW w:w="969" w:type="dxa"/>
            <w:tcBorders>
              <w:top w:val="nil"/>
              <w:left w:val="nil"/>
              <w:bottom w:val="nil"/>
              <w:right w:val="nil"/>
            </w:tcBorders>
            <w:tcMar>
              <w:top w:w="128" w:type="dxa"/>
              <w:left w:w="43" w:type="dxa"/>
              <w:bottom w:w="43" w:type="dxa"/>
              <w:right w:w="123" w:type="dxa"/>
            </w:tcMar>
          </w:tcPr>
          <w:p w14:paraId="378B0D4B" w14:textId="77777777" w:rsidR="000A2A2B" w:rsidRPr="007C3060" w:rsidRDefault="000A2A2B" w:rsidP="007C3060"/>
        </w:tc>
        <w:tc>
          <w:tcPr>
            <w:tcW w:w="992" w:type="dxa"/>
            <w:tcBorders>
              <w:top w:val="nil"/>
              <w:left w:val="nil"/>
              <w:bottom w:val="nil"/>
              <w:right w:val="nil"/>
            </w:tcBorders>
            <w:tcMar>
              <w:top w:w="128" w:type="dxa"/>
              <w:left w:w="43" w:type="dxa"/>
              <w:bottom w:w="43" w:type="dxa"/>
              <w:right w:w="123" w:type="dxa"/>
            </w:tcMar>
          </w:tcPr>
          <w:p w14:paraId="6C89C90A" w14:textId="77777777" w:rsidR="000A2A2B" w:rsidRPr="007C3060" w:rsidRDefault="000A2A2B" w:rsidP="007C3060">
            <w:r w:rsidRPr="007C3060">
              <w:t>96</w:t>
            </w:r>
          </w:p>
        </w:tc>
        <w:tc>
          <w:tcPr>
            <w:tcW w:w="4819" w:type="dxa"/>
            <w:tcBorders>
              <w:top w:val="nil"/>
              <w:left w:val="nil"/>
              <w:bottom w:val="nil"/>
              <w:right w:val="nil"/>
            </w:tcBorders>
            <w:tcMar>
              <w:top w:w="128" w:type="dxa"/>
              <w:left w:w="43" w:type="dxa"/>
              <w:bottom w:w="43" w:type="dxa"/>
              <w:right w:w="43" w:type="dxa"/>
            </w:tcMar>
          </w:tcPr>
          <w:p w14:paraId="7CF279D1" w14:textId="77777777" w:rsidR="000A2A2B" w:rsidRPr="007C3060" w:rsidRDefault="000A2A2B" w:rsidP="007C3060">
            <w:r w:rsidRPr="007C3060">
              <w:t>Finansposter overført til fondet, forhøyes med</w:t>
            </w:r>
          </w:p>
        </w:tc>
        <w:tc>
          <w:tcPr>
            <w:tcW w:w="1717" w:type="dxa"/>
            <w:tcBorders>
              <w:top w:val="nil"/>
              <w:left w:val="nil"/>
              <w:bottom w:val="nil"/>
              <w:right w:val="nil"/>
            </w:tcBorders>
            <w:tcMar>
              <w:top w:w="128" w:type="dxa"/>
              <w:left w:w="43" w:type="dxa"/>
              <w:bottom w:w="43" w:type="dxa"/>
              <w:right w:w="43" w:type="dxa"/>
            </w:tcMar>
            <w:vAlign w:val="bottom"/>
          </w:tcPr>
          <w:p w14:paraId="7D384A6C" w14:textId="77777777" w:rsidR="000A2A2B" w:rsidRPr="007C3060" w:rsidRDefault="000A2A2B" w:rsidP="007C3060"/>
        </w:tc>
        <w:tc>
          <w:tcPr>
            <w:tcW w:w="1969" w:type="dxa"/>
            <w:tcBorders>
              <w:top w:val="nil"/>
              <w:left w:val="nil"/>
              <w:bottom w:val="nil"/>
              <w:right w:val="nil"/>
            </w:tcBorders>
            <w:tcMar>
              <w:top w:w="128" w:type="dxa"/>
              <w:left w:w="43" w:type="dxa"/>
              <w:bottom w:w="43" w:type="dxa"/>
              <w:right w:w="43" w:type="dxa"/>
            </w:tcMar>
          </w:tcPr>
          <w:p w14:paraId="738C090B" w14:textId="77777777" w:rsidR="000A2A2B" w:rsidRPr="007C3060" w:rsidRDefault="000A2A2B" w:rsidP="007C3060">
            <w:r w:rsidRPr="007C3060">
              <w:t>14 748 211 000</w:t>
            </w:r>
          </w:p>
        </w:tc>
      </w:tr>
      <w:tr w:rsidR="004B729E" w:rsidRPr="007C3060" w14:paraId="290727AD" w14:textId="77777777" w:rsidTr="00414C2B">
        <w:trPr>
          <w:trHeight w:val="380"/>
          <w:jc w:val="right"/>
        </w:trPr>
        <w:tc>
          <w:tcPr>
            <w:tcW w:w="969" w:type="dxa"/>
            <w:tcBorders>
              <w:top w:val="nil"/>
              <w:left w:val="nil"/>
              <w:bottom w:val="single" w:sz="4" w:space="0" w:color="000000"/>
              <w:right w:val="nil"/>
            </w:tcBorders>
            <w:tcMar>
              <w:top w:w="128" w:type="dxa"/>
              <w:left w:w="43" w:type="dxa"/>
              <w:bottom w:w="43" w:type="dxa"/>
              <w:right w:w="123" w:type="dxa"/>
            </w:tcMar>
          </w:tcPr>
          <w:p w14:paraId="6B727A00" w14:textId="77777777" w:rsidR="000A2A2B" w:rsidRPr="007C3060" w:rsidRDefault="000A2A2B" w:rsidP="007C3060"/>
        </w:tc>
        <w:tc>
          <w:tcPr>
            <w:tcW w:w="992" w:type="dxa"/>
            <w:tcBorders>
              <w:top w:val="nil"/>
              <w:left w:val="nil"/>
              <w:bottom w:val="single" w:sz="4" w:space="0" w:color="000000"/>
              <w:right w:val="nil"/>
            </w:tcBorders>
            <w:tcMar>
              <w:top w:w="128" w:type="dxa"/>
              <w:left w:w="43" w:type="dxa"/>
              <w:bottom w:w="43" w:type="dxa"/>
              <w:right w:w="123" w:type="dxa"/>
            </w:tcMar>
          </w:tcPr>
          <w:p w14:paraId="21BF45D7" w14:textId="77777777" w:rsidR="000A2A2B" w:rsidRPr="007C3060" w:rsidRDefault="000A2A2B" w:rsidP="007C3060"/>
        </w:tc>
        <w:tc>
          <w:tcPr>
            <w:tcW w:w="4819" w:type="dxa"/>
            <w:tcBorders>
              <w:top w:val="nil"/>
              <w:left w:val="nil"/>
              <w:bottom w:val="single" w:sz="4" w:space="0" w:color="000000"/>
              <w:right w:val="nil"/>
            </w:tcBorders>
            <w:tcMar>
              <w:top w:w="128" w:type="dxa"/>
              <w:left w:w="43" w:type="dxa"/>
              <w:bottom w:w="43" w:type="dxa"/>
              <w:right w:w="43" w:type="dxa"/>
            </w:tcMar>
            <w:vAlign w:val="bottom"/>
          </w:tcPr>
          <w:p w14:paraId="41E71C0D" w14:textId="77777777" w:rsidR="000A2A2B" w:rsidRPr="007C3060" w:rsidRDefault="000A2A2B" w:rsidP="007C3060">
            <w:r w:rsidRPr="007C3060">
              <w:t>fra kr 82 100 000 000 til kr 96 848 211 000</w:t>
            </w:r>
          </w:p>
        </w:tc>
        <w:tc>
          <w:tcPr>
            <w:tcW w:w="1717" w:type="dxa"/>
            <w:tcBorders>
              <w:top w:val="nil"/>
              <w:left w:val="nil"/>
              <w:bottom w:val="single" w:sz="4" w:space="0" w:color="000000"/>
              <w:right w:val="nil"/>
            </w:tcBorders>
            <w:tcMar>
              <w:top w:w="128" w:type="dxa"/>
              <w:left w:w="43" w:type="dxa"/>
              <w:bottom w:w="43" w:type="dxa"/>
              <w:right w:w="43" w:type="dxa"/>
            </w:tcMar>
            <w:vAlign w:val="bottom"/>
          </w:tcPr>
          <w:p w14:paraId="5A2BFB7C" w14:textId="77777777" w:rsidR="000A2A2B" w:rsidRPr="007C3060" w:rsidRDefault="000A2A2B" w:rsidP="007C3060"/>
        </w:tc>
        <w:tc>
          <w:tcPr>
            <w:tcW w:w="1969" w:type="dxa"/>
            <w:tcBorders>
              <w:top w:val="nil"/>
              <w:left w:val="nil"/>
              <w:bottom w:val="single" w:sz="4" w:space="0" w:color="000000"/>
              <w:right w:val="nil"/>
            </w:tcBorders>
            <w:tcMar>
              <w:top w:w="128" w:type="dxa"/>
              <w:left w:w="43" w:type="dxa"/>
              <w:bottom w:w="43" w:type="dxa"/>
              <w:right w:w="43" w:type="dxa"/>
            </w:tcMar>
            <w:vAlign w:val="bottom"/>
          </w:tcPr>
          <w:p w14:paraId="645B98F0" w14:textId="77777777" w:rsidR="000A2A2B" w:rsidRPr="007C3060" w:rsidRDefault="000A2A2B" w:rsidP="007C3060"/>
        </w:tc>
      </w:tr>
    </w:tbl>
    <w:p w14:paraId="4BBCFBA7" w14:textId="77777777" w:rsidR="000A2A2B" w:rsidRPr="007C3060" w:rsidRDefault="000A2A2B" w:rsidP="007C3060">
      <w:pPr>
        <w:pStyle w:val="a-vedtak-tekst"/>
      </w:pPr>
      <w:r w:rsidRPr="007C3060">
        <w:t>Inntekter:</w:t>
      </w:r>
    </w:p>
    <w:p w14:paraId="2C0F03AB" w14:textId="77777777" w:rsidR="000A2A2B" w:rsidRPr="007C3060" w:rsidRDefault="000A2A2B" w:rsidP="007C3060">
      <w:pPr>
        <w:pStyle w:val="Tabellnavn"/>
      </w:pPr>
      <w:r w:rsidRPr="007C3060">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4B729E" w:rsidRPr="007C3060" w14:paraId="13EF7D24"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123" w:type="dxa"/>
            </w:tcMar>
            <w:vAlign w:val="bottom"/>
          </w:tcPr>
          <w:p w14:paraId="570C9455" w14:textId="77777777" w:rsidR="000A2A2B" w:rsidRPr="007C3060" w:rsidRDefault="000A2A2B" w:rsidP="007C3060">
            <w:r w:rsidRPr="007C3060">
              <w:t>Kap.</w:t>
            </w:r>
          </w:p>
        </w:tc>
        <w:tc>
          <w:tcPr>
            <w:tcW w:w="680" w:type="dxa"/>
            <w:tcBorders>
              <w:top w:val="single" w:sz="4" w:space="0" w:color="000000"/>
              <w:left w:val="nil"/>
              <w:bottom w:val="single" w:sz="4" w:space="0" w:color="000000"/>
              <w:right w:val="nil"/>
            </w:tcBorders>
            <w:tcMar>
              <w:top w:w="128" w:type="dxa"/>
              <w:left w:w="43" w:type="dxa"/>
              <w:bottom w:w="43" w:type="dxa"/>
              <w:right w:w="123" w:type="dxa"/>
            </w:tcMar>
            <w:vAlign w:val="bottom"/>
          </w:tcPr>
          <w:p w14:paraId="18A35939" w14:textId="77777777" w:rsidR="000A2A2B" w:rsidRPr="007C3060" w:rsidRDefault="000A2A2B" w:rsidP="007C3060">
            <w:r w:rsidRPr="007C3060">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A2991A" w14:textId="77777777" w:rsidR="000A2A2B" w:rsidRPr="007C3060" w:rsidRDefault="000A2A2B" w:rsidP="007C3060">
            <w:r w:rsidRPr="007C3060">
              <w:t>Formål</w:t>
            </w:r>
          </w:p>
        </w:tc>
        <w:tc>
          <w:tcPr>
            <w:tcW w:w="31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1D85987" w14:textId="77777777" w:rsidR="000A2A2B" w:rsidRPr="007C3060" w:rsidRDefault="000A2A2B" w:rsidP="007C3060">
            <w:r w:rsidRPr="007C3060">
              <w:t>Kroner</w:t>
            </w:r>
          </w:p>
        </w:tc>
      </w:tr>
      <w:tr w:rsidR="004B729E" w:rsidRPr="007C3060" w14:paraId="2C081E30" w14:textId="77777777">
        <w:trPr>
          <w:trHeight w:val="380"/>
        </w:trPr>
        <w:tc>
          <w:tcPr>
            <w:tcW w:w="680" w:type="dxa"/>
            <w:tcBorders>
              <w:top w:val="single" w:sz="4" w:space="0" w:color="000000"/>
              <w:left w:val="nil"/>
              <w:bottom w:val="nil"/>
              <w:right w:val="nil"/>
            </w:tcBorders>
            <w:tcMar>
              <w:top w:w="128" w:type="dxa"/>
              <w:left w:w="43" w:type="dxa"/>
              <w:bottom w:w="43" w:type="dxa"/>
              <w:right w:w="123" w:type="dxa"/>
            </w:tcMar>
          </w:tcPr>
          <w:p w14:paraId="65A09389" w14:textId="77777777" w:rsidR="000A2A2B" w:rsidRPr="007C3060" w:rsidRDefault="000A2A2B" w:rsidP="007C3060">
            <w:r w:rsidRPr="007C3060">
              <w:t>3041</w:t>
            </w:r>
          </w:p>
        </w:tc>
        <w:tc>
          <w:tcPr>
            <w:tcW w:w="680" w:type="dxa"/>
            <w:tcBorders>
              <w:top w:val="single" w:sz="4" w:space="0" w:color="000000"/>
              <w:left w:val="nil"/>
              <w:bottom w:val="nil"/>
              <w:right w:val="nil"/>
            </w:tcBorders>
            <w:tcMar>
              <w:top w:w="128" w:type="dxa"/>
              <w:left w:w="43" w:type="dxa"/>
              <w:bottom w:w="43" w:type="dxa"/>
              <w:right w:w="123" w:type="dxa"/>
            </w:tcMar>
            <w:vAlign w:val="bottom"/>
          </w:tcPr>
          <w:p w14:paraId="5C48D738" w14:textId="77777777" w:rsidR="000A2A2B" w:rsidRPr="007C3060" w:rsidRDefault="000A2A2B" w:rsidP="007C3060"/>
        </w:tc>
        <w:tc>
          <w:tcPr>
            <w:tcW w:w="5040" w:type="dxa"/>
            <w:tcBorders>
              <w:top w:val="single" w:sz="4" w:space="0" w:color="000000"/>
              <w:left w:val="nil"/>
              <w:bottom w:val="nil"/>
              <w:right w:val="nil"/>
            </w:tcBorders>
            <w:tcMar>
              <w:top w:w="128" w:type="dxa"/>
              <w:left w:w="43" w:type="dxa"/>
              <w:bottom w:w="43" w:type="dxa"/>
              <w:right w:w="43" w:type="dxa"/>
            </w:tcMar>
            <w:vAlign w:val="bottom"/>
          </w:tcPr>
          <w:p w14:paraId="7175611F" w14:textId="77777777" w:rsidR="000A2A2B" w:rsidRPr="007C3060" w:rsidRDefault="000A2A2B" w:rsidP="007C3060">
            <w:r w:rsidRPr="007C3060">
              <w:t>Stortinget:</w:t>
            </w:r>
          </w:p>
        </w:tc>
        <w:tc>
          <w:tcPr>
            <w:tcW w:w="3160" w:type="dxa"/>
            <w:gridSpan w:val="2"/>
            <w:tcBorders>
              <w:top w:val="single" w:sz="4" w:space="0" w:color="000000"/>
              <w:left w:val="nil"/>
              <w:bottom w:val="nil"/>
              <w:right w:val="nil"/>
            </w:tcBorders>
            <w:tcMar>
              <w:top w:w="128" w:type="dxa"/>
              <w:left w:w="43" w:type="dxa"/>
              <w:bottom w:w="43" w:type="dxa"/>
              <w:right w:w="43" w:type="dxa"/>
            </w:tcMar>
            <w:vAlign w:val="bottom"/>
          </w:tcPr>
          <w:p w14:paraId="3F1BE40A" w14:textId="77777777" w:rsidR="000A2A2B" w:rsidRPr="007C3060" w:rsidRDefault="000A2A2B" w:rsidP="007C3060"/>
        </w:tc>
      </w:tr>
      <w:tr w:rsidR="004B729E" w:rsidRPr="007C3060" w14:paraId="1213991D" w14:textId="77777777">
        <w:trPr>
          <w:trHeight w:val="380"/>
        </w:trPr>
        <w:tc>
          <w:tcPr>
            <w:tcW w:w="680" w:type="dxa"/>
            <w:tcBorders>
              <w:top w:val="nil"/>
              <w:left w:val="nil"/>
              <w:bottom w:val="nil"/>
              <w:right w:val="nil"/>
            </w:tcBorders>
            <w:tcMar>
              <w:top w:w="128" w:type="dxa"/>
              <w:left w:w="43" w:type="dxa"/>
              <w:bottom w:w="43" w:type="dxa"/>
              <w:right w:w="123" w:type="dxa"/>
            </w:tcMar>
          </w:tcPr>
          <w:p w14:paraId="4E7AE70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BFD342E"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1BC7BD9A" w14:textId="77777777" w:rsidR="000A2A2B" w:rsidRPr="007C3060" w:rsidRDefault="000A2A2B" w:rsidP="007C3060">
            <w:r w:rsidRPr="007C3060">
              <w:t>Salgsinntekter, forhøyes med</w:t>
            </w:r>
          </w:p>
        </w:tc>
        <w:tc>
          <w:tcPr>
            <w:tcW w:w="3160" w:type="dxa"/>
            <w:gridSpan w:val="2"/>
            <w:tcBorders>
              <w:top w:val="nil"/>
              <w:left w:val="nil"/>
              <w:bottom w:val="nil"/>
              <w:right w:val="nil"/>
            </w:tcBorders>
            <w:tcMar>
              <w:top w:w="128" w:type="dxa"/>
              <w:left w:w="43" w:type="dxa"/>
              <w:bottom w:w="43" w:type="dxa"/>
              <w:right w:w="43" w:type="dxa"/>
            </w:tcMar>
            <w:vAlign w:val="bottom"/>
          </w:tcPr>
          <w:p w14:paraId="58C17E35" w14:textId="77777777" w:rsidR="000A2A2B" w:rsidRPr="007C3060" w:rsidRDefault="000A2A2B" w:rsidP="007C3060">
            <w:r w:rsidRPr="007C3060">
              <w:t>310 000</w:t>
            </w:r>
          </w:p>
        </w:tc>
      </w:tr>
      <w:tr w:rsidR="004B729E" w:rsidRPr="007C3060" w14:paraId="48C40431" w14:textId="77777777">
        <w:trPr>
          <w:trHeight w:val="380"/>
        </w:trPr>
        <w:tc>
          <w:tcPr>
            <w:tcW w:w="680" w:type="dxa"/>
            <w:tcBorders>
              <w:top w:val="nil"/>
              <w:left w:val="nil"/>
              <w:bottom w:val="nil"/>
              <w:right w:val="nil"/>
            </w:tcBorders>
            <w:tcMar>
              <w:top w:w="128" w:type="dxa"/>
              <w:left w:w="43" w:type="dxa"/>
              <w:bottom w:w="43" w:type="dxa"/>
              <w:right w:w="123" w:type="dxa"/>
            </w:tcMar>
          </w:tcPr>
          <w:p w14:paraId="14E5A98E"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9A67305"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19756C5" w14:textId="77777777" w:rsidR="000A2A2B" w:rsidRPr="007C3060" w:rsidRDefault="000A2A2B" w:rsidP="007C3060">
            <w:r w:rsidRPr="007C3060">
              <w:t>fra kr 6 190 000 til kr 6 500 000</w:t>
            </w:r>
          </w:p>
        </w:tc>
        <w:tc>
          <w:tcPr>
            <w:tcW w:w="1580" w:type="dxa"/>
            <w:tcBorders>
              <w:top w:val="nil"/>
              <w:left w:val="nil"/>
              <w:bottom w:val="nil"/>
              <w:right w:val="nil"/>
            </w:tcBorders>
            <w:tcMar>
              <w:top w:w="128" w:type="dxa"/>
              <w:left w:w="43" w:type="dxa"/>
              <w:bottom w:w="43" w:type="dxa"/>
              <w:right w:w="43" w:type="dxa"/>
            </w:tcMar>
            <w:vAlign w:val="bottom"/>
          </w:tcPr>
          <w:p w14:paraId="75E86FC5"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114DF36" w14:textId="77777777" w:rsidR="000A2A2B" w:rsidRPr="007C3060" w:rsidRDefault="000A2A2B" w:rsidP="007C3060"/>
        </w:tc>
      </w:tr>
      <w:tr w:rsidR="004B729E" w:rsidRPr="007C3060" w14:paraId="79CF9AC0" w14:textId="77777777">
        <w:trPr>
          <w:trHeight w:val="380"/>
        </w:trPr>
        <w:tc>
          <w:tcPr>
            <w:tcW w:w="680" w:type="dxa"/>
            <w:tcBorders>
              <w:top w:val="nil"/>
              <w:left w:val="nil"/>
              <w:bottom w:val="nil"/>
              <w:right w:val="nil"/>
            </w:tcBorders>
            <w:tcMar>
              <w:top w:w="128" w:type="dxa"/>
              <w:left w:w="43" w:type="dxa"/>
              <w:bottom w:w="43" w:type="dxa"/>
              <w:right w:w="123" w:type="dxa"/>
            </w:tcMar>
          </w:tcPr>
          <w:p w14:paraId="22E1A318"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53A9AA6" w14:textId="77777777" w:rsidR="000A2A2B" w:rsidRPr="007C3060" w:rsidRDefault="000A2A2B" w:rsidP="007C3060">
            <w:r w:rsidRPr="007C3060">
              <w:t>3</w:t>
            </w:r>
          </w:p>
        </w:tc>
        <w:tc>
          <w:tcPr>
            <w:tcW w:w="5040" w:type="dxa"/>
            <w:tcBorders>
              <w:top w:val="nil"/>
              <w:left w:val="nil"/>
              <w:bottom w:val="nil"/>
              <w:right w:val="nil"/>
            </w:tcBorders>
            <w:tcMar>
              <w:top w:w="128" w:type="dxa"/>
              <w:left w:w="43" w:type="dxa"/>
              <w:bottom w:w="43" w:type="dxa"/>
              <w:right w:w="43" w:type="dxa"/>
            </w:tcMar>
            <w:vAlign w:val="bottom"/>
          </w:tcPr>
          <w:p w14:paraId="744B9E5B" w14:textId="77777777" w:rsidR="000A2A2B" w:rsidRPr="007C3060" w:rsidRDefault="000A2A2B" w:rsidP="007C3060">
            <w:r w:rsidRPr="007C3060">
              <w:t>Leieinntekter, forhøyes med</w:t>
            </w:r>
          </w:p>
        </w:tc>
        <w:tc>
          <w:tcPr>
            <w:tcW w:w="1580" w:type="dxa"/>
            <w:tcBorders>
              <w:top w:val="nil"/>
              <w:left w:val="nil"/>
              <w:bottom w:val="nil"/>
              <w:right w:val="nil"/>
            </w:tcBorders>
            <w:tcMar>
              <w:top w:w="128" w:type="dxa"/>
              <w:left w:w="43" w:type="dxa"/>
              <w:bottom w:w="43" w:type="dxa"/>
              <w:right w:w="43" w:type="dxa"/>
            </w:tcMar>
            <w:vAlign w:val="bottom"/>
          </w:tcPr>
          <w:p w14:paraId="1406F0E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954EB31" w14:textId="77777777" w:rsidR="000A2A2B" w:rsidRPr="007C3060" w:rsidRDefault="000A2A2B" w:rsidP="007C3060">
            <w:r w:rsidRPr="007C3060">
              <w:t>1 400 000</w:t>
            </w:r>
          </w:p>
        </w:tc>
      </w:tr>
      <w:tr w:rsidR="004B729E" w:rsidRPr="007C3060" w14:paraId="7A63947B" w14:textId="77777777">
        <w:trPr>
          <w:trHeight w:val="380"/>
        </w:trPr>
        <w:tc>
          <w:tcPr>
            <w:tcW w:w="680" w:type="dxa"/>
            <w:tcBorders>
              <w:top w:val="nil"/>
              <w:left w:val="nil"/>
              <w:bottom w:val="nil"/>
              <w:right w:val="nil"/>
            </w:tcBorders>
            <w:tcMar>
              <w:top w:w="128" w:type="dxa"/>
              <w:left w:w="43" w:type="dxa"/>
              <w:bottom w:w="43" w:type="dxa"/>
              <w:right w:w="123" w:type="dxa"/>
            </w:tcMar>
          </w:tcPr>
          <w:p w14:paraId="2C70C3C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D1408F3"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4A85A0D" w14:textId="77777777" w:rsidR="000A2A2B" w:rsidRPr="007C3060" w:rsidRDefault="000A2A2B" w:rsidP="007C3060">
            <w:r w:rsidRPr="007C3060">
              <w:t>fra kr 2 387 000 til kr 3 787 000</w:t>
            </w:r>
          </w:p>
        </w:tc>
        <w:tc>
          <w:tcPr>
            <w:tcW w:w="1580" w:type="dxa"/>
            <w:tcBorders>
              <w:top w:val="nil"/>
              <w:left w:val="nil"/>
              <w:bottom w:val="nil"/>
              <w:right w:val="nil"/>
            </w:tcBorders>
            <w:tcMar>
              <w:top w:w="128" w:type="dxa"/>
              <w:left w:w="43" w:type="dxa"/>
              <w:bottom w:w="43" w:type="dxa"/>
              <w:right w:w="43" w:type="dxa"/>
            </w:tcMar>
            <w:vAlign w:val="bottom"/>
          </w:tcPr>
          <w:p w14:paraId="49935D4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56EE568" w14:textId="77777777" w:rsidR="000A2A2B" w:rsidRPr="007C3060" w:rsidRDefault="000A2A2B" w:rsidP="007C3060"/>
        </w:tc>
      </w:tr>
      <w:tr w:rsidR="004B729E" w:rsidRPr="007C3060" w14:paraId="55884EC0" w14:textId="77777777">
        <w:trPr>
          <w:trHeight w:val="380"/>
        </w:trPr>
        <w:tc>
          <w:tcPr>
            <w:tcW w:w="680" w:type="dxa"/>
            <w:tcBorders>
              <w:top w:val="nil"/>
              <w:left w:val="nil"/>
              <w:bottom w:val="nil"/>
              <w:right w:val="nil"/>
            </w:tcBorders>
            <w:tcMar>
              <w:top w:w="128" w:type="dxa"/>
              <w:left w:w="43" w:type="dxa"/>
              <w:bottom w:w="43" w:type="dxa"/>
              <w:right w:w="123" w:type="dxa"/>
            </w:tcMar>
          </w:tcPr>
          <w:p w14:paraId="59441A62" w14:textId="77777777" w:rsidR="000A2A2B" w:rsidRPr="007C3060" w:rsidRDefault="000A2A2B" w:rsidP="007C3060">
            <w:r w:rsidRPr="007C3060">
              <w:t>3100</w:t>
            </w:r>
          </w:p>
        </w:tc>
        <w:tc>
          <w:tcPr>
            <w:tcW w:w="680" w:type="dxa"/>
            <w:tcBorders>
              <w:top w:val="nil"/>
              <w:left w:val="nil"/>
              <w:bottom w:val="nil"/>
              <w:right w:val="nil"/>
            </w:tcBorders>
            <w:tcMar>
              <w:top w:w="128" w:type="dxa"/>
              <w:left w:w="43" w:type="dxa"/>
              <w:bottom w:w="43" w:type="dxa"/>
              <w:right w:w="123" w:type="dxa"/>
            </w:tcMar>
            <w:vAlign w:val="bottom"/>
          </w:tcPr>
          <w:p w14:paraId="24B50A6E"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05DD5DB" w14:textId="77777777" w:rsidR="000A2A2B" w:rsidRPr="007C3060" w:rsidRDefault="000A2A2B" w:rsidP="007C3060">
            <w:r w:rsidRPr="007C3060">
              <w:t>Utenriksdepartementet:</w:t>
            </w:r>
          </w:p>
        </w:tc>
        <w:tc>
          <w:tcPr>
            <w:tcW w:w="1580" w:type="dxa"/>
            <w:tcBorders>
              <w:top w:val="nil"/>
              <w:left w:val="nil"/>
              <w:bottom w:val="nil"/>
              <w:right w:val="nil"/>
            </w:tcBorders>
            <w:tcMar>
              <w:top w:w="128" w:type="dxa"/>
              <w:left w:w="43" w:type="dxa"/>
              <w:bottom w:w="43" w:type="dxa"/>
              <w:right w:w="43" w:type="dxa"/>
            </w:tcMar>
            <w:vAlign w:val="bottom"/>
          </w:tcPr>
          <w:p w14:paraId="3AE21FB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FE8155D" w14:textId="77777777" w:rsidR="000A2A2B" w:rsidRPr="007C3060" w:rsidRDefault="000A2A2B" w:rsidP="007C3060"/>
        </w:tc>
      </w:tr>
      <w:tr w:rsidR="004B729E" w:rsidRPr="007C3060" w14:paraId="1F1AF1F0" w14:textId="77777777">
        <w:trPr>
          <w:trHeight w:val="380"/>
        </w:trPr>
        <w:tc>
          <w:tcPr>
            <w:tcW w:w="680" w:type="dxa"/>
            <w:tcBorders>
              <w:top w:val="nil"/>
              <w:left w:val="nil"/>
              <w:bottom w:val="nil"/>
              <w:right w:val="nil"/>
            </w:tcBorders>
            <w:tcMar>
              <w:top w:w="128" w:type="dxa"/>
              <w:left w:w="43" w:type="dxa"/>
              <w:bottom w:w="43" w:type="dxa"/>
              <w:right w:w="123" w:type="dxa"/>
            </w:tcMar>
          </w:tcPr>
          <w:p w14:paraId="6941FDE7"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3B6852D" w14:textId="77777777" w:rsidR="000A2A2B" w:rsidRPr="007C3060" w:rsidRDefault="000A2A2B" w:rsidP="007C3060">
            <w:r w:rsidRPr="007C3060">
              <w:t>2</w:t>
            </w:r>
          </w:p>
        </w:tc>
        <w:tc>
          <w:tcPr>
            <w:tcW w:w="6620" w:type="dxa"/>
            <w:gridSpan w:val="2"/>
            <w:tcBorders>
              <w:top w:val="nil"/>
              <w:left w:val="nil"/>
              <w:bottom w:val="nil"/>
              <w:right w:val="nil"/>
            </w:tcBorders>
            <w:tcMar>
              <w:top w:w="128" w:type="dxa"/>
              <w:left w:w="43" w:type="dxa"/>
              <w:bottom w:w="43" w:type="dxa"/>
              <w:right w:w="43" w:type="dxa"/>
            </w:tcMar>
            <w:vAlign w:val="bottom"/>
          </w:tcPr>
          <w:p w14:paraId="2C1FC54C" w14:textId="6C4AD042" w:rsidR="000A2A2B" w:rsidRPr="007C3060" w:rsidRDefault="000A2A2B" w:rsidP="007C3060">
            <w:r w:rsidRPr="007C3060">
              <w:t>Gebyrer for utlendingssaker ved utenriksstasjonene,</w:t>
            </w:r>
            <w:r w:rsidR="00291F27">
              <w:t xml:space="preserve"> </w:t>
            </w:r>
            <w:r w:rsidRPr="007C3060">
              <w:t>forhøyes med</w:t>
            </w:r>
          </w:p>
        </w:tc>
        <w:tc>
          <w:tcPr>
            <w:tcW w:w="1580" w:type="dxa"/>
            <w:tcBorders>
              <w:top w:val="nil"/>
              <w:left w:val="nil"/>
              <w:bottom w:val="nil"/>
              <w:right w:val="nil"/>
            </w:tcBorders>
            <w:tcMar>
              <w:top w:w="128" w:type="dxa"/>
              <w:left w:w="43" w:type="dxa"/>
              <w:bottom w:w="43" w:type="dxa"/>
              <w:right w:w="43" w:type="dxa"/>
            </w:tcMar>
            <w:vAlign w:val="bottom"/>
          </w:tcPr>
          <w:p w14:paraId="59E0C60E" w14:textId="77777777" w:rsidR="000A2A2B" w:rsidRPr="007C3060" w:rsidRDefault="000A2A2B" w:rsidP="007C3060">
            <w:r w:rsidRPr="007C3060">
              <w:t>4 000 000</w:t>
            </w:r>
          </w:p>
        </w:tc>
      </w:tr>
      <w:tr w:rsidR="004B729E" w:rsidRPr="007C3060" w14:paraId="66BAF274" w14:textId="77777777">
        <w:trPr>
          <w:trHeight w:val="380"/>
        </w:trPr>
        <w:tc>
          <w:tcPr>
            <w:tcW w:w="680" w:type="dxa"/>
            <w:tcBorders>
              <w:top w:val="nil"/>
              <w:left w:val="nil"/>
              <w:bottom w:val="nil"/>
              <w:right w:val="nil"/>
            </w:tcBorders>
            <w:tcMar>
              <w:top w:w="128" w:type="dxa"/>
              <w:left w:w="43" w:type="dxa"/>
              <w:bottom w:w="43" w:type="dxa"/>
              <w:right w:w="123" w:type="dxa"/>
            </w:tcMar>
          </w:tcPr>
          <w:p w14:paraId="67C0386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4410523"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D6EE641" w14:textId="77777777" w:rsidR="000A2A2B" w:rsidRPr="007C3060" w:rsidRDefault="000A2A2B" w:rsidP="007C3060">
            <w:r w:rsidRPr="007C3060">
              <w:t>fra kr 274 000 000 til kr 278 000 000</w:t>
            </w:r>
          </w:p>
        </w:tc>
        <w:tc>
          <w:tcPr>
            <w:tcW w:w="1580" w:type="dxa"/>
            <w:tcBorders>
              <w:top w:val="nil"/>
              <w:left w:val="nil"/>
              <w:bottom w:val="nil"/>
              <w:right w:val="nil"/>
            </w:tcBorders>
            <w:tcMar>
              <w:top w:w="128" w:type="dxa"/>
              <w:left w:w="43" w:type="dxa"/>
              <w:bottom w:w="43" w:type="dxa"/>
              <w:right w:w="43" w:type="dxa"/>
            </w:tcMar>
            <w:vAlign w:val="bottom"/>
          </w:tcPr>
          <w:p w14:paraId="028443F4"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72F902E" w14:textId="77777777" w:rsidR="000A2A2B" w:rsidRPr="007C3060" w:rsidRDefault="000A2A2B" w:rsidP="007C3060"/>
        </w:tc>
      </w:tr>
      <w:tr w:rsidR="004B729E" w:rsidRPr="007C3060" w14:paraId="6D243DFB" w14:textId="77777777">
        <w:trPr>
          <w:trHeight w:val="380"/>
        </w:trPr>
        <w:tc>
          <w:tcPr>
            <w:tcW w:w="680" w:type="dxa"/>
            <w:tcBorders>
              <w:top w:val="nil"/>
              <w:left w:val="nil"/>
              <w:bottom w:val="nil"/>
              <w:right w:val="nil"/>
            </w:tcBorders>
            <w:tcMar>
              <w:top w:w="128" w:type="dxa"/>
              <w:left w:w="43" w:type="dxa"/>
              <w:bottom w:w="43" w:type="dxa"/>
              <w:right w:w="123" w:type="dxa"/>
            </w:tcMar>
          </w:tcPr>
          <w:p w14:paraId="2CF43065" w14:textId="77777777" w:rsidR="000A2A2B" w:rsidRPr="007C3060" w:rsidRDefault="000A2A2B" w:rsidP="007C3060">
            <w:r w:rsidRPr="007C3060">
              <w:t>(NY)</w:t>
            </w:r>
          </w:p>
        </w:tc>
        <w:tc>
          <w:tcPr>
            <w:tcW w:w="680" w:type="dxa"/>
            <w:tcBorders>
              <w:top w:val="nil"/>
              <w:left w:val="nil"/>
              <w:bottom w:val="nil"/>
              <w:right w:val="nil"/>
            </w:tcBorders>
            <w:tcMar>
              <w:top w:w="128" w:type="dxa"/>
              <w:left w:w="43" w:type="dxa"/>
              <w:bottom w:w="43" w:type="dxa"/>
              <w:right w:w="123" w:type="dxa"/>
            </w:tcMar>
            <w:vAlign w:val="bottom"/>
          </w:tcPr>
          <w:p w14:paraId="2EF16DE1" w14:textId="77777777" w:rsidR="000A2A2B" w:rsidRPr="007C3060" w:rsidRDefault="000A2A2B" w:rsidP="007C3060">
            <w:r w:rsidRPr="007C3060">
              <w:t>6</w:t>
            </w:r>
          </w:p>
        </w:tc>
        <w:tc>
          <w:tcPr>
            <w:tcW w:w="6620" w:type="dxa"/>
            <w:gridSpan w:val="2"/>
            <w:tcBorders>
              <w:top w:val="nil"/>
              <w:left w:val="nil"/>
              <w:bottom w:val="nil"/>
              <w:right w:val="nil"/>
            </w:tcBorders>
            <w:tcMar>
              <w:top w:w="128" w:type="dxa"/>
              <w:left w:w="43" w:type="dxa"/>
              <w:bottom w:w="43" w:type="dxa"/>
              <w:right w:w="43" w:type="dxa"/>
            </w:tcMar>
            <w:vAlign w:val="bottom"/>
          </w:tcPr>
          <w:p w14:paraId="7F112CBF" w14:textId="77777777" w:rsidR="000A2A2B" w:rsidRPr="007C3060" w:rsidRDefault="000A2A2B" w:rsidP="007C3060">
            <w:r w:rsidRPr="007C3060">
              <w:t>Tilbakebetaling ifm. avvikling av gjeldsbrevordningen, bevilges med</w:t>
            </w:r>
          </w:p>
        </w:tc>
        <w:tc>
          <w:tcPr>
            <w:tcW w:w="1580" w:type="dxa"/>
            <w:tcBorders>
              <w:top w:val="nil"/>
              <w:left w:val="nil"/>
              <w:bottom w:val="nil"/>
              <w:right w:val="nil"/>
            </w:tcBorders>
            <w:tcMar>
              <w:top w:w="128" w:type="dxa"/>
              <w:left w:w="43" w:type="dxa"/>
              <w:bottom w:w="43" w:type="dxa"/>
              <w:right w:w="43" w:type="dxa"/>
            </w:tcMar>
            <w:vAlign w:val="bottom"/>
          </w:tcPr>
          <w:p w14:paraId="50EE9DB0" w14:textId="77777777" w:rsidR="000A2A2B" w:rsidRPr="007C3060" w:rsidRDefault="000A2A2B" w:rsidP="007C3060">
            <w:r w:rsidRPr="007C3060">
              <w:t>230 000 000</w:t>
            </w:r>
          </w:p>
        </w:tc>
      </w:tr>
      <w:tr w:rsidR="004B729E" w:rsidRPr="007C3060" w14:paraId="34A0B650" w14:textId="77777777">
        <w:trPr>
          <w:trHeight w:val="380"/>
        </w:trPr>
        <w:tc>
          <w:tcPr>
            <w:tcW w:w="680" w:type="dxa"/>
            <w:tcBorders>
              <w:top w:val="nil"/>
              <w:left w:val="nil"/>
              <w:bottom w:val="nil"/>
              <w:right w:val="nil"/>
            </w:tcBorders>
            <w:tcMar>
              <w:top w:w="128" w:type="dxa"/>
              <w:left w:w="43" w:type="dxa"/>
              <w:bottom w:w="43" w:type="dxa"/>
              <w:right w:w="123" w:type="dxa"/>
            </w:tcMar>
          </w:tcPr>
          <w:p w14:paraId="226AA63E" w14:textId="77777777" w:rsidR="000A2A2B" w:rsidRPr="007C3060" w:rsidRDefault="000A2A2B" w:rsidP="007C3060">
            <w:r w:rsidRPr="007C3060">
              <w:t>3200</w:t>
            </w:r>
          </w:p>
        </w:tc>
        <w:tc>
          <w:tcPr>
            <w:tcW w:w="680" w:type="dxa"/>
            <w:tcBorders>
              <w:top w:val="nil"/>
              <w:left w:val="nil"/>
              <w:bottom w:val="nil"/>
              <w:right w:val="nil"/>
            </w:tcBorders>
            <w:tcMar>
              <w:top w:w="128" w:type="dxa"/>
              <w:left w:w="43" w:type="dxa"/>
              <w:bottom w:w="43" w:type="dxa"/>
              <w:right w:w="123" w:type="dxa"/>
            </w:tcMar>
            <w:vAlign w:val="bottom"/>
          </w:tcPr>
          <w:p w14:paraId="70786D44"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704B440" w14:textId="77777777" w:rsidR="000A2A2B" w:rsidRPr="007C3060" w:rsidRDefault="000A2A2B" w:rsidP="007C3060">
            <w:r w:rsidRPr="007C3060">
              <w:t>Kunnskapsdepartementet:</w:t>
            </w:r>
          </w:p>
        </w:tc>
        <w:tc>
          <w:tcPr>
            <w:tcW w:w="1580" w:type="dxa"/>
            <w:tcBorders>
              <w:top w:val="nil"/>
              <w:left w:val="nil"/>
              <w:bottom w:val="nil"/>
              <w:right w:val="nil"/>
            </w:tcBorders>
            <w:tcMar>
              <w:top w:w="128" w:type="dxa"/>
              <w:left w:w="43" w:type="dxa"/>
              <w:bottom w:w="43" w:type="dxa"/>
              <w:right w:w="43" w:type="dxa"/>
            </w:tcMar>
            <w:vAlign w:val="bottom"/>
          </w:tcPr>
          <w:p w14:paraId="6A83E07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047915E" w14:textId="77777777" w:rsidR="000A2A2B" w:rsidRPr="007C3060" w:rsidRDefault="000A2A2B" w:rsidP="007C3060"/>
        </w:tc>
      </w:tr>
      <w:tr w:rsidR="004B729E" w:rsidRPr="007C3060" w14:paraId="7BE98107" w14:textId="77777777">
        <w:trPr>
          <w:trHeight w:val="380"/>
        </w:trPr>
        <w:tc>
          <w:tcPr>
            <w:tcW w:w="680" w:type="dxa"/>
            <w:tcBorders>
              <w:top w:val="nil"/>
              <w:left w:val="nil"/>
              <w:bottom w:val="nil"/>
              <w:right w:val="nil"/>
            </w:tcBorders>
            <w:tcMar>
              <w:top w:w="128" w:type="dxa"/>
              <w:left w:w="43" w:type="dxa"/>
              <w:bottom w:w="43" w:type="dxa"/>
              <w:right w:w="123" w:type="dxa"/>
            </w:tcMar>
          </w:tcPr>
          <w:p w14:paraId="147EFBD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691678F" w14:textId="77777777" w:rsidR="000A2A2B" w:rsidRPr="007C3060" w:rsidRDefault="000A2A2B" w:rsidP="007C3060">
            <w:r w:rsidRPr="007C3060">
              <w:t>3</w:t>
            </w:r>
          </w:p>
        </w:tc>
        <w:tc>
          <w:tcPr>
            <w:tcW w:w="5040" w:type="dxa"/>
            <w:tcBorders>
              <w:top w:val="nil"/>
              <w:left w:val="nil"/>
              <w:bottom w:val="nil"/>
              <w:right w:val="nil"/>
            </w:tcBorders>
            <w:tcMar>
              <w:top w:w="128" w:type="dxa"/>
              <w:left w:w="43" w:type="dxa"/>
              <w:bottom w:w="43" w:type="dxa"/>
              <w:right w:w="43" w:type="dxa"/>
            </w:tcMar>
            <w:vAlign w:val="bottom"/>
          </w:tcPr>
          <w:p w14:paraId="733ED913" w14:textId="77777777" w:rsidR="000A2A2B" w:rsidRPr="007C3060" w:rsidRDefault="000A2A2B" w:rsidP="007C3060">
            <w:r w:rsidRPr="007C3060">
              <w:t>Inntekter fra fremleie, forhøyes med</w:t>
            </w:r>
          </w:p>
        </w:tc>
        <w:tc>
          <w:tcPr>
            <w:tcW w:w="1580" w:type="dxa"/>
            <w:tcBorders>
              <w:top w:val="nil"/>
              <w:left w:val="nil"/>
              <w:bottom w:val="nil"/>
              <w:right w:val="nil"/>
            </w:tcBorders>
            <w:tcMar>
              <w:top w:w="128" w:type="dxa"/>
              <w:left w:w="43" w:type="dxa"/>
              <w:bottom w:w="43" w:type="dxa"/>
              <w:right w:w="43" w:type="dxa"/>
            </w:tcMar>
            <w:vAlign w:val="bottom"/>
          </w:tcPr>
          <w:p w14:paraId="4D1A9EF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1516DAF" w14:textId="77777777" w:rsidR="000A2A2B" w:rsidRPr="007C3060" w:rsidRDefault="000A2A2B" w:rsidP="007C3060">
            <w:r w:rsidRPr="007C3060">
              <w:t>500 000</w:t>
            </w:r>
          </w:p>
        </w:tc>
      </w:tr>
      <w:tr w:rsidR="004B729E" w:rsidRPr="007C3060" w14:paraId="300EF044" w14:textId="77777777">
        <w:trPr>
          <w:trHeight w:val="380"/>
        </w:trPr>
        <w:tc>
          <w:tcPr>
            <w:tcW w:w="680" w:type="dxa"/>
            <w:tcBorders>
              <w:top w:val="nil"/>
              <w:left w:val="nil"/>
              <w:bottom w:val="nil"/>
              <w:right w:val="nil"/>
            </w:tcBorders>
            <w:tcMar>
              <w:top w:w="128" w:type="dxa"/>
              <w:left w:w="43" w:type="dxa"/>
              <w:bottom w:w="43" w:type="dxa"/>
              <w:right w:w="123" w:type="dxa"/>
            </w:tcMar>
          </w:tcPr>
          <w:p w14:paraId="4807DB0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06BAF7B"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E37E423" w14:textId="77777777" w:rsidR="000A2A2B" w:rsidRPr="007C3060" w:rsidRDefault="000A2A2B" w:rsidP="007C3060">
            <w:r w:rsidRPr="007C3060">
              <w:t>fra kr 4 500 000 til kr 5 000 000</w:t>
            </w:r>
          </w:p>
        </w:tc>
        <w:tc>
          <w:tcPr>
            <w:tcW w:w="1580" w:type="dxa"/>
            <w:tcBorders>
              <w:top w:val="nil"/>
              <w:left w:val="nil"/>
              <w:bottom w:val="nil"/>
              <w:right w:val="nil"/>
            </w:tcBorders>
            <w:tcMar>
              <w:top w:w="128" w:type="dxa"/>
              <w:left w:w="43" w:type="dxa"/>
              <w:bottom w:w="43" w:type="dxa"/>
              <w:right w:w="43" w:type="dxa"/>
            </w:tcMar>
            <w:vAlign w:val="bottom"/>
          </w:tcPr>
          <w:p w14:paraId="713806A0"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D632855" w14:textId="77777777" w:rsidR="000A2A2B" w:rsidRPr="007C3060" w:rsidRDefault="000A2A2B" w:rsidP="007C3060"/>
        </w:tc>
      </w:tr>
      <w:tr w:rsidR="004B729E" w:rsidRPr="007C3060" w14:paraId="25992874" w14:textId="77777777">
        <w:trPr>
          <w:trHeight w:val="380"/>
        </w:trPr>
        <w:tc>
          <w:tcPr>
            <w:tcW w:w="680" w:type="dxa"/>
            <w:tcBorders>
              <w:top w:val="nil"/>
              <w:left w:val="nil"/>
              <w:bottom w:val="nil"/>
              <w:right w:val="nil"/>
            </w:tcBorders>
            <w:tcMar>
              <w:top w:w="128" w:type="dxa"/>
              <w:left w:w="43" w:type="dxa"/>
              <w:bottom w:w="43" w:type="dxa"/>
              <w:right w:w="123" w:type="dxa"/>
            </w:tcMar>
          </w:tcPr>
          <w:p w14:paraId="48241AB3" w14:textId="77777777" w:rsidR="000A2A2B" w:rsidRPr="007C3060" w:rsidRDefault="000A2A2B" w:rsidP="007C3060">
            <w:r w:rsidRPr="007C3060">
              <w:lastRenderedPageBreak/>
              <w:t>3225</w:t>
            </w:r>
          </w:p>
        </w:tc>
        <w:tc>
          <w:tcPr>
            <w:tcW w:w="680" w:type="dxa"/>
            <w:tcBorders>
              <w:top w:val="nil"/>
              <w:left w:val="nil"/>
              <w:bottom w:val="nil"/>
              <w:right w:val="nil"/>
            </w:tcBorders>
            <w:tcMar>
              <w:top w:w="128" w:type="dxa"/>
              <w:left w:w="43" w:type="dxa"/>
              <w:bottom w:w="43" w:type="dxa"/>
              <w:right w:w="123" w:type="dxa"/>
            </w:tcMar>
            <w:vAlign w:val="bottom"/>
          </w:tcPr>
          <w:p w14:paraId="2C210F22"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B4E577B" w14:textId="77777777" w:rsidR="000A2A2B" w:rsidRPr="007C3060" w:rsidRDefault="000A2A2B" w:rsidP="007C3060">
            <w:r w:rsidRPr="007C3060">
              <w:t>Tiltak i grunnopplæringen:</w:t>
            </w:r>
          </w:p>
        </w:tc>
        <w:tc>
          <w:tcPr>
            <w:tcW w:w="1580" w:type="dxa"/>
            <w:tcBorders>
              <w:top w:val="nil"/>
              <w:left w:val="nil"/>
              <w:bottom w:val="nil"/>
              <w:right w:val="nil"/>
            </w:tcBorders>
            <w:tcMar>
              <w:top w:w="128" w:type="dxa"/>
              <w:left w:w="43" w:type="dxa"/>
              <w:bottom w:w="43" w:type="dxa"/>
              <w:right w:w="43" w:type="dxa"/>
            </w:tcMar>
            <w:vAlign w:val="bottom"/>
          </w:tcPr>
          <w:p w14:paraId="577ED22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7507B5B" w14:textId="77777777" w:rsidR="000A2A2B" w:rsidRPr="007C3060" w:rsidRDefault="000A2A2B" w:rsidP="007C3060"/>
        </w:tc>
      </w:tr>
      <w:tr w:rsidR="004B729E" w:rsidRPr="007C3060" w14:paraId="4782FACE" w14:textId="77777777">
        <w:trPr>
          <w:trHeight w:val="380"/>
        </w:trPr>
        <w:tc>
          <w:tcPr>
            <w:tcW w:w="680" w:type="dxa"/>
            <w:tcBorders>
              <w:top w:val="nil"/>
              <w:left w:val="nil"/>
              <w:bottom w:val="nil"/>
              <w:right w:val="nil"/>
            </w:tcBorders>
            <w:tcMar>
              <w:top w:w="128" w:type="dxa"/>
              <w:left w:w="43" w:type="dxa"/>
              <w:bottom w:w="43" w:type="dxa"/>
              <w:right w:w="123" w:type="dxa"/>
            </w:tcMar>
          </w:tcPr>
          <w:p w14:paraId="7FB1AE2C"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E73CB7D" w14:textId="77777777" w:rsidR="000A2A2B" w:rsidRPr="007C3060" w:rsidRDefault="000A2A2B" w:rsidP="007C3060">
            <w:r w:rsidRPr="007C3060">
              <w:t>4</w:t>
            </w:r>
          </w:p>
        </w:tc>
        <w:tc>
          <w:tcPr>
            <w:tcW w:w="5040" w:type="dxa"/>
            <w:tcBorders>
              <w:top w:val="nil"/>
              <w:left w:val="nil"/>
              <w:bottom w:val="nil"/>
              <w:right w:val="nil"/>
            </w:tcBorders>
            <w:tcMar>
              <w:top w:w="128" w:type="dxa"/>
              <w:left w:w="43" w:type="dxa"/>
              <w:bottom w:w="43" w:type="dxa"/>
              <w:right w:w="43" w:type="dxa"/>
            </w:tcMar>
            <w:vAlign w:val="bottom"/>
          </w:tcPr>
          <w:p w14:paraId="1B525DD8" w14:textId="77777777" w:rsidR="000A2A2B" w:rsidRPr="007C3060" w:rsidRDefault="000A2A2B" w:rsidP="007C3060">
            <w:r w:rsidRPr="007C3060">
              <w:t>Refusjon av ODA-godkjente utgifter, nedsettes med</w:t>
            </w:r>
          </w:p>
        </w:tc>
        <w:tc>
          <w:tcPr>
            <w:tcW w:w="1580" w:type="dxa"/>
            <w:tcBorders>
              <w:top w:val="nil"/>
              <w:left w:val="nil"/>
              <w:bottom w:val="nil"/>
              <w:right w:val="nil"/>
            </w:tcBorders>
            <w:tcMar>
              <w:top w:w="128" w:type="dxa"/>
              <w:left w:w="43" w:type="dxa"/>
              <w:bottom w:w="43" w:type="dxa"/>
              <w:right w:w="43" w:type="dxa"/>
            </w:tcMar>
            <w:vAlign w:val="bottom"/>
          </w:tcPr>
          <w:p w14:paraId="41E6DC5E"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0A0E521" w14:textId="77777777" w:rsidR="000A2A2B" w:rsidRPr="007C3060" w:rsidRDefault="000A2A2B" w:rsidP="007C3060">
            <w:r w:rsidRPr="007C3060">
              <w:t>85 128 000</w:t>
            </w:r>
          </w:p>
        </w:tc>
      </w:tr>
      <w:tr w:rsidR="004B729E" w:rsidRPr="007C3060" w14:paraId="63FDB4C7" w14:textId="77777777">
        <w:trPr>
          <w:trHeight w:val="380"/>
        </w:trPr>
        <w:tc>
          <w:tcPr>
            <w:tcW w:w="680" w:type="dxa"/>
            <w:tcBorders>
              <w:top w:val="nil"/>
              <w:left w:val="nil"/>
              <w:bottom w:val="nil"/>
              <w:right w:val="nil"/>
            </w:tcBorders>
            <w:tcMar>
              <w:top w:w="128" w:type="dxa"/>
              <w:left w:w="43" w:type="dxa"/>
              <w:bottom w:w="43" w:type="dxa"/>
              <w:right w:w="123" w:type="dxa"/>
            </w:tcMar>
          </w:tcPr>
          <w:p w14:paraId="06DC862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5146847"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AF15645" w14:textId="77777777" w:rsidR="000A2A2B" w:rsidRPr="007C3060" w:rsidRDefault="000A2A2B" w:rsidP="007C3060">
            <w:r w:rsidRPr="007C3060">
              <w:t>fra kr 293 709 000 til kr 208 581 000</w:t>
            </w:r>
          </w:p>
        </w:tc>
        <w:tc>
          <w:tcPr>
            <w:tcW w:w="1580" w:type="dxa"/>
            <w:tcBorders>
              <w:top w:val="nil"/>
              <w:left w:val="nil"/>
              <w:bottom w:val="nil"/>
              <w:right w:val="nil"/>
            </w:tcBorders>
            <w:tcMar>
              <w:top w:w="128" w:type="dxa"/>
              <w:left w:w="43" w:type="dxa"/>
              <w:bottom w:w="43" w:type="dxa"/>
              <w:right w:w="43" w:type="dxa"/>
            </w:tcMar>
            <w:vAlign w:val="bottom"/>
          </w:tcPr>
          <w:p w14:paraId="67874CD0"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C9AA6CC" w14:textId="77777777" w:rsidR="000A2A2B" w:rsidRPr="007C3060" w:rsidRDefault="000A2A2B" w:rsidP="007C3060"/>
        </w:tc>
      </w:tr>
      <w:tr w:rsidR="004B729E" w:rsidRPr="007C3060" w14:paraId="179D4036" w14:textId="77777777">
        <w:trPr>
          <w:trHeight w:val="380"/>
        </w:trPr>
        <w:tc>
          <w:tcPr>
            <w:tcW w:w="680" w:type="dxa"/>
            <w:tcBorders>
              <w:top w:val="nil"/>
              <w:left w:val="nil"/>
              <w:bottom w:val="nil"/>
              <w:right w:val="nil"/>
            </w:tcBorders>
            <w:tcMar>
              <w:top w:w="128" w:type="dxa"/>
              <w:left w:w="43" w:type="dxa"/>
              <w:bottom w:w="43" w:type="dxa"/>
              <w:right w:w="123" w:type="dxa"/>
            </w:tcMar>
          </w:tcPr>
          <w:p w14:paraId="170D19E0" w14:textId="77777777" w:rsidR="000A2A2B" w:rsidRPr="007C3060" w:rsidRDefault="000A2A2B" w:rsidP="007C3060">
            <w:r w:rsidRPr="007C3060">
              <w:t>3230</w:t>
            </w:r>
          </w:p>
        </w:tc>
        <w:tc>
          <w:tcPr>
            <w:tcW w:w="680" w:type="dxa"/>
            <w:tcBorders>
              <w:top w:val="nil"/>
              <w:left w:val="nil"/>
              <w:bottom w:val="nil"/>
              <w:right w:val="nil"/>
            </w:tcBorders>
            <w:tcMar>
              <w:top w:w="128" w:type="dxa"/>
              <w:left w:w="43" w:type="dxa"/>
              <w:bottom w:w="43" w:type="dxa"/>
              <w:right w:w="123" w:type="dxa"/>
            </w:tcMar>
            <w:vAlign w:val="bottom"/>
          </w:tcPr>
          <w:p w14:paraId="6CA66935"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71F175B" w14:textId="77777777" w:rsidR="000A2A2B" w:rsidRPr="007C3060" w:rsidRDefault="000A2A2B" w:rsidP="007C3060">
            <w:r w:rsidRPr="007C3060">
              <w:t>Statlig spesialpedagogisk tjeneste:</w:t>
            </w:r>
          </w:p>
        </w:tc>
        <w:tc>
          <w:tcPr>
            <w:tcW w:w="1580" w:type="dxa"/>
            <w:tcBorders>
              <w:top w:val="nil"/>
              <w:left w:val="nil"/>
              <w:bottom w:val="nil"/>
              <w:right w:val="nil"/>
            </w:tcBorders>
            <w:tcMar>
              <w:top w:w="128" w:type="dxa"/>
              <w:left w:w="43" w:type="dxa"/>
              <w:bottom w:w="43" w:type="dxa"/>
              <w:right w:w="43" w:type="dxa"/>
            </w:tcMar>
            <w:vAlign w:val="bottom"/>
          </w:tcPr>
          <w:p w14:paraId="0ECFD6B4"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66C664B" w14:textId="77777777" w:rsidR="000A2A2B" w:rsidRPr="007C3060" w:rsidRDefault="000A2A2B" w:rsidP="007C3060"/>
        </w:tc>
      </w:tr>
      <w:tr w:rsidR="004B729E" w:rsidRPr="007C3060" w14:paraId="5CA01316" w14:textId="77777777">
        <w:trPr>
          <w:trHeight w:val="380"/>
        </w:trPr>
        <w:tc>
          <w:tcPr>
            <w:tcW w:w="680" w:type="dxa"/>
            <w:tcBorders>
              <w:top w:val="nil"/>
              <w:left w:val="nil"/>
              <w:bottom w:val="nil"/>
              <w:right w:val="nil"/>
            </w:tcBorders>
            <w:tcMar>
              <w:top w:w="128" w:type="dxa"/>
              <w:left w:w="43" w:type="dxa"/>
              <w:bottom w:w="43" w:type="dxa"/>
              <w:right w:w="123" w:type="dxa"/>
            </w:tcMar>
          </w:tcPr>
          <w:p w14:paraId="06B51FDA"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D93A591" w14:textId="77777777" w:rsidR="000A2A2B" w:rsidRPr="007C3060" w:rsidRDefault="000A2A2B" w:rsidP="007C3060">
            <w:r w:rsidRPr="007C3060">
              <w:t>2</w:t>
            </w:r>
          </w:p>
        </w:tc>
        <w:tc>
          <w:tcPr>
            <w:tcW w:w="5040" w:type="dxa"/>
            <w:tcBorders>
              <w:top w:val="nil"/>
              <w:left w:val="nil"/>
              <w:bottom w:val="nil"/>
              <w:right w:val="nil"/>
            </w:tcBorders>
            <w:tcMar>
              <w:top w:w="128" w:type="dxa"/>
              <w:left w:w="43" w:type="dxa"/>
              <w:bottom w:w="43" w:type="dxa"/>
              <w:right w:w="43" w:type="dxa"/>
            </w:tcMar>
            <w:vAlign w:val="bottom"/>
          </w:tcPr>
          <w:p w14:paraId="54438E6E" w14:textId="77777777" w:rsidR="000A2A2B" w:rsidRPr="007C3060" w:rsidRDefault="000A2A2B" w:rsidP="007C3060">
            <w:r w:rsidRPr="007C3060">
              <w:t>Salgsinntekter mv., nedsettes med</w:t>
            </w:r>
          </w:p>
        </w:tc>
        <w:tc>
          <w:tcPr>
            <w:tcW w:w="1580" w:type="dxa"/>
            <w:tcBorders>
              <w:top w:val="nil"/>
              <w:left w:val="nil"/>
              <w:bottom w:val="nil"/>
              <w:right w:val="nil"/>
            </w:tcBorders>
            <w:tcMar>
              <w:top w:w="128" w:type="dxa"/>
              <w:left w:w="43" w:type="dxa"/>
              <w:bottom w:w="43" w:type="dxa"/>
              <w:right w:w="43" w:type="dxa"/>
            </w:tcMar>
            <w:vAlign w:val="bottom"/>
          </w:tcPr>
          <w:p w14:paraId="3EBBFB6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CA7CE3F" w14:textId="77777777" w:rsidR="000A2A2B" w:rsidRPr="007C3060" w:rsidRDefault="000A2A2B" w:rsidP="007C3060">
            <w:r w:rsidRPr="007C3060">
              <w:t>4 400 000</w:t>
            </w:r>
          </w:p>
        </w:tc>
      </w:tr>
      <w:tr w:rsidR="004B729E" w:rsidRPr="007C3060" w14:paraId="667B9214" w14:textId="77777777">
        <w:trPr>
          <w:trHeight w:val="380"/>
        </w:trPr>
        <w:tc>
          <w:tcPr>
            <w:tcW w:w="680" w:type="dxa"/>
            <w:tcBorders>
              <w:top w:val="nil"/>
              <w:left w:val="nil"/>
              <w:bottom w:val="nil"/>
              <w:right w:val="nil"/>
            </w:tcBorders>
            <w:tcMar>
              <w:top w:w="128" w:type="dxa"/>
              <w:left w:w="43" w:type="dxa"/>
              <w:bottom w:w="43" w:type="dxa"/>
              <w:right w:w="123" w:type="dxa"/>
            </w:tcMar>
          </w:tcPr>
          <w:p w14:paraId="040928C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E6E48CF"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7EC2A55" w14:textId="77777777" w:rsidR="000A2A2B" w:rsidRPr="007C3060" w:rsidRDefault="000A2A2B" w:rsidP="007C3060">
            <w:r w:rsidRPr="007C3060">
              <w:t>fra kr 8 035 000 til kr 3 635 000</w:t>
            </w:r>
          </w:p>
        </w:tc>
        <w:tc>
          <w:tcPr>
            <w:tcW w:w="1580" w:type="dxa"/>
            <w:tcBorders>
              <w:top w:val="nil"/>
              <w:left w:val="nil"/>
              <w:bottom w:val="nil"/>
              <w:right w:val="nil"/>
            </w:tcBorders>
            <w:tcMar>
              <w:top w:w="128" w:type="dxa"/>
              <w:left w:w="43" w:type="dxa"/>
              <w:bottom w:w="43" w:type="dxa"/>
              <w:right w:w="43" w:type="dxa"/>
            </w:tcMar>
            <w:vAlign w:val="bottom"/>
          </w:tcPr>
          <w:p w14:paraId="5A20BF8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56107F8" w14:textId="77777777" w:rsidR="000A2A2B" w:rsidRPr="007C3060" w:rsidRDefault="000A2A2B" w:rsidP="007C3060"/>
        </w:tc>
      </w:tr>
      <w:tr w:rsidR="004B729E" w:rsidRPr="007C3060" w14:paraId="562867B9" w14:textId="77777777">
        <w:trPr>
          <w:trHeight w:val="380"/>
        </w:trPr>
        <w:tc>
          <w:tcPr>
            <w:tcW w:w="680" w:type="dxa"/>
            <w:tcBorders>
              <w:top w:val="nil"/>
              <w:left w:val="nil"/>
              <w:bottom w:val="nil"/>
              <w:right w:val="nil"/>
            </w:tcBorders>
            <w:tcMar>
              <w:top w:w="128" w:type="dxa"/>
              <w:left w:w="43" w:type="dxa"/>
              <w:bottom w:w="43" w:type="dxa"/>
              <w:right w:w="123" w:type="dxa"/>
            </w:tcMar>
          </w:tcPr>
          <w:p w14:paraId="2D9FF311" w14:textId="77777777" w:rsidR="000A2A2B" w:rsidRPr="007C3060" w:rsidRDefault="000A2A2B" w:rsidP="007C3060">
            <w:r w:rsidRPr="007C3060">
              <w:t>3288</w:t>
            </w:r>
          </w:p>
        </w:tc>
        <w:tc>
          <w:tcPr>
            <w:tcW w:w="680" w:type="dxa"/>
            <w:tcBorders>
              <w:top w:val="nil"/>
              <w:left w:val="nil"/>
              <w:bottom w:val="nil"/>
              <w:right w:val="nil"/>
            </w:tcBorders>
            <w:tcMar>
              <w:top w:w="128" w:type="dxa"/>
              <w:left w:w="43" w:type="dxa"/>
              <w:bottom w:w="43" w:type="dxa"/>
              <w:right w:w="123" w:type="dxa"/>
            </w:tcMar>
            <w:vAlign w:val="bottom"/>
          </w:tcPr>
          <w:p w14:paraId="6C3C98EF"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BC3E6C8" w14:textId="77777777" w:rsidR="000A2A2B" w:rsidRPr="007C3060" w:rsidRDefault="000A2A2B" w:rsidP="007C3060">
            <w:r w:rsidRPr="007C3060">
              <w:t>Internasjonale samarbeidstiltak:</w:t>
            </w:r>
          </w:p>
        </w:tc>
        <w:tc>
          <w:tcPr>
            <w:tcW w:w="1580" w:type="dxa"/>
            <w:tcBorders>
              <w:top w:val="nil"/>
              <w:left w:val="nil"/>
              <w:bottom w:val="nil"/>
              <w:right w:val="nil"/>
            </w:tcBorders>
            <w:tcMar>
              <w:top w:w="128" w:type="dxa"/>
              <w:left w:w="43" w:type="dxa"/>
              <w:bottom w:w="43" w:type="dxa"/>
              <w:right w:w="43" w:type="dxa"/>
            </w:tcMar>
            <w:vAlign w:val="bottom"/>
          </w:tcPr>
          <w:p w14:paraId="55797E77"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0F58628" w14:textId="77777777" w:rsidR="000A2A2B" w:rsidRPr="007C3060" w:rsidRDefault="000A2A2B" w:rsidP="007C3060"/>
        </w:tc>
      </w:tr>
      <w:tr w:rsidR="004B729E" w:rsidRPr="007C3060" w14:paraId="62295859" w14:textId="77777777">
        <w:trPr>
          <w:trHeight w:val="380"/>
        </w:trPr>
        <w:tc>
          <w:tcPr>
            <w:tcW w:w="680" w:type="dxa"/>
            <w:tcBorders>
              <w:top w:val="nil"/>
              <w:left w:val="nil"/>
              <w:bottom w:val="nil"/>
              <w:right w:val="nil"/>
            </w:tcBorders>
            <w:tcMar>
              <w:top w:w="128" w:type="dxa"/>
              <w:left w:w="43" w:type="dxa"/>
              <w:bottom w:w="43" w:type="dxa"/>
              <w:right w:w="123" w:type="dxa"/>
            </w:tcMar>
          </w:tcPr>
          <w:p w14:paraId="6720111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43C032E" w14:textId="77777777" w:rsidR="000A2A2B" w:rsidRPr="007C3060" w:rsidRDefault="000A2A2B" w:rsidP="007C3060">
            <w:r w:rsidRPr="007C3060">
              <w:t>4</w:t>
            </w:r>
          </w:p>
        </w:tc>
        <w:tc>
          <w:tcPr>
            <w:tcW w:w="5040" w:type="dxa"/>
            <w:tcBorders>
              <w:top w:val="nil"/>
              <w:left w:val="nil"/>
              <w:bottom w:val="nil"/>
              <w:right w:val="nil"/>
            </w:tcBorders>
            <w:tcMar>
              <w:top w:w="128" w:type="dxa"/>
              <w:left w:w="43" w:type="dxa"/>
              <w:bottom w:w="43" w:type="dxa"/>
              <w:right w:w="43" w:type="dxa"/>
            </w:tcMar>
            <w:vAlign w:val="bottom"/>
          </w:tcPr>
          <w:p w14:paraId="1D52F087" w14:textId="77777777" w:rsidR="000A2A2B" w:rsidRPr="007C3060" w:rsidRDefault="000A2A2B" w:rsidP="007C3060">
            <w:r w:rsidRPr="007C3060">
              <w:t>Refusjon av ODA-godkjente utgifter, forhøyes med</w:t>
            </w:r>
          </w:p>
        </w:tc>
        <w:tc>
          <w:tcPr>
            <w:tcW w:w="1580" w:type="dxa"/>
            <w:tcBorders>
              <w:top w:val="nil"/>
              <w:left w:val="nil"/>
              <w:bottom w:val="nil"/>
              <w:right w:val="nil"/>
            </w:tcBorders>
            <w:tcMar>
              <w:top w:w="128" w:type="dxa"/>
              <w:left w:w="43" w:type="dxa"/>
              <w:bottom w:w="43" w:type="dxa"/>
              <w:right w:w="43" w:type="dxa"/>
            </w:tcMar>
            <w:vAlign w:val="bottom"/>
          </w:tcPr>
          <w:p w14:paraId="11E22557"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BBF3A39" w14:textId="77777777" w:rsidR="000A2A2B" w:rsidRPr="007C3060" w:rsidRDefault="000A2A2B" w:rsidP="007C3060">
            <w:r w:rsidRPr="007C3060">
              <w:t>388 000</w:t>
            </w:r>
          </w:p>
        </w:tc>
      </w:tr>
      <w:tr w:rsidR="004B729E" w:rsidRPr="007C3060" w14:paraId="5742DDAC" w14:textId="77777777">
        <w:trPr>
          <w:trHeight w:val="380"/>
        </w:trPr>
        <w:tc>
          <w:tcPr>
            <w:tcW w:w="680" w:type="dxa"/>
            <w:tcBorders>
              <w:top w:val="nil"/>
              <w:left w:val="nil"/>
              <w:bottom w:val="nil"/>
              <w:right w:val="nil"/>
            </w:tcBorders>
            <w:tcMar>
              <w:top w:w="128" w:type="dxa"/>
              <w:left w:w="43" w:type="dxa"/>
              <w:bottom w:w="43" w:type="dxa"/>
              <w:right w:w="123" w:type="dxa"/>
            </w:tcMar>
          </w:tcPr>
          <w:p w14:paraId="672F3EA6"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A834ADC"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39DBAA9F" w14:textId="77777777" w:rsidR="000A2A2B" w:rsidRPr="007C3060" w:rsidRDefault="000A2A2B" w:rsidP="007C3060">
            <w:r w:rsidRPr="007C3060">
              <w:t>fra kr 19 025 000 til kr 19 413 000</w:t>
            </w:r>
          </w:p>
        </w:tc>
        <w:tc>
          <w:tcPr>
            <w:tcW w:w="1580" w:type="dxa"/>
            <w:tcBorders>
              <w:top w:val="nil"/>
              <w:left w:val="nil"/>
              <w:bottom w:val="nil"/>
              <w:right w:val="nil"/>
            </w:tcBorders>
            <w:tcMar>
              <w:top w:w="128" w:type="dxa"/>
              <w:left w:w="43" w:type="dxa"/>
              <w:bottom w:w="43" w:type="dxa"/>
              <w:right w:w="43" w:type="dxa"/>
            </w:tcMar>
            <w:vAlign w:val="bottom"/>
          </w:tcPr>
          <w:p w14:paraId="3B2D614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6FA3151" w14:textId="77777777" w:rsidR="000A2A2B" w:rsidRPr="007C3060" w:rsidRDefault="000A2A2B" w:rsidP="007C3060"/>
        </w:tc>
      </w:tr>
      <w:tr w:rsidR="004B729E" w:rsidRPr="007C3060" w14:paraId="2F4BBAA7" w14:textId="77777777">
        <w:trPr>
          <w:trHeight w:val="380"/>
        </w:trPr>
        <w:tc>
          <w:tcPr>
            <w:tcW w:w="680" w:type="dxa"/>
            <w:tcBorders>
              <w:top w:val="nil"/>
              <w:left w:val="nil"/>
              <w:bottom w:val="nil"/>
              <w:right w:val="nil"/>
            </w:tcBorders>
            <w:tcMar>
              <w:top w:w="128" w:type="dxa"/>
              <w:left w:w="43" w:type="dxa"/>
              <w:bottom w:w="43" w:type="dxa"/>
              <w:right w:w="123" w:type="dxa"/>
            </w:tcMar>
          </w:tcPr>
          <w:p w14:paraId="3B3EE2E1" w14:textId="77777777" w:rsidR="000A2A2B" w:rsidRPr="007C3060" w:rsidRDefault="000A2A2B" w:rsidP="007C3060">
            <w:r w:rsidRPr="007C3060">
              <w:t>3400</w:t>
            </w:r>
          </w:p>
        </w:tc>
        <w:tc>
          <w:tcPr>
            <w:tcW w:w="680" w:type="dxa"/>
            <w:tcBorders>
              <w:top w:val="nil"/>
              <w:left w:val="nil"/>
              <w:bottom w:val="nil"/>
              <w:right w:val="nil"/>
            </w:tcBorders>
            <w:tcMar>
              <w:top w:w="128" w:type="dxa"/>
              <w:left w:w="43" w:type="dxa"/>
              <w:bottom w:w="43" w:type="dxa"/>
              <w:right w:w="123" w:type="dxa"/>
            </w:tcMar>
            <w:vAlign w:val="bottom"/>
          </w:tcPr>
          <w:p w14:paraId="7692B1F1"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4C17371" w14:textId="77777777" w:rsidR="000A2A2B" w:rsidRPr="007C3060" w:rsidRDefault="000A2A2B" w:rsidP="007C3060">
            <w:r w:rsidRPr="007C3060">
              <w:t>Justis- og beredskapsdepartementet:</w:t>
            </w:r>
          </w:p>
        </w:tc>
        <w:tc>
          <w:tcPr>
            <w:tcW w:w="1580" w:type="dxa"/>
            <w:tcBorders>
              <w:top w:val="nil"/>
              <w:left w:val="nil"/>
              <w:bottom w:val="nil"/>
              <w:right w:val="nil"/>
            </w:tcBorders>
            <w:tcMar>
              <w:top w:w="128" w:type="dxa"/>
              <w:left w:w="43" w:type="dxa"/>
              <w:bottom w:w="43" w:type="dxa"/>
              <w:right w:w="43" w:type="dxa"/>
            </w:tcMar>
            <w:vAlign w:val="bottom"/>
          </w:tcPr>
          <w:p w14:paraId="3C76B0DC"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06BB6AC" w14:textId="77777777" w:rsidR="000A2A2B" w:rsidRPr="007C3060" w:rsidRDefault="000A2A2B" w:rsidP="007C3060"/>
        </w:tc>
      </w:tr>
      <w:tr w:rsidR="004B729E" w:rsidRPr="007C3060" w14:paraId="4B0246C8" w14:textId="77777777">
        <w:trPr>
          <w:trHeight w:val="380"/>
        </w:trPr>
        <w:tc>
          <w:tcPr>
            <w:tcW w:w="680" w:type="dxa"/>
            <w:tcBorders>
              <w:top w:val="nil"/>
              <w:left w:val="nil"/>
              <w:bottom w:val="nil"/>
              <w:right w:val="nil"/>
            </w:tcBorders>
            <w:tcMar>
              <w:top w:w="128" w:type="dxa"/>
              <w:left w:w="43" w:type="dxa"/>
              <w:bottom w:w="43" w:type="dxa"/>
              <w:right w:w="123" w:type="dxa"/>
            </w:tcMar>
          </w:tcPr>
          <w:p w14:paraId="07446E2A"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742FE66"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1026714A" w14:textId="77777777" w:rsidR="000A2A2B" w:rsidRPr="007C3060" w:rsidRDefault="000A2A2B" w:rsidP="007C3060">
            <w:r w:rsidRPr="007C3060">
              <w:t>Diverse inntekter, nedsettes med</w:t>
            </w:r>
          </w:p>
        </w:tc>
        <w:tc>
          <w:tcPr>
            <w:tcW w:w="1580" w:type="dxa"/>
            <w:tcBorders>
              <w:top w:val="nil"/>
              <w:left w:val="nil"/>
              <w:bottom w:val="nil"/>
              <w:right w:val="nil"/>
            </w:tcBorders>
            <w:tcMar>
              <w:top w:w="128" w:type="dxa"/>
              <w:left w:w="43" w:type="dxa"/>
              <w:bottom w:w="43" w:type="dxa"/>
              <w:right w:w="43" w:type="dxa"/>
            </w:tcMar>
            <w:vAlign w:val="bottom"/>
          </w:tcPr>
          <w:p w14:paraId="2DD4DC6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A174D6D" w14:textId="77777777" w:rsidR="000A2A2B" w:rsidRPr="007C3060" w:rsidRDefault="000A2A2B" w:rsidP="007C3060">
            <w:r w:rsidRPr="007C3060">
              <w:t>1 582 000</w:t>
            </w:r>
          </w:p>
        </w:tc>
      </w:tr>
      <w:tr w:rsidR="004B729E" w:rsidRPr="007C3060" w14:paraId="39E7F9D0" w14:textId="77777777">
        <w:trPr>
          <w:trHeight w:val="380"/>
        </w:trPr>
        <w:tc>
          <w:tcPr>
            <w:tcW w:w="680" w:type="dxa"/>
            <w:tcBorders>
              <w:top w:val="nil"/>
              <w:left w:val="nil"/>
              <w:bottom w:val="nil"/>
              <w:right w:val="nil"/>
            </w:tcBorders>
            <w:tcMar>
              <w:top w:w="128" w:type="dxa"/>
              <w:left w:w="43" w:type="dxa"/>
              <w:bottom w:w="43" w:type="dxa"/>
              <w:right w:w="123" w:type="dxa"/>
            </w:tcMar>
          </w:tcPr>
          <w:p w14:paraId="31624DFC"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3568288"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8DA67E8" w14:textId="77777777" w:rsidR="000A2A2B" w:rsidRPr="007C3060" w:rsidRDefault="000A2A2B" w:rsidP="007C3060">
            <w:r w:rsidRPr="007C3060">
              <w:t>fra kr 6 582 000 til kr 5 000 000</w:t>
            </w:r>
          </w:p>
        </w:tc>
        <w:tc>
          <w:tcPr>
            <w:tcW w:w="1580" w:type="dxa"/>
            <w:tcBorders>
              <w:top w:val="nil"/>
              <w:left w:val="nil"/>
              <w:bottom w:val="nil"/>
              <w:right w:val="nil"/>
            </w:tcBorders>
            <w:tcMar>
              <w:top w:w="128" w:type="dxa"/>
              <w:left w:w="43" w:type="dxa"/>
              <w:bottom w:w="43" w:type="dxa"/>
              <w:right w:w="43" w:type="dxa"/>
            </w:tcMar>
            <w:vAlign w:val="bottom"/>
          </w:tcPr>
          <w:p w14:paraId="7DD11A9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9F57DCD" w14:textId="77777777" w:rsidR="000A2A2B" w:rsidRPr="007C3060" w:rsidRDefault="000A2A2B" w:rsidP="007C3060"/>
        </w:tc>
      </w:tr>
      <w:tr w:rsidR="004B729E" w:rsidRPr="007C3060" w14:paraId="029C8FF9" w14:textId="77777777">
        <w:trPr>
          <w:trHeight w:val="380"/>
        </w:trPr>
        <w:tc>
          <w:tcPr>
            <w:tcW w:w="680" w:type="dxa"/>
            <w:tcBorders>
              <w:top w:val="nil"/>
              <w:left w:val="nil"/>
              <w:bottom w:val="nil"/>
              <w:right w:val="nil"/>
            </w:tcBorders>
            <w:tcMar>
              <w:top w:w="128" w:type="dxa"/>
              <w:left w:w="43" w:type="dxa"/>
              <w:bottom w:w="43" w:type="dxa"/>
              <w:right w:w="123" w:type="dxa"/>
            </w:tcMar>
          </w:tcPr>
          <w:p w14:paraId="13678053" w14:textId="77777777" w:rsidR="000A2A2B" w:rsidRPr="007C3060" w:rsidRDefault="000A2A2B" w:rsidP="007C3060">
            <w:r w:rsidRPr="007C3060">
              <w:t>3440</w:t>
            </w:r>
          </w:p>
        </w:tc>
        <w:tc>
          <w:tcPr>
            <w:tcW w:w="680" w:type="dxa"/>
            <w:tcBorders>
              <w:top w:val="nil"/>
              <w:left w:val="nil"/>
              <w:bottom w:val="nil"/>
              <w:right w:val="nil"/>
            </w:tcBorders>
            <w:tcMar>
              <w:top w:w="128" w:type="dxa"/>
              <w:left w:w="43" w:type="dxa"/>
              <w:bottom w:w="43" w:type="dxa"/>
              <w:right w:w="123" w:type="dxa"/>
            </w:tcMar>
            <w:vAlign w:val="bottom"/>
          </w:tcPr>
          <w:p w14:paraId="04B2A8E1"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505601B" w14:textId="77777777" w:rsidR="000A2A2B" w:rsidRPr="007C3060" w:rsidRDefault="000A2A2B" w:rsidP="007C3060">
            <w:r w:rsidRPr="007C3060">
              <w:t>Politiet:</w:t>
            </w:r>
          </w:p>
        </w:tc>
        <w:tc>
          <w:tcPr>
            <w:tcW w:w="1580" w:type="dxa"/>
            <w:tcBorders>
              <w:top w:val="nil"/>
              <w:left w:val="nil"/>
              <w:bottom w:val="nil"/>
              <w:right w:val="nil"/>
            </w:tcBorders>
            <w:tcMar>
              <w:top w:w="128" w:type="dxa"/>
              <w:left w:w="43" w:type="dxa"/>
              <w:bottom w:w="43" w:type="dxa"/>
              <w:right w:w="43" w:type="dxa"/>
            </w:tcMar>
            <w:vAlign w:val="bottom"/>
          </w:tcPr>
          <w:p w14:paraId="4A44D7A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E1123F0" w14:textId="77777777" w:rsidR="000A2A2B" w:rsidRPr="007C3060" w:rsidRDefault="000A2A2B" w:rsidP="007C3060"/>
        </w:tc>
      </w:tr>
      <w:tr w:rsidR="004B729E" w:rsidRPr="007C3060" w14:paraId="4660BF8D" w14:textId="77777777">
        <w:trPr>
          <w:trHeight w:val="380"/>
        </w:trPr>
        <w:tc>
          <w:tcPr>
            <w:tcW w:w="680" w:type="dxa"/>
            <w:tcBorders>
              <w:top w:val="nil"/>
              <w:left w:val="nil"/>
              <w:bottom w:val="nil"/>
              <w:right w:val="nil"/>
            </w:tcBorders>
            <w:tcMar>
              <w:top w:w="128" w:type="dxa"/>
              <w:left w:w="43" w:type="dxa"/>
              <w:bottom w:w="43" w:type="dxa"/>
              <w:right w:w="123" w:type="dxa"/>
            </w:tcMar>
          </w:tcPr>
          <w:p w14:paraId="4B4BF882"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C895DC8"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7CDFA83B" w14:textId="77777777" w:rsidR="000A2A2B" w:rsidRPr="007C3060" w:rsidRDefault="000A2A2B" w:rsidP="007C3060">
            <w:r w:rsidRPr="007C3060">
              <w:t>Gebyr – pass og ID-kort, nedsettes med</w:t>
            </w:r>
          </w:p>
        </w:tc>
        <w:tc>
          <w:tcPr>
            <w:tcW w:w="1580" w:type="dxa"/>
            <w:tcBorders>
              <w:top w:val="nil"/>
              <w:left w:val="nil"/>
              <w:bottom w:val="nil"/>
              <w:right w:val="nil"/>
            </w:tcBorders>
            <w:tcMar>
              <w:top w:w="128" w:type="dxa"/>
              <w:left w:w="43" w:type="dxa"/>
              <w:bottom w:w="43" w:type="dxa"/>
              <w:right w:w="43" w:type="dxa"/>
            </w:tcMar>
            <w:vAlign w:val="bottom"/>
          </w:tcPr>
          <w:p w14:paraId="2B45D2D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0B5B801" w14:textId="77777777" w:rsidR="000A2A2B" w:rsidRPr="007C3060" w:rsidRDefault="000A2A2B" w:rsidP="007C3060">
            <w:r w:rsidRPr="007C3060">
              <w:t>195 877 000</w:t>
            </w:r>
          </w:p>
        </w:tc>
      </w:tr>
      <w:tr w:rsidR="004B729E" w:rsidRPr="007C3060" w14:paraId="504B7282" w14:textId="77777777">
        <w:trPr>
          <w:trHeight w:val="380"/>
        </w:trPr>
        <w:tc>
          <w:tcPr>
            <w:tcW w:w="680" w:type="dxa"/>
            <w:tcBorders>
              <w:top w:val="nil"/>
              <w:left w:val="nil"/>
              <w:bottom w:val="nil"/>
              <w:right w:val="nil"/>
            </w:tcBorders>
            <w:tcMar>
              <w:top w:w="128" w:type="dxa"/>
              <w:left w:w="43" w:type="dxa"/>
              <w:bottom w:w="43" w:type="dxa"/>
              <w:right w:w="123" w:type="dxa"/>
            </w:tcMar>
          </w:tcPr>
          <w:p w14:paraId="08A15F1D"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1CA9BAD"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4C301E8" w14:textId="77777777" w:rsidR="000A2A2B" w:rsidRPr="007C3060" w:rsidRDefault="000A2A2B" w:rsidP="007C3060">
            <w:r w:rsidRPr="007C3060">
              <w:t>fra kr 918 262 000 til kr 722 385 000</w:t>
            </w:r>
          </w:p>
        </w:tc>
        <w:tc>
          <w:tcPr>
            <w:tcW w:w="1580" w:type="dxa"/>
            <w:tcBorders>
              <w:top w:val="nil"/>
              <w:left w:val="nil"/>
              <w:bottom w:val="nil"/>
              <w:right w:val="nil"/>
            </w:tcBorders>
            <w:tcMar>
              <w:top w:w="128" w:type="dxa"/>
              <w:left w:w="43" w:type="dxa"/>
              <w:bottom w:w="43" w:type="dxa"/>
              <w:right w:w="43" w:type="dxa"/>
            </w:tcMar>
            <w:vAlign w:val="bottom"/>
          </w:tcPr>
          <w:p w14:paraId="082CF4C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FB650ED" w14:textId="77777777" w:rsidR="000A2A2B" w:rsidRPr="007C3060" w:rsidRDefault="000A2A2B" w:rsidP="007C3060"/>
        </w:tc>
      </w:tr>
      <w:tr w:rsidR="004B729E" w:rsidRPr="007C3060" w14:paraId="04C3EE41" w14:textId="77777777">
        <w:trPr>
          <w:trHeight w:val="380"/>
        </w:trPr>
        <w:tc>
          <w:tcPr>
            <w:tcW w:w="680" w:type="dxa"/>
            <w:tcBorders>
              <w:top w:val="nil"/>
              <w:left w:val="nil"/>
              <w:bottom w:val="nil"/>
              <w:right w:val="nil"/>
            </w:tcBorders>
            <w:tcMar>
              <w:top w:w="128" w:type="dxa"/>
              <w:left w:w="43" w:type="dxa"/>
              <w:bottom w:w="43" w:type="dxa"/>
              <w:right w:w="123" w:type="dxa"/>
            </w:tcMar>
          </w:tcPr>
          <w:p w14:paraId="7974B9F8"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E0F49A5" w14:textId="77777777" w:rsidR="000A2A2B" w:rsidRPr="007C3060" w:rsidRDefault="000A2A2B" w:rsidP="007C3060">
            <w:r w:rsidRPr="007C3060">
              <w:t>6</w:t>
            </w:r>
          </w:p>
        </w:tc>
        <w:tc>
          <w:tcPr>
            <w:tcW w:w="5040" w:type="dxa"/>
            <w:tcBorders>
              <w:top w:val="nil"/>
              <w:left w:val="nil"/>
              <w:bottom w:val="nil"/>
              <w:right w:val="nil"/>
            </w:tcBorders>
            <w:tcMar>
              <w:top w:w="128" w:type="dxa"/>
              <w:left w:w="43" w:type="dxa"/>
              <w:bottom w:w="43" w:type="dxa"/>
              <w:right w:w="43" w:type="dxa"/>
            </w:tcMar>
            <w:vAlign w:val="bottom"/>
          </w:tcPr>
          <w:p w14:paraId="7B88FDCE" w14:textId="77777777" w:rsidR="000A2A2B" w:rsidRPr="007C3060" w:rsidRDefault="000A2A2B" w:rsidP="007C3060">
            <w:r w:rsidRPr="007C3060">
              <w:t>Gebyr – utlendingssaker, forhøyes med</w:t>
            </w:r>
          </w:p>
        </w:tc>
        <w:tc>
          <w:tcPr>
            <w:tcW w:w="1580" w:type="dxa"/>
            <w:tcBorders>
              <w:top w:val="nil"/>
              <w:left w:val="nil"/>
              <w:bottom w:val="nil"/>
              <w:right w:val="nil"/>
            </w:tcBorders>
            <w:tcMar>
              <w:top w:w="128" w:type="dxa"/>
              <w:left w:w="43" w:type="dxa"/>
              <w:bottom w:w="43" w:type="dxa"/>
              <w:right w:w="43" w:type="dxa"/>
            </w:tcMar>
            <w:vAlign w:val="bottom"/>
          </w:tcPr>
          <w:p w14:paraId="517DB0E2"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DF7C16A" w14:textId="77777777" w:rsidR="000A2A2B" w:rsidRPr="007C3060" w:rsidRDefault="000A2A2B" w:rsidP="007C3060">
            <w:r w:rsidRPr="007C3060">
              <w:t>806 000</w:t>
            </w:r>
          </w:p>
        </w:tc>
      </w:tr>
      <w:tr w:rsidR="004B729E" w:rsidRPr="007C3060" w14:paraId="3E65FD08" w14:textId="77777777">
        <w:trPr>
          <w:trHeight w:val="380"/>
        </w:trPr>
        <w:tc>
          <w:tcPr>
            <w:tcW w:w="680" w:type="dxa"/>
            <w:tcBorders>
              <w:top w:val="nil"/>
              <w:left w:val="nil"/>
              <w:bottom w:val="nil"/>
              <w:right w:val="nil"/>
            </w:tcBorders>
            <w:tcMar>
              <w:top w:w="128" w:type="dxa"/>
              <w:left w:w="43" w:type="dxa"/>
              <w:bottom w:w="43" w:type="dxa"/>
              <w:right w:w="123" w:type="dxa"/>
            </w:tcMar>
          </w:tcPr>
          <w:p w14:paraId="6B97F8E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0355040"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8546AE9" w14:textId="77777777" w:rsidR="000A2A2B" w:rsidRPr="007C3060" w:rsidRDefault="000A2A2B" w:rsidP="007C3060">
            <w:r w:rsidRPr="007C3060">
              <w:t>fra kr 321 613 000 til kr 322 419 000</w:t>
            </w:r>
          </w:p>
        </w:tc>
        <w:tc>
          <w:tcPr>
            <w:tcW w:w="1580" w:type="dxa"/>
            <w:tcBorders>
              <w:top w:val="nil"/>
              <w:left w:val="nil"/>
              <w:bottom w:val="nil"/>
              <w:right w:val="nil"/>
            </w:tcBorders>
            <w:tcMar>
              <w:top w:w="128" w:type="dxa"/>
              <w:left w:w="43" w:type="dxa"/>
              <w:bottom w:w="43" w:type="dxa"/>
              <w:right w:w="43" w:type="dxa"/>
            </w:tcMar>
            <w:vAlign w:val="bottom"/>
          </w:tcPr>
          <w:p w14:paraId="3996474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53A734C" w14:textId="77777777" w:rsidR="000A2A2B" w:rsidRPr="007C3060" w:rsidRDefault="000A2A2B" w:rsidP="007C3060"/>
        </w:tc>
      </w:tr>
      <w:tr w:rsidR="004B729E" w:rsidRPr="007C3060" w14:paraId="021F9830" w14:textId="77777777">
        <w:trPr>
          <w:trHeight w:val="380"/>
        </w:trPr>
        <w:tc>
          <w:tcPr>
            <w:tcW w:w="680" w:type="dxa"/>
            <w:tcBorders>
              <w:top w:val="nil"/>
              <w:left w:val="nil"/>
              <w:bottom w:val="nil"/>
              <w:right w:val="nil"/>
            </w:tcBorders>
            <w:tcMar>
              <w:top w:w="128" w:type="dxa"/>
              <w:left w:w="43" w:type="dxa"/>
              <w:bottom w:w="43" w:type="dxa"/>
              <w:right w:w="123" w:type="dxa"/>
            </w:tcMar>
          </w:tcPr>
          <w:p w14:paraId="69A8EE40" w14:textId="77777777" w:rsidR="000A2A2B" w:rsidRPr="007C3060" w:rsidRDefault="000A2A2B" w:rsidP="007C3060">
            <w:r w:rsidRPr="007C3060">
              <w:t>3461</w:t>
            </w:r>
          </w:p>
        </w:tc>
        <w:tc>
          <w:tcPr>
            <w:tcW w:w="680" w:type="dxa"/>
            <w:tcBorders>
              <w:top w:val="nil"/>
              <w:left w:val="nil"/>
              <w:bottom w:val="nil"/>
              <w:right w:val="nil"/>
            </w:tcBorders>
            <w:tcMar>
              <w:top w:w="128" w:type="dxa"/>
              <w:left w:w="43" w:type="dxa"/>
              <w:bottom w:w="43" w:type="dxa"/>
              <w:right w:w="123" w:type="dxa"/>
            </w:tcMar>
            <w:vAlign w:val="bottom"/>
          </w:tcPr>
          <w:p w14:paraId="10C8FEFF"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9EB25C7" w14:textId="77777777" w:rsidR="000A2A2B" w:rsidRPr="007C3060" w:rsidRDefault="000A2A2B" w:rsidP="007C3060">
            <w:r w:rsidRPr="007C3060">
              <w:t>Advokattilsynet:</w:t>
            </w:r>
          </w:p>
        </w:tc>
        <w:tc>
          <w:tcPr>
            <w:tcW w:w="1580" w:type="dxa"/>
            <w:tcBorders>
              <w:top w:val="nil"/>
              <w:left w:val="nil"/>
              <w:bottom w:val="nil"/>
              <w:right w:val="nil"/>
            </w:tcBorders>
            <w:tcMar>
              <w:top w:w="128" w:type="dxa"/>
              <w:left w:w="43" w:type="dxa"/>
              <w:bottom w:w="43" w:type="dxa"/>
              <w:right w:w="43" w:type="dxa"/>
            </w:tcMar>
            <w:vAlign w:val="bottom"/>
          </w:tcPr>
          <w:p w14:paraId="1D14EC0E"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6B0A7BB" w14:textId="77777777" w:rsidR="000A2A2B" w:rsidRPr="007C3060" w:rsidRDefault="000A2A2B" w:rsidP="007C3060"/>
        </w:tc>
      </w:tr>
      <w:tr w:rsidR="004B729E" w:rsidRPr="007C3060" w14:paraId="74FE9B11" w14:textId="77777777">
        <w:trPr>
          <w:trHeight w:val="380"/>
        </w:trPr>
        <w:tc>
          <w:tcPr>
            <w:tcW w:w="680" w:type="dxa"/>
            <w:tcBorders>
              <w:top w:val="nil"/>
              <w:left w:val="nil"/>
              <w:bottom w:val="nil"/>
              <w:right w:val="nil"/>
            </w:tcBorders>
            <w:tcMar>
              <w:top w:w="128" w:type="dxa"/>
              <w:left w:w="43" w:type="dxa"/>
              <w:bottom w:w="43" w:type="dxa"/>
              <w:right w:w="123" w:type="dxa"/>
            </w:tcMar>
          </w:tcPr>
          <w:p w14:paraId="111E2875"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D02BAC4" w14:textId="77777777" w:rsidR="000A2A2B" w:rsidRPr="007C3060" w:rsidRDefault="000A2A2B" w:rsidP="007C3060">
            <w:r w:rsidRPr="007C3060">
              <w:t>1</w:t>
            </w:r>
          </w:p>
        </w:tc>
        <w:tc>
          <w:tcPr>
            <w:tcW w:w="6620" w:type="dxa"/>
            <w:gridSpan w:val="2"/>
            <w:tcBorders>
              <w:top w:val="nil"/>
              <w:left w:val="nil"/>
              <w:bottom w:val="nil"/>
              <w:right w:val="nil"/>
            </w:tcBorders>
            <w:tcMar>
              <w:top w:w="128" w:type="dxa"/>
              <w:left w:w="43" w:type="dxa"/>
              <w:bottom w:w="43" w:type="dxa"/>
              <w:right w:w="43" w:type="dxa"/>
            </w:tcMar>
            <w:vAlign w:val="bottom"/>
          </w:tcPr>
          <w:p w14:paraId="7CC3CCC3" w14:textId="77777777" w:rsidR="000A2A2B" w:rsidRPr="007C3060" w:rsidRDefault="000A2A2B" w:rsidP="007C3060">
            <w:r w:rsidRPr="007C3060">
              <w:t>Bidrag fra advokater og forvalterordning, nedsettes med</w:t>
            </w:r>
          </w:p>
        </w:tc>
        <w:tc>
          <w:tcPr>
            <w:tcW w:w="1580" w:type="dxa"/>
            <w:tcBorders>
              <w:top w:val="nil"/>
              <w:left w:val="nil"/>
              <w:bottom w:val="nil"/>
              <w:right w:val="nil"/>
            </w:tcBorders>
            <w:tcMar>
              <w:top w:w="128" w:type="dxa"/>
              <w:left w:w="43" w:type="dxa"/>
              <w:bottom w:w="43" w:type="dxa"/>
              <w:right w:w="43" w:type="dxa"/>
            </w:tcMar>
            <w:vAlign w:val="bottom"/>
          </w:tcPr>
          <w:p w14:paraId="7E9353B1" w14:textId="77777777" w:rsidR="000A2A2B" w:rsidRPr="007C3060" w:rsidRDefault="000A2A2B" w:rsidP="007C3060">
            <w:r w:rsidRPr="007C3060">
              <w:t>3 200 000</w:t>
            </w:r>
          </w:p>
        </w:tc>
      </w:tr>
      <w:tr w:rsidR="004B729E" w:rsidRPr="007C3060" w14:paraId="7EC63E1E" w14:textId="77777777">
        <w:trPr>
          <w:trHeight w:val="380"/>
        </w:trPr>
        <w:tc>
          <w:tcPr>
            <w:tcW w:w="680" w:type="dxa"/>
            <w:tcBorders>
              <w:top w:val="nil"/>
              <w:left w:val="nil"/>
              <w:bottom w:val="nil"/>
              <w:right w:val="nil"/>
            </w:tcBorders>
            <w:tcMar>
              <w:top w:w="128" w:type="dxa"/>
              <w:left w:w="43" w:type="dxa"/>
              <w:bottom w:w="43" w:type="dxa"/>
              <w:right w:w="123" w:type="dxa"/>
            </w:tcMar>
          </w:tcPr>
          <w:p w14:paraId="668FDF6C"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87B2301"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6FA9F00" w14:textId="77777777" w:rsidR="000A2A2B" w:rsidRPr="007C3060" w:rsidRDefault="000A2A2B" w:rsidP="007C3060">
            <w:r w:rsidRPr="007C3060">
              <w:t>fra kr 51 500 000 til kr 48 300 000</w:t>
            </w:r>
          </w:p>
        </w:tc>
        <w:tc>
          <w:tcPr>
            <w:tcW w:w="1580" w:type="dxa"/>
            <w:tcBorders>
              <w:top w:val="nil"/>
              <w:left w:val="nil"/>
              <w:bottom w:val="nil"/>
              <w:right w:val="nil"/>
            </w:tcBorders>
            <w:tcMar>
              <w:top w:w="128" w:type="dxa"/>
              <w:left w:w="43" w:type="dxa"/>
              <w:bottom w:w="43" w:type="dxa"/>
              <w:right w:w="43" w:type="dxa"/>
            </w:tcMar>
            <w:vAlign w:val="bottom"/>
          </w:tcPr>
          <w:p w14:paraId="37B2A15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AE42E04" w14:textId="77777777" w:rsidR="000A2A2B" w:rsidRPr="007C3060" w:rsidRDefault="000A2A2B" w:rsidP="007C3060"/>
        </w:tc>
      </w:tr>
      <w:tr w:rsidR="004B729E" w:rsidRPr="007C3060" w14:paraId="6F39AB82" w14:textId="77777777">
        <w:trPr>
          <w:trHeight w:val="380"/>
        </w:trPr>
        <w:tc>
          <w:tcPr>
            <w:tcW w:w="680" w:type="dxa"/>
            <w:tcBorders>
              <w:top w:val="nil"/>
              <w:left w:val="nil"/>
              <w:bottom w:val="nil"/>
              <w:right w:val="nil"/>
            </w:tcBorders>
            <w:tcMar>
              <w:top w:w="128" w:type="dxa"/>
              <w:left w:w="43" w:type="dxa"/>
              <w:bottom w:w="43" w:type="dxa"/>
              <w:right w:w="123" w:type="dxa"/>
            </w:tcMar>
          </w:tcPr>
          <w:p w14:paraId="164A0FF8" w14:textId="77777777" w:rsidR="000A2A2B" w:rsidRPr="007C3060" w:rsidRDefault="000A2A2B" w:rsidP="007C3060">
            <w:r w:rsidRPr="007C3060">
              <w:t>3490</w:t>
            </w:r>
          </w:p>
        </w:tc>
        <w:tc>
          <w:tcPr>
            <w:tcW w:w="680" w:type="dxa"/>
            <w:tcBorders>
              <w:top w:val="nil"/>
              <w:left w:val="nil"/>
              <w:bottom w:val="nil"/>
              <w:right w:val="nil"/>
            </w:tcBorders>
            <w:tcMar>
              <w:top w:w="128" w:type="dxa"/>
              <w:left w:w="43" w:type="dxa"/>
              <w:bottom w:w="43" w:type="dxa"/>
              <w:right w:w="123" w:type="dxa"/>
            </w:tcMar>
            <w:vAlign w:val="bottom"/>
          </w:tcPr>
          <w:p w14:paraId="3253555E"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1FEBA6F" w14:textId="77777777" w:rsidR="000A2A2B" w:rsidRPr="007C3060" w:rsidRDefault="000A2A2B" w:rsidP="007C3060">
            <w:r w:rsidRPr="007C3060">
              <w:t>Utlendingsdirektoratet:</w:t>
            </w:r>
          </w:p>
        </w:tc>
        <w:tc>
          <w:tcPr>
            <w:tcW w:w="1580" w:type="dxa"/>
            <w:tcBorders>
              <w:top w:val="nil"/>
              <w:left w:val="nil"/>
              <w:bottom w:val="nil"/>
              <w:right w:val="nil"/>
            </w:tcBorders>
            <w:tcMar>
              <w:top w:w="128" w:type="dxa"/>
              <w:left w:w="43" w:type="dxa"/>
              <w:bottom w:w="43" w:type="dxa"/>
              <w:right w:w="43" w:type="dxa"/>
            </w:tcMar>
            <w:vAlign w:val="bottom"/>
          </w:tcPr>
          <w:p w14:paraId="64431282"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C29EB6D" w14:textId="77777777" w:rsidR="000A2A2B" w:rsidRPr="007C3060" w:rsidRDefault="000A2A2B" w:rsidP="007C3060"/>
        </w:tc>
      </w:tr>
      <w:tr w:rsidR="004B729E" w:rsidRPr="007C3060" w14:paraId="1F49A1F7" w14:textId="77777777">
        <w:trPr>
          <w:trHeight w:val="640"/>
        </w:trPr>
        <w:tc>
          <w:tcPr>
            <w:tcW w:w="680" w:type="dxa"/>
            <w:tcBorders>
              <w:top w:val="nil"/>
              <w:left w:val="nil"/>
              <w:bottom w:val="nil"/>
              <w:right w:val="nil"/>
            </w:tcBorders>
            <w:tcMar>
              <w:top w:w="128" w:type="dxa"/>
              <w:left w:w="43" w:type="dxa"/>
              <w:bottom w:w="43" w:type="dxa"/>
              <w:right w:w="123" w:type="dxa"/>
            </w:tcMar>
          </w:tcPr>
          <w:p w14:paraId="12757E42"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tcPr>
          <w:p w14:paraId="40797056" w14:textId="77777777" w:rsidR="000A2A2B" w:rsidRPr="007C3060" w:rsidRDefault="000A2A2B" w:rsidP="007C3060">
            <w:r w:rsidRPr="007C3060">
              <w:t>1</w:t>
            </w:r>
          </w:p>
        </w:tc>
        <w:tc>
          <w:tcPr>
            <w:tcW w:w="6620" w:type="dxa"/>
            <w:gridSpan w:val="2"/>
            <w:tcBorders>
              <w:top w:val="nil"/>
              <w:left w:val="nil"/>
              <w:bottom w:val="nil"/>
              <w:right w:val="nil"/>
            </w:tcBorders>
            <w:tcMar>
              <w:top w:w="128" w:type="dxa"/>
              <w:left w:w="43" w:type="dxa"/>
              <w:bottom w:w="43" w:type="dxa"/>
              <w:right w:w="43" w:type="dxa"/>
            </w:tcMar>
            <w:vAlign w:val="bottom"/>
          </w:tcPr>
          <w:p w14:paraId="0DD75C3A" w14:textId="0D24613A" w:rsidR="000A2A2B" w:rsidRPr="007C3060" w:rsidRDefault="000A2A2B" w:rsidP="007C3060">
            <w:r w:rsidRPr="007C3060">
              <w:t xml:space="preserve">Assistert retur fra Norge for asylsøkere med avslag, ODA-godkjente utgifter, forhøyes med </w:t>
            </w:r>
          </w:p>
        </w:tc>
        <w:tc>
          <w:tcPr>
            <w:tcW w:w="1580" w:type="dxa"/>
            <w:tcBorders>
              <w:top w:val="nil"/>
              <w:left w:val="nil"/>
              <w:bottom w:val="nil"/>
              <w:right w:val="nil"/>
            </w:tcBorders>
            <w:tcMar>
              <w:top w:w="128" w:type="dxa"/>
              <w:left w:w="43" w:type="dxa"/>
              <w:bottom w:w="43" w:type="dxa"/>
              <w:right w:w="43" w:type="dxa"/>
            </w:tcMar>
            <w:vAlign w:val="bottom"/>
          </w:tcPr>
          <w:p w14:paraId="19F9CD67" w14:textId="77777777" w:rsidR="000A2A2B" w:rsidRPr="007C3060" w:rsidRDefault="000A2A2B" w:rsidP="007C3060">
            <w:r w:rsidRPr="007C3060">
              <w:t>1 229 000</w:t>
            </w:r>
          </w:p>
        </w:tc>
      </w:tr>
      <w:tr w:rsidR="004B729E" w:rsidRPr="007C3060" w14:paraId="627D8802" w14:textId="77777777">
        <w:trPr>
          <w:trHeight w:val="380"/>
        </w:trPr>
        <w:tc>
          <w:tcPr>
            <w:tcW w:w="680" w:type="dxa"/>
            <w:tcBorders>
              <w:top w:val="nil"/>
              <w:left w:val="nil"/>
              <w:bottom w:val="nil"/>
              <w:right w:val="nil"/>
            </w:tcBorders>
            <w:tcMar>
              <w:top w:w="128" w:type="dxa"/>
              <w:left w:w="43" w:type="dxa"/>
              <w:bottom w:w="43" w:type="dxa"/>
              <w:right w:w="123" w:type="dxa"/>
            </w:tcMar>
          </w:tcPr>
          <w:p w14:paraId="66D7476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BDA85D1"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394C8F7F" w14:textId="77777777" w:rsidR="000A2A2B" w:rsidRPr="007C3060" w:rsidRDefault="000A2A2B" w:rsidP="007C3060">
            <w:r w:rsidRPr="007C3060">
              <w:t>fra kr 6 286 000 til kr 7 515 000</w:t>
            </w:r>
          </w:p>
        </w:tc>
        <w:tc>
          <w:tcPr>
            <w:tcW w:w="1580" w:type="dxa"/>
            <w:tcBorders>
              <w:top w:val="nil"/>
              <w:left w:val="nil"/>
              <w:bottom w:val="nil"/>
              <w:right w:val="nil"/>
            </w:tcBorders>
            <w:tcMar>
              <w:top w:w="128" w:type="dxa"/>
              <w:left w:w="43" w:type="dxa"/>
              <w:bottom w:w="43" w:type="dxa"/>
              <w:right w:w="43" w:type="dxa"/>
            </w:tcMar>
            <w:vAlign w:val="bottom"/>
          </w:tcPr>
          <w:p w14:paraId="4929DC9E"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6017F4D" w14:textId="77777777" w:rsidR="000A2A2B" w:rsidRPr="007C3060" w:rsidRDefault="000A2A2B" w:rsidP="007C3060"/>
        </w:tc>
      </w:tr>
      <w:tr w:rsidR="004B729E" w:rsidRPr="007C3060" w14:paraId="3256B212" w14:textId="77777777">
        <w:trPr>
          <w:trHeight w:val="640"/>
        </w:trPr>
        <w:tc>
          <w:tcPr>
            <w:tcW w:w="680" w:type="dxa"/>
            <w:tcBorders>
              <w:top w:val="nil"/>
              <w:left w:val="nil"/>
              <w:bottom w:val="nil"/>
              <w:right w:val="nil"/>
            </w:tcBorders>
            <w:tcMar>
              <w:top w:w="128" w:type="dxa"/>
              <w:left w:w="43" w:type="dxa"/>
              <w:bottom w:w="43" w:type="dxa"/>
              <w:right w:w="123" w:type="dxa"/>
            </w:tcMar>
          </w:tcPr>
          <w:p w14:paraId="04D7A92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tcPr>
          <w:p w14:paraId="6081946F" w14:textId="77777777" w:rsidR="000A2A2B" w:rsidRPr="007C3060" w:rsidRDefault="000A2A2B" w:rsidP="007C3060">
            <w:r w:rsidRPr="007C3060">
              <w:t>3</w:t>
            </w:r>
          </w:p>
        </w:tc>
        <w:tc>
          <w:tcPr>
            <w:tcW w:w="6620" w:type="dxa"/>
            <w:gridSpan w:val="2"/>
            <w:tcBorders>
              <w:top w:val="nil"/>
              <w:left w:val="nil"/>
              <w:bottom w:val="nil"/>
              <w:right w:val="nil"/>
            </w:tcBorders>
            <w:tcMar>
              <w:top w:w="128" w:type="dxa"/>
              <w:left w:w="43" w:type="dxa"/>
              <w:bottom w:w="43" w:type="dxa"/>
              <w:right w:w="43" w:type="dxa"/>
            </w:tcMar>
            <w:vAlign w:val="bottom"/>
          </w:tcPr>
          <w:p w14:paraId="662860E8" w14:textId="47B29B40" w:rsidR="000A2A2B" w:rsidRPr="007C3060" w:rsidRDefault="000A2A2B" w:rsidP="007C3060">
            <w:r w:rsidRPr="007C3060">
              <w:t>Reiseutgifter for flyktninger fra utlandet, ODA-godkjente utgifter, -forhøyes med</w:t>
            </w:r>
          </w:p>
        </w:tc>
        <w:tc>
          <w:tcPr>
            <w:tcW w:w="1580" w:type="dxa"/>
            <w:tcBorders>
              <w:top w:val="nil"/>
              <w:left w:val="nil"/>
              <w:bottom w:val="nil"/>
              <w:right w:val="nil"/>
            </w:tcBorders>
            <w:tcMar>
              <w:top w:w="128" w:type="dxa"/>
              <w:left w:w="43" w:type="dxa"/>
              <w:bottom w:w="43" w:type="dxa"/>
              <w:right w:w="43" w:type="dxa"/>
            </w:tcMar>
            <w:vAlign w:val="bottom"/>
          </w:tcPr>
          <w:p w14:paraId="361A846A" w14:textId="77777777" w:rsidR="000A2A2B" w:rsidRPr="007C3060" w:rsidRDefault="000A2A2B" w:rsidP="007C3060">
            <w:r w:rsidRPr="007C3060">
              <w:t>3 716 000</w:t>
            </w:r>
          </w:p>
        </w:tc>
      </w:tr>
      <w:tr w:rsidR="004B729E" w:rsidRPr="007C3060" w14:paraId="1EACD47E" w14:textId="77777777">
        <w:trPr>
          <w:trHeight w:val="380"/>
        </w:trPr>
        <w:tc>
          <w:tcPr>
            <w:tcW w:w="680" w:type="dxa"/>
            <w:tcBorders>
              <w:top w:val="nil"/>
              <w:left w:val="nil"/>
              <w:bottom w:val="nil"/>
              <w:right w:val="nil"/>
            </w:tcBorders>
            <w:tcMar>
              <w:top w:w="128" w:type="dxa"/>
              <w:left w:w="43" w:type="dxa"/>
              <w:bottom w:w="43" w:type="dxa"/>
              <w:right w:w="123" w:type="dxa"/>
            </w:tcMar>
          </w:tcPr>
          <w:p w14:paraId="42FA3508"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3D13B3E"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CDA6A00" w14:textId="77777777" w:rsidR="000A2A2B" w:rsidRPr="007C3060" w:rsidRDefault="000A2A2B" w:rsidP="007C3060">
            <w:r w:rsidRPr="007C3060">
              <w:t>fra kr 15 338 000 til kr 19 054 000</w:t>
            </w:r>
          </w:p>
        </w:tc>
        <w:tc>
          <w:tcPr>
            <w:tcW w:w="1580" w:type="dxa"/>
            <w:tcBorders>
              <w:top w:val="nil"/>
              <w:left w:val="nil"/>
              <w:bottom w:val="nil"/>
              <w:right w:val="nil"/>
            </w:tcBorders>
            <w:tcMar>
              <w:top w:w="128" w:type="dxa"/>
              <w:left w:w="43" w:type="dxa"/>
              <w:bottom w:w="43" w:type="dxa"/>
              <w:right w:w="43" w:type="dxa"/>
            </w:tcMar>
            <w:vAlign w:val="bottom"/>
          </w:tcPr>
          <w:p w14:paraId="42216FD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7CC9640" w14:textId="77777777" w:rsidR="000A2A2B" w:rsidRPr="007C3060" w:rsidRDefault="000A2A2B" w:rsidP="007C3060"/>
        </w:tc>
      </w:tr>
      <w:tr w:rsidR="004B729E" w:rsidRPr="007C3060" w14:paraId="0BDED6D0" w14:textId="77777777">
        <w:trPr>
          <w:trHeight w:val="380"/>
        </w:trPr>
        <w:tc>
          <w:tcPr>
            <w:tcW w:w="680" w:type="dxa"/>
            <w:tcBorders>
              <w:top w:val="nil"/>
              <w:left w:val="nil"/>
              <w:bottom w:val="nil"/>
              <w:right w:val="nil"/>
            </w:tcBorders>
            <w:tcMar>
              <w:top w:w="128" w:type="dxa"/>
              <w:left w:w="43" w:type="dxa"/>
              <w:bottom w:w="43" w:type="dxa"/>
              <w:right w:w="123" w:type="dxa"/>
            </w:tcMar>
          </w:tcPr>
          <w:p w14:paraId="6760A4F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1A469C0" w14:textId="77777777" w:rsidR="000A2A2B" w:rsidRPr="007C3060" w:rsidRDefault="000A2A2B" w:rsidP="007C3060">
            <w:r w:rsidRPr="007C3060">
              <w:t>4</w:t>
            </w:r>
          </w:p>
        </w:tc>
        <w:tc>
          <w:tcPr>
            <w:tcW w:w="5040" w:type="dxa"/>
            <w:tcBorders>
              <w:top w:val="nil"/>
              <w:left w:val="nil"/>
              <w:bottom w:val="nil"/>
              <w:right w:val="nil"/>
            </w:tcBorders>
            <w:tcMar>
              <w:top w:w="128" w:type="dxa"/>
              <w:left w:w="43" w:type="dxa"/>
              <w:bottom w:w="43" w:type="dxa"/>
              <w:right w:w="43" w:type="dxa"/>
            </w:tcMar>
            <w:vAlign w:val="bottom"/>
          </w:tcPr>
          <w:p w14:paraId="1B79A712" w14:textId="77777777" w:rsidR="000A2A2B" w:rsidRPr="007C3060" w:rsidRDefault="000A2A2B" w:rsidP="007C3060">
            <w:r w:rsidRPr="007C3060">
              <w:t>Asylmottak, ODA-godkjente utgifter, nedsettes med</w:t>
            </w:r>
          </w:p>
        </w:tc>
        <w:tc>
          <w:tcPr>
            <w:tcW w:w="1580" w:type="dxa"/>
            <w:tcBorders>
              <w:top w:val="nil"/>
              <w:left w:val="nil"/>
              <w:bottom w:val="nil"/>
              <w:right w:val="nil"/>
            </w:tcBorders>
            <w:tcMar>
              <w:top w:w="128" w:type="dxa"/>
              <w:left w:w="43" w:type="dxa"/>
              <w:bottom w:w="43" w:type="dxa"/>
              <w:right w:w="43" w:type="dxa"/>
            </w:tcMar>
            <w:vAlign w:val="bottom"/>
          </w:tcPr>
          <w:p w14:paraId="250B197C"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5DD7503" w14:textId="77777777" w:rsidR="000A2A2B" w:rsidRPr="007C3060" w:rsidRDefault="000A2A2B" w:rsidP="007C3060">
            <w:r w:rsidRPr="007C3060">
              <w:t>799 511 000</w:t>
            </w:r>
          </w:p>
        </w:tc>
      </w:tr>
      <w:tr w:rsidR="004B729E" w:rsidRPr="007C3060" w14:paraId="47070F6E" w14:textId="77777777">
        <w:trPr>
          <w:trHeight w:val="380"/>
        </w:trPr>
        <w:tc>
          <w:tcPr>
            <w:tcW w:w="680" w:type="dxa"/>
            <w:tcBorders>
              <w:top w:val="nil"/>
              <w:left w:val="nil"/>
              <w:bottom w:val="nil"/>
              <w:right w:val="nil"/>
            </w:tcBorders>
            <w:tcMar>
              <w:top w:w="128" w:type="dxa"/>
              <w:left w:w="43" w:type="dxa"/>
              <w:bottom w:w="43" w:type="dxa"/>
              <w:right w:w="123" w:type="dxa"/>
            </w:tcMar>
          </w:tcPr>
          <w:p w14:paraId="7EE395C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BF586D9"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5431C69" w14:textId="77777777" w:rsidR="000A2A2B" w:rsidRPr="007C3060" w:rsidRDefault="000A2A2B" w:rsidP="007C3060">
            <w:r w:rsidRPr="007C3060">
              <w:t>fra kr 3 122 326 000 til kr 2 322 815 000</w:t>
            </w:r>
          </w:p>
        </w:tc>
        <w:tc>
          <w:tcPr>
            <w:tcW w:w="1580" w:type="dxa"/>
            <w:tcBorders>
              <w:top w:val="nil"/>
              <w:left w:val="nil"/>
              <w:bottom w:val="nil"/>
              <w:right w:val="nil"/>
            </w:tcBorders>
            <w:tcMar>
              <w:top w:w="128" w:type="dxa"/>
              <w:left w:w="43" w:type="dxa"/>
              <w:bottom w:w="43" w:type="dxa"/>
              <w:right w:w="43" w:type="dxa"/>
            </w:tcMar>
            <w:vAlign w:val="bottom"/>
          </w:tcPr>
          <w:p w14:paraId="4AA5991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DEE38D5" w14:textId="77777777" w:rsidR="000A2A2B" w:rsidRPr="007C3060" w:rsidRDefault="000A2A2B" w:rsidP="007C3060"/>
        </w:tc>
      </w:tr>
      <w:tr w:rsidR="004B729E" w:rsidRPr="007C3060" w14:paraId="514054D3" w14:textId="77777777">
        <w:trPr>
          <w:trHeight w:val="380"/>
        </w:trPr>
        <w:tc>
          <w:tcPr>
            <w:tcW w:w="680" w:type="dxa"/>
            <w:tcBorders>
              <w:top w:val="nil"/>
              <w:left w:val="nil"/>
              <w:bottom w:val="nil"/>
              <w:right w:val="nil"/>
            </w:tcBorders>
            <w:tcMar>
              <w:top w:w="128" w:type="dxa"/>
              <w:left w:w="43" w:type="dxa"/>
              <w:bottom w:w="43" w:type="dxa"/>
              <w:right w:w="123" w:type="dxa"/>
            </w:tcMar>
          </w:tcPr>
          <w:p w14:paraId="74E7D6C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D28B9F5" w14:textId="77777777" w:rsidR="000A2A2B" w:rsidRPr="007C3060" w:rsidRDefault="000A2A2B" w:rsidP="007C3060">
            <w:r w:rsidRPr="007C3060">
              <w:t>7</w:t>
            </w:r>
          </w:p>
        </w:tc>
        <w:tc>
          <w:tcPr>
            <w:tcW w:w="6620" w:type="dxa"/>
            <w:gridSpan w:val="2"/>
            <w:tcBorders>
              <w:top w:val="nil"/>
              <w:left w:val="nil"/>
              <w:bottom w:val="nil"/>
              <w:right w:val="nil"/>
            </w:tcBorders>
            <w:tcMar>
              <w:top w:w="128" w:type="dxa"/>
              <w:left w:w="43" w:type="dxa"/>
              <w:bottom w:w="43" w:type="dxa"/>
              <w:right w:w="43" w:type="dxa"/>
            </w:tcMar>
            <w:vAlign w:val="bottom"/>
          </w:tcPr>
          <w:p w14:paraId="1E72E876" w14:textId="77777777" w:rsidR="000A2A2B" w:rsidRPr="007C3060" w:rsidRDefault="000A2A2B" w:rsidP="007C3060">
            <w:r w:rsidRPr="007C3060">
              <w:t>Tolk og oversettelse, ODA-godkjente utgifter, nedsettes med</w:t>
            </w:r>
          </w:p>
        </w:tc>
        <w:tc>
          <w:tcPr>
            <w:tcW w:w="1580" w:type="dxa"/>
            <w:tcBorders>
              <w:top w:val="nil"/>
              <w:left w:val="nil"/>
              <w:bottom w:val="nil"/>
              <w:right w:val="nil"/>
            </w:tcBorders>
            <w:tcMar>
              <w:top w:w="128" w:type="dxa"/>
              <w:left w:w="43" w:type="dxa"/>
              <w:bottom w:w="43" w:type="dxa"/>
              <w:right w:w="43" w:type="dxa"/>
            </w:tcMar>
            <w:vAlign w:val="bottom"/>
          </w:tcPr>
          <w:p w14:paraId="394CC578" w14:textId="77777777" w:rsidR="000A2A2B" w:rsidRPr="007C3060" w:rsidRDefault="000A2A2B" w:rsidP="007C3060">
            <w:r w:rsidRPr="007C3060">
              <w:t>5 700 000</w:t>
            </w:r>
          </w:p>
        </w:tc>
      </w:tr>
      <w:tr w:rsidR="004B729E" w:rsidRPr="007C3060" w14:paraId="1DF5D4CA" w14:textId="77777777">
        <w:trPr>
          <w:trHeight w:val="380"/>
        </w:trPr>
        <w:tc>
          <w:tcPr>
            <w:tcW w:w="680" w:type="dxa"/>
            <w:tcBorders>
              <w:top w:val="nil"/>
              <w:left w:val="nil"/>
              <w:bottom w:val="nil"/>
              <w:right w:val="nil"/>
            </w:tcBorders>
            <w:tcMar>
              <w:top w:w="128" w:type="dxa"/>
              <w:left w:w="43" w:type="dxa"/>
              <w:bottom w:w="43" w:type="dxa"/>
              <w:right w:w="123" w:type="dxa"/>
            </w:tcMar>
          </w:tcPr>
          <w:p w14:paraId="2C03006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A32B8B9"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6E5541E" w14:textId="77777777" w:rsidR="000A2A2B" w:rsidRPr="007C3060" w:rsidRDefault="000A2A2B" w:rsidP="007C3060">
            <w:r w:rsidRPr="007C3060">
              <w:t>fra kr 31 353 000 til kr 25 653 000</w:t>
            </w:r>
          </w:p>
        </w:tc>
        <w:tc>
          <w:tcPr>
            <w:tcW w:w="1580" w:type="dxa"/>
            <w:tcBorders>
              <w:top w:val="nil"/>
              <w:left w:val="nil"/>
              <w:bottom w:val="nil"/>
              <w:right w:val="nil"/>
            </w:tcBorders>
            <w:tcMar>
              <w:top w:w="128" w:type="dxa"/>
              <w:left w:w="43" w:type="dxa"/>
              <w:bottom w:w="43" w:type="dxa"/>
              <w:right w:w="43" w:type="dxa"/>
            </w:tcMar>
            <w:vAlign w:val="bottom"/>
          </w:tcPr>
          <w:p w14:paraId="36D8E49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9C6E2C1" w14:textId="77777777" w:rsidR="000A2A2B" w:rsidRPr="007C3060" w:rsidRDefault="000A2A2B" w:rsidP="007C3060"/>
        </w:tc>
      </w:tr>
      <w:tr w:rsidR="004B729E" w:rsidRPr="007C3060" w14:paraId="32C688D6" w14:textId="77777777">
        <w:trPr>
          <w:trHeight w:val="640"/>
        </w:trPr>
        <w:tc>
          <w:tcPr>
            <w:tcW w:w="680" w:type="dxa"/>
            <w:tcBorders>
              <w:top w:val="nil"/>
              <w:left w:val="nil"/>
              <w:bottom w:val="nil"/>
              <w:right w:val="nil"/>
            </w:tcBorders>
            <w:tcMar>
              <w:top w:w="128" w:type="dxa"/>
              <w:left w:w="43" w:type="dxa"/>
              <w:bottom w:w="43" w:type="dxa"/>
              <w:right w:w="123" w:type="dxa"/>
            </w:tcMar>
          </w:tcPr>
          <w:p w14:paraId="7AF1189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tcPr>
          <w:p w14:paraId="0E48E5BF" w14:textId="77777777" w:rsidR="000A2A2B" w:rsidRPr="007C3060" w:rsidRDefault="000A2A2B" w:rsidP="007C3060">
            <w:r w:rsidRPr="007C3060">
              <w:t>8</w:t>
            </w:r>
          </w:p>
        </w:tc>
        <w:tc>
          <w:tcPr>
            <w:tcW w:w="6620" w:type="dxa"/>
            <w:gridSpan w:val="2"/>
            <w:tcBorders>
              <w:top w:val="nil"/>
              <w:left w:val="nil"/>
              <w:bottom w:val="nil"/>
              <w:right w:val="nil"/>
            </w:tcBorders>
            <w:tcMar>
              <w:top w:w="128" w:type="dxa"/>
              <w:left w:w="43" w:type="dxa"/>
              <w:bottom w:w="43" w:type="dxa"/>
              <w:right w:w="43" w:type="dxa"/>
            </w:tcMar>
            <w:vAlign w:val="bottom"/>
          </w:tcPr>
          <w:p w14:paraId="1DA28D28" w14:textId="29FAD465" w:rsidR="000A2A2B" w:rsidRPr="007C3060" w:rsidRDefault="000A2A2B" w:rsidP="007C3060">
            <w:r w:rsidRPr="007C3060">
              <w:t xml:space="preserve">Internasjonalt migrasjonsarbeid og reintegrering i </w:t>
            </w:r>
            <w:proofErr w:type="spellStart"/>
            <w:proofErr w:type="gramStart"/>
            <w:r w:rsidRPr="007C3060">
              <w:t>hjemlandet,ODA</w:t>
            </w:r>
            <w:proofErr w:type="spellEnd"/>
            <w:proofErr w:type="gramEnd"/>
            <w:r w:rsidRPr="007C3060">
              <w:t>-godkjente utgifter, forhøyes med</w:t>
            </w:r>
          </w:p>
        </w:tc>
        <w:tc>
          <w:tcPr>
            <w:tcW w:w="1580" w:type="dxa"/>
            <w:tcBorders>
              <w:top w:val="nil"/>
              <w:left w:val="nil"/>
              <w:bottom w:val="nil"/>
              <w:right w:val="nil"/>
            </w:tcBorders>
            <w:tcMar>
              <w:top w:w="128" w:type="dxa"/>
              <w:left w:w="43" w:type="dxa"/>
              <w:bottom w:w="43" w:type="dxa"/>
              <w:right w:w="43" w:type="dxa"/>
            </w:tcMar>
            <w:vAlign w:val="bottom"/>
          </w:tcPr>
          <w:p w14:paraId="000DF6ED" w14:textId="77777777" w:rsidR="000A2A2B" w:rsidRPr="007C3060" w:rsidRDefault="000A2A2B" w:rsidP="007C3060">
            <w:r w:rsidRPr="007C3060">
              <w:t>49 335 000</w:t>
            </w:r>
          </w:p>
        </w:tc>
      </w:tr>
      <w:tr w:rsidR="004B729E" w:rsidRPr="007C3060" w14:paraId="4EB2765F" w14:textId="77777777">
        <w:trPr>
          <w:trHeight w:val="380"/>
        </w:trPr>
        <w:tc>
          <w:tcPr>
            <w:tcW w:w="680" w:type="dxa"/>
            <w:tcBorders>
              <w:top w:val="nil"/>
              <w:left w:val="nil"/>
              <w:bottom w:val="nil"/>
              <w:right w:val="nil"/>
            </w:tcBorders>
            <w:tcMar>
              <w:top w:w="128" w:type="dxa"/>
              <w:left w:w="43" w:type="dxa"/>
              <w:bottom w:w="43" w:type="dxa"/>
              <w:right w:w="123" w:type="dxa"/>
            </w:tcMar>
          </w:tcPr>
          <w:p w14:paraId="057C501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D184085"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66FE576" w14:textId="77777777" w:rsidR="000A2A2B" w:rsidRPr="007C3060" w:rsidRDefault="000A2A2B" w:rsidP="007C3060">
            <w:r w:rsidRPr="007C3060">
              <w:t>fra kr 45 664 000 til kr 94 999 000</w:t>
            </w:r>
          </w:p>
        </w:tc>
        <w:tc>
          <w:tcPr>
            <w:tcW w:w="1580" w:type="dxa"/>
            <w:tcBorders>
              <w:top w:val="nil"/>
              <w:left w:val="nil"/>
              <w:bottom w:val="nil"/>
              <w:right w:val="nil"/>
            </w:tcBorders>
            <w:tcMar>
              <w:top w:w="128" w:type="dxa"/>
              <w:left w:w="43" w:type="dxa"/>
              <w:bottom w:w="43" w:type="dxa"/>
              <w:right w:w="43" w:type="dxa"/>
            </w:tcMar>
            <w:vAlign w:val="bottom"/>
          </w:tcPr>
          <w:p w14:paraId="3DC2D415"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64EF8FA" w14:textId="77777777" w:rsidR="000A2A2B" w:rsidRPr="007C3060" w:rsidRDefault="000A2A2B" w:rsidP="007C3060"/>
        </w:tc>
      </w:tr>
      <w:tr w:rsidR="004B729E" w:rsidRPr="007C3060" w14:paraId="68B772D3" w14:textId="77777777">
        <w:trPr>
          <w:trHeight w:val="380"/>
        </w:trPr>
        <w:tc>
          <w:tcPr>
            <w:tcW w:w="680" w:type="dxa"/>
            <w:tcBorders>
              <w:top w:val="nil"/>
              <w:left w:val="nil"/>
              <w:bottom w:val="nil"/>
              <w:right w:val="nil"/>
            </w:tcBorders>
            <w:tcMar>
              <w:top w:w="128" w:type="dxa"/>
              <w:left w:w="43" w:type="dxa"/>
              <w:bottom w:w="43" w:type="dxa"/>
              <w:right w:w="123" w:type="dxa"/>
            </w:tcMar>
          </w:tcPr>
          <w:p w14:paraId="2F73F58D" w14:textId="77777777" w:rsidR="000A2A2B" w:rsidRPr="007C3060" w:rsidRDefault="000A2A2B" w:rsidP="007C3060">
            <w:r w:rsidRPr="007C3060">
              <w:t>3595</w:t>
            </w:r>
          </w:p>
        </w:tc>
        <w:tc>
          <w:tcPr>
            <w:tcW w:w="680" w:type="dxa"/>
            <w:tcBorders>
              <w:top w:val="nil"/>
              <w:left w:val="nil"/>
              <w:bottom w:val="nil"/>
              <w:right w:val="nil"/>
            </w:tcBorders>
            <w:tcMar>
              <w:top w:w="128" w:type="dxa"/>
              <w:left w:w="43" w:type="dxa"/>
              <w:bottom w:w="43" w:type="dxa"/>
              <w:right w:w="123" w:type="dxa"/>
            </w:tcMar>
            <w:vAlign w:val="bottom"/>
          </w:tcPr>
          <w:p w14:paraId="0E9FF04D"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8D277CA" w14:textId="77777777" w:rsidR="000A2A2B" w:rsidRPr="007C3060" w:rsidRDefault="000A2A2B" w:rsidP="007C3060">
            <w:r w:rsidRPr="007C3060">
              <w:t>Statens kartverk:</w:t>
            </w:r>
          </w:p>
        </w:tc>
        <w:tc>
          <w:tcPr>
            <w:tcW w:w="1580" w:type="dxa"/>
            <w:tcBorders>
              <w:top w:val="nil"/>
              <w:left w:val="nil"/>
              <w:bottom w:val="nil"/>
              <w:right w:val="nil"/>
            </w:tcBorders>
            <w:tcMar>
              <w:top w:w="128" w:type="dxa"/>
              <w:left w:w="43" w:type="dxa"/>
              <w:bottom w:w="43" w:type="dxa"/>
              <w:right w:w="43" w:type="dxa"/>
            </w:tcMar>
            <w:vAlign w:val="bottom"/>
          </w:tcPr>
          <w:p w14:paraId="2D4A549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79C7815" w14:textId="77777777" w:rsidR="000A2A2B" w:rsidRPr="007C3060" w:rsidRDefault="000A2A2B" w:rsidP="007C3060"/>
        </w:tc>
      </w:tr>
      <w:tr w:rsidR="004B729E" w:rsidRPr="007C3060" w14:paraId="478D072D" w14:textId="77777777">
        <w:trPr>
          <w:trHeight w:val="380"/>
        </w:trPr>
        <w:tc>
          <w:tcPr>
            <w:tcW w:w="680" w:type="dxa"/>
            <w:tcBorders>
              <w:top w:val="nil"/>
              <w:left w:val="nil"/>
              <w:bottom w:val="nil"/>
              <w:right w:val="nil"/>
            </w:tcBorders>
            <w:tcMar>
              <w:top w:w="128" w:type="dxa"/>
              <w:left w:w="43" w:type="dxa"/>
              <w:bottom w:w="43" w:type="dxa"/>
              <w:right w:w="123" w:type="dxa"/>
            </w:tcMar>
          </w:tcPr>
          <w:p w14:paraId="60BD078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ED5CD8F"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7B3BBDCA" w14:textId="77777777" w:rsidR="000A2A2B" w:rsidRPr="007C3060" w:rsidRDefault="000A2A2B" w:rsidP="007C3060">
            <w:r w:rsidRPr="007C3060">
              <w:t>Gebyrinntekter tinglysing, forhøyes med</w:t>
            </w:r>
          </w:p>
        </w:tc>
        <w:tc>
          <w:tcPr>
            <w:tcW w:w="1580" w:type="dxa"/>
            <w:tcBorders>
              <w:top w:val="nil"/>
              <w:left w:val="nil"/>
              <w:bottom w:val="nil"/>
              <w:right w:val="nil"/>
            </w:tcBorders>
            <w:tcMar>
              <w:top w:w="128" w:type="dxa"/>
              <w:left w:w="43" w:type="dxa"/>
              <w:bottom w:w="43" w:type="dxa"/>
              <w:right w:w="43" w:type="dxa"/>
            </w:tcMar>
            <w:vAlign w:val="bottom"/>
          </w:tcPr>
          <w:p w14:paraId="3DECDC3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2C98200" w14:textId="77777777" w:rsidR="000A2A2B" w:rsidRPr="007C3060" w:rsidRDefault="000A2A2B" w:rsidP="007C3060">
            <w:r w:rsidRPr="007C3060">
              <w:t>19 300 000</w:t>
            </w:r>
          </w:p>
        </w:tc>
      </w:tr>
      <w:tr w:rsidR="004B729E" w:rsidRPr="007C3060" w14:paraId="2AB8CE37" w14:textId="77777777">
        <w:trPr>
          <w:trHeight w:val="380"/>
        </w:trPr>
        <w:tc>
          <w:tcPr>
            <w:tcW w:w="680" w:type="dxa"/>
            <w:tcBorders>
              <w:top w:val="nil"/>
              <w:left w:val="nil"/>
              <w:bottom w:val="nil"/>
              <w:right w:val="nil"/>
            </w:tcBorders>
            <w:tcMar>
              <w:top w:w="128" w:type="dxa"/>
              <w:left w:w="43" w:type="dxa"/>
              <w:bottom w:w="43" w:type="dxa"/>
              <w:right w:w="123" w:type="dxa"/>
            </w:tcMar>
          </w:tcPr>
          <w:p w14:paraId="085926A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F2BF429"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3442A488" w14:textId="77777777" w:rsidR="000A2A2B" w:rsidRPr="007C3060" w:rsidRDefault="000A2A2B" w:rsidP="007C3060">
            <w:r w:rsidRPr="007C3060">
              <w:t>fra kr 464 700 000 til kr 484 000 000</w:t>
            </w:r>
          </w:p>
        </w:tc>
        <w:tc>
          <w:tcPr>
            <w:tcW w:w="1580" w:type="dxa"/>
            <w:tcBorders>
              <w:top w:val="nil"/>
              <w:left w:val="nil"/>
              <w:bottom w:val="nil"/>
              <w:right w:val="nil"/>
            </w:tcBorders>
            <w:tcMar>
              <w:top w:w="128" w:type="dxa"/>
              <w:left w:w="43" w:type="dxa"/>
              <w:bottom w:w="43" w:type="dxa"/>
              <w:right w:w="43" w:type="dxa"/>
            </w:tcMar>
            <w:vAlign w:val="bottom"/>
          </w:tcPr>
          <w:p w14:paraId="7BAED4D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D290BDB" w14:textId="77777777" w:rsidR="000A2A2B" w:rsidRPr="007C3060" w:rsidRDefault="000A2A2B" w:rsidP="007C3060"/>
        </w:tc>
      </w:tr>
      <w:tr w:rsidR="004B729E" w:rsidRPr="007C3060" w14:paraId="4A7198F1" w14:textId="77777777">
        <w:trPr>
          <w:trHeight w:val="380"/>
        </w:trPr>
        <w:tc>
          <w:tcPr>
            <w:tcW w:w="680" w:type="dxa"/>
            <w:tcBorders>
              <w:top w:val="nil"/>
              <w:left w:val="nil"/>
              <w:bottom w:val="nil"/>
              <w:right w:val="nil"/>
            </w:tcBorders>
            <w:tcMar>
              <w:top w:w="128" w:type="dxa"/>
              <w:left w:w="43" w:type="dxa"/>
              <w:bottom w:w="43" w:type="dxa"/>
              <w:right w:w="123" w:type="dxa"/>
            </w:tcMar>
          </w:tcPr>
          <w:p w14:paraId="0ECBDEFD"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E363C91" w14:textId="77777777" w:rsidR="000A2A2B" w:rsidRPr="007C3060" w:rsidRDefault="000A2A2B" w:rsidP="007C3060">
            <w:r w:rsidRPr="007C3060">
              <w:t>2</w:t>
            </w:r>
          </w:p>
        </w:tc>
        <w:tc>
          <w:tcPr>
            <w:tcW w:w="5040" w:type="dxa"/>
            <w:tcBorders>
              <w:top w:val="nil"/>
              <w:left w:val="nil"/>
              <w:bottom w:val="nil"/>
              <w:right w:val="nil"/>
            </w:tcBorders>
            <w:tcMar>
              <w:top w:w="128" w:type="dxa"/>
              <w:left w:w="43" w:type="dxa"/>
              <w:bottom w:w="43" w:type="dxa"/>
              <w:right w:w="43" w:type="dxa"/>
            </w:tcMar>
            <w:vAlign w:val="bottom"/>
          </w:tcPr>
          <w:p w14:paraId="41BE6A68" w14:textId="77777777" w:rsidR="000A2A2B" w:rsidRPr="007C3060" w:rsidRDefault="000A2A2B" w:rsidP="007C3060">
            <w:r w:rsidRPr="007C3060">
              <w:t>Salg og abonnement m.m., forhøyes med</w:t>
            </w:r>
          </w:p>
        </w:tc>
        <w:tc>
          <w:tcPr>
            <w:tcW w:w="1580" w:type="dxa"/>
            <w:tcBorders>
              <w:top w:val="nil"/>
              <w:left w:val="nil"/>
              <w:bottom w:val="nil"/>
              <w:right w:val="nil"/>
            </w:tcBorders>
            <w:tcMar>
              <w:top w:w="128" w:type="dxa"/>
              <w:left w:w="43" w:type="dxa"/>
              <w:bottom w:w="43" w:type="dxa"/>
              <w:right w:w="43" w:type="dxa"/>
            </w:tcMar>
            <w:vAlign w:val="bottom"/>
          </w:tcPr>
          <w:p w14:paraId="4104E88E"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45A6214" w14:textId="77777777" w:rsidR="000A2A2B" w:rsidRPr="007C3060" w:rsidRDefault="000A2A2B" w:rsidP="007C3060">
            <w:r w:rsidRPr="007C3060">
              <w:t>21 287 000</w:t>
            </w:r>
          </w:p>
        </w:tc>
      </w:tr>
      <w:tr w:rsidR="004B729E" w:rsidRPr="007C3060" w14:paraId="79D44050" w14:textId="77777777">
        <w:trPr>
          <w:trHeight w:val="380"/>
        </w:trPr>
        <w:tc>
          <w:tcPr>
            <w:tcW w:w="680" w:type="dxa"/>
            <w:tcBorders>
              <w:top w:val="nil"/>
              <w:left w:val="nil"/>
              <w:bottom w:val="nil"/>
              <w:right w:val="nil"/>
            </w:tcBorders>
            <w:tcMar>
              <w:top w:w="128" w:type="dxa"/>
              <w:left w:w="43" w:type="dxa"/>
              <w:bottom w:w="43" w:type="dxa"/>
              <w:right w:w="123" w:type="dxa"/>
            </w:tcMar>
          </w:tcPr>
          <w:p w14:paraId="0305432D"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BEEBEDB"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11CC988" w14:textId="77777777" w:rsidR="000A2A2B" w:rsidRPr="007C3060" w:rsidRDefault="000A2A2B" w:rsidP="007C3060">
            <w:r w:rsidRPr="007C3060">
              <w:t>fra kr 168 074 000 til kr 189 361 000</w:t>
            </w:r>
          </w:p>
        </w:tc>
        <w:tc>
          <w:tcPr>
            <w:tcW w:w="1580" w:type="dxa"/>
            <w:tcBorders>
              <w:top w:val="nil"/>
              <w:left w:val="nil"/>
              <w:bottom w:val="nil"/>
              <w:right w:val="nil"/>
            </w:tcBorders>
            <w:tcMar>
              <w:top w:w="128" w:type="dxa"/>
              <w:left w:w="43" w:type="dxa"/>
              <w:bottom w:w="43" w:type="dxa"/>
              <w:right w:w="43" w:type="dxa"/>
            </w:tcMar>
            <w:vAlign w:val="bottom"/>
          </w:tcPr>
          <w:p w14:paraId="186C1517"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571CD0E" w14:textId="77777777" w:rsidR="000A2A2B" w:rsidRPr="007C3060" w:rsidRDefault="000A2A2B" w:rsidP="007C3060"/>
        </w:tc>
      </w:tr>
      <w:tr w:rsidR="004B729E" w:rsidRPr="007C3060" w14:paraId="4636487F" w14:textId="77777777">
        <w:trPr>
          <w:trHeight w:val="380"/>
        </w:trPr>
        <w:tc>
          <w:tcPr>
            <w:tcW w:w="680" w:type="dxa"/>
            <w:tcBorders>
              <w:top w:val="nil"/>
              <w:left w:val="nil"/>
              <w:bottom w:val="nil"/>
              <w:right w:val="nil"/>
            </w:tcBorders>
            <w:tcMar>
              <w:top w:w="128" w:type="dxa"/>
              <w:left w:w="43" w:type="dxa"/>
              <w:bottom w:w="43" w:type="dxa"/>
              <w:right w:w="123" w:type="dxa"/>
            </w:tcMar>
          </w:tcPr>
          <w:p w14:paraId="5EB44009" w14:textId="77777777" w:rsidR="000A2A2B" w:rsidRPr="007C3060" w:rsidRDefault="000A2A2B" w:rsidP="007C3060">
            <w:r w:rsidRPr="007C3060">
              <w:t>3605</w:t>
            </w:r>
          </w:p>
        </w:tc>
        <w:tc>
          <w:tcPr>
            <w:tcW w:w="680" w:type="dxa"/>
            <w:tcBorders>
              <w:top w:val="nil"/>
              <w:left w:val="nil"/>
              <w:bottom w:val="nil"/>
              <w:right w:val="nil"/>
            </w:tcBorders>
            <w:tcMar>
              <w:top w:w="128" w:type="dxa"/>
              <w:left w:w="43" w:type="dxa"/>
              <w:bottom w:w="43" w:type="dxa"/>
              <w:right w:w="123" w:type="dxa"/>
            </w:tcMar>
            <w:vAlign w:val="bottom"/>
          </w:tcPr>
          <w:p w14:paraId="44098697"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3C7D2938" w14:textId="77777777" w:rsidR="000A2A2B" w:rsidRPr="007C3060" w:rsidRDefault="000A2A2B" w:rsidP="007C3060">
            <w:r w:rsidRPr="007C3060">
              <w:t>Arbeids- og velferdsetaten:</w:t>
            </w:r>
          </w:p>
        </w:tc>
        <w:tc>
          <w:tcPr>
            <w:tcW w:w="1580" w:type="dxa"/>
            <w:tcBorders>
              <w:top w:val="nil"/>
              <w:left w:val="nil"/>
              <w:bottom w:val="nil"/>
              <w:right w:val="nil"/>
            </w:tcBorders>
            <w:tcMar>
              <w:top w:w="128" w:type="dxa"/>
              <w:left w:w="43" w:type="dxa"/>
              <w:bottom w:w="43" w:type="dxa"/>
              <w:right w:w="43" w:type="dxa"/>
            </w:tcMar>
            <w:vAlign w:val="bottom"/>
          </w:tcPr>
          <w:p w14:paraId="28A3256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5DFCFDF" w14:textId="77777777" w:rsidR="000A2A2B" w:rsidRPr="007C3060" w:rsidRDefault="000A2A2B" w:rsidP="007C3060"/>
        </w:tc>
      </w:tr>
      <w:tr w:rsidR="004B729E" w:rsidRPr="007C3060" w14:paraId="698D7AEA" w14:textId="77777777">
        <w:trPr>
          <w:trHeight w:val="380"/>
        </w:trPr>
        <w:tc>
          <w:tcPr>
            <w:tcW w:w="680" w:type="dxa"/>
            <w:tcBorders>
              <w:top w:val="nil"/>
              <w:left w:val="nil"/>
              <w:bottom w:val="nil"/>
              <w:right w:val="nil"/>
            </w:tcBorders>
            <w:tcMar>
              <w:top w:w="128" w:type="dxa"/>
              <w:left w:w="43" w:type="dxa"/>
              <w:bottom w:w="43" w:type="dxa"/>
              <w:right w:w="123" w:type="dxa"/>
            </w:tcMar>
          </w:tcPr>
          <w:p w14:paraId="2B88099A"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CE52E24"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1F27E2B6" w14:textId="77777777" w:rsidR="000A2A2B" w:rsidRPr="007C3060" w:rsidRDefault="000A2A2B" w:rsidP="007C3060">
            <w:r w:rsidRPr="007C3060">
              <w:t>Administrasjonsvederlag, nedsettes med</w:t>
            </w:r>
          </w:p>
        </w:tc>
        <w:tc>
          <w:tcPr>
            <w:tcW w:w="1580" w:type="dxa"/>
            <w:tcBorders>
              <w:top w:val="nil"/>
              <w:left w:val="nil"/>
              <w:bottom w:val="nil"/>
              <w:right w:val="nil"/>
            </w:tcBorders>
            <w:tcMar>
              <w:top w:w="128" w:type="dxa"/>
              <w:left w:w="43" w:type="dxa"/>
              <w:bottom w:w="43" w:type="dxa"/>
              <w:right w:w="43" w:type="dxa"/>
            </w:tcMar>
            <w:vAlign w:val="bottom"/>
          </w:tcPr>
          <w:p w14:paraId="58312C7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183D4F4" w14:textId="77777777" w:rsidR="000A2A2B" w:rsidRPr="007C3060" w:rsidRDefault="000A2A2B" w:rsidP="007C3060">
            <w:r w:rsidRPr="007C3060">
              <w:t>2 600 000</w:t>
            </w:r>
          </w:p>
        </w:tc>
      </w:tr>
      <w:tr w:rsidR="004B729E" w:rsidRPr="007C3060" w14:paraId="546F08B1" w14:textId="77777777">
        <w:trPr>
          <w:trHeight w:val="380"/>
        </w:trPr>
        <w:tc>
          <w:tcPr>
            <w:tcW w:w="680" w:type="dxa"/>
            <w:tcBorders>
              <w:top w:val="nil"/>
              <w:left w:val="nil"/>
              <w:bottom w:val="nil"/>
              <w:right w:val="nil"/>
            </w:tcBorders>
            <w:tcMar>
              <w:top w:w="128" w:type="dxa"/>
              <w:left w:w="43" w:type="dxa"/>
              <w:bottom w:w="43" w:type="dxa"/>
              <w:right w:w="123" w:type="dxa"/>
            </w:tcMar>
          </w:tcPr>
          <w:p w14:paraId="73B160F6"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6E1A42A"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963E78D" w14:textId="77777777" w:rsidR="000A2A2B" w:rsidRPr="007C3060" w:rsidRDefault="000A2A2B" w:rsidP="007C3060">
            <w:r w:rsidRPr="007C3060">
              <w:t>fra kr 11 481 000 til kr 8 881 000</w:t>
            </w:r>
          </w:p>
        </w:tc>
        <w:tc>
          <w:tcPr>
            <w:tcW w:w="1580" w:type="dxa"/>
            <w:tcBorders>
              <w:top w:val="nil"/>
              <w:left w:val="nil"/>
              <w:bottom w:val="nil"/>
              <w:right w:val="nil"/>
            </w:tcBorders>
            <w:tcMar>
              <w:top w:w="128" w:type="dxa"/>
              <w:left w:w="43" w:type="dxa"/>
              <w:bottom w:w="43" w:type="dxa"/>
              <w:right w:w="43" w:type="dxa"/>
            </w:tcMar>
            <w:vAlign w:val="bottom"/>
          </w:tcPr>
          <w:p w14:paraId="18B6F5A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DFAAA96" w14:textId="77777777" w:rsidR="000A2A2B" w:rsidRPr="007C3060" w:rsidRDefault="000A2A2B" w:rsidP="007C3060"/>
        </w:tc>
      </w:tr>
      <w:tr w:rsidR="004B729E" w:rsidRPr="007C3060" w14:paraId="0239AA70" w14:textId="77777777">
        <w:trPr>
          <w:trHeight w:val="380"/>
        </w:trPr>
        <w:tc>
          <w:tcPr>
            <w:tcW w:w="680" w:type="dxa"/>
            <w:tcBorders>
              <w:top w:val="nil"/>
              <w:left w:val="nil"/>
              <w:bottom w:val="nil"/>
              <w:right w:val="nil"/>
            </w:tcBorders>
            <w:tcMar>
              <w:top w:w="128" w:type="dxa"/>
              <w:left w:w="43" w:type="dxa"/>
              <w:bottom w:w="43" w:type="dxa"/>
              <w:right w:w="123" w:type="dxa"/>
            </w:tcMar>
          </w:tcPr>
          <w:p w14:paraId="42AD6417" w14:textId="77777777" w:rsidR="000A2A2B" w:rsidRPr="007C3060" w:rsidRDefault="000A2A2B" w:rsidP="007C3060">
            <w:r w:rsidRPr="007C3060">
              <w:t>3634</w:t>
            </w:r>
          </w:p>
        </w:tc>
        <w:tc>
          <w:tcPr>
            <w:tcW w:w="680" w:type="dxa"/>
            <w:tcBorders>
              <w:top w:val="nil"/>
              <w:left w:val="nil"/>
              <w:bottom w:val="nil"/>
              <w:right w:val="nil"/>
            </w:tcBorders>
            <w:tcMar>
              <w:top w:w="128" w:type="dxa"/>
              <w:left w:w="43" w:type="dxa"/>
              <w:bottom w:w="43" w:type="dxa"/>
              <w:right w:w="123" w:type="dxa"/>
            </w:tcMar>
            <w:vAlign w:val="bottom"/>
          </w:tcPr>
          <w:p w14:paraId="10E58E84"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1990E5B" w14:textId="77777777" w:rsidR="000A2A2B" w:rsidRPr="007C3060" w:rsidRDefault="000A2A2B" w:rsidP="007C3060">
            <w:r w:rsidRPr="007C3060">
              <w:t>Arbeidsmarkedstiltak:</w:t>
            </w:r>
          </w:p>
        </w:tc>
        <w:tc>
          <w:tcPr>
            <w:tcW w:w="1580" w:type="dxa"/>
            <w:tcBorders>
              <w:top w:val="nil"/>
              <w:left w:val="nil"/>
              <w:bottom w:val="nil"/>
              <w:right w:val="nil"/>
            </w:tcBorders>
            <w:tcMar>
              <w:top w:w="128" w:type="dxa"/>
              <w:left w:w="43" w:type="dxa"/>
              <w:bottom w:w="43" w:type="dxa"/>
              <w:right w:w="43" w:type="dxa"/>
            </w:tcMar>
            <w:vAlign w:val="bottom"/>
          </w:tcPr>
          <w:p w14:paraId="77C89FE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6AC7CB9" w14:textId="77777777" w:rsidR="000A2A2B" w:rsidRPr="007C3060" w:rsidRDefault="000A2A2B" w:rsidP="007C3060"/>
        </w:tc>
      </w:tr>
      <w:tr w:rsidR="004B729E" w:rsidRPr="007C3060" w14:paraId="1ED49934" w14:textId="77777777">
        <w:trPr>
          <w:trHeight w:val="380"/>
        </w:trPr>
        <w:tc>
          <w:tcPr>
            <w:tcW w:w="680" w:type="dxa"/>
            <w:tcBorders>
              <w:top w:val="nil"/>
              <w:left w:val="nil"/>
              <w:bottom w:val="nil"/>
              <w:right w:val="nil"/>
            </w:tcBorders>
            <w:tcMar>
              <w:top w:w="128" w:type="dxa"/>
              <w:left w:w="43" w:type="dxa"/>
              <w:bottom w:w="43" w:type="dxa"/>
              <w:right w:w="123" w:type="dxa"/>
            </w:tcMar>
          </w:tcPr>
          <w:p w14:paraId="794C4D5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F4128AD" w14:textId="77777777" w:rsidR="000A2A2B" w:rsidRPr="007C3060" w:rsidRDefault="000A2A2B" w:rsidP="007C3060">
            <w:r w:rsidRPr="007C3060">
              <w:t>85</w:t>
            </w:r>
          </w:p>
        </w:tc>
        <w:tc>
          <w:tcPr>
            <w:tcW w:w="6620" w:type="dxa"/>
            <w:gridSpan w:val="2"/>
            <w:tcBorders>
              <w:top w:val="nil"/>
              <w:left w:val="nil"/>
              <w:bottom w:val="nil"/>
              <w:right w:val="nil"/>
            </w:tcBorders>
            <w:tcMar>
              <w:top w:w="128" w:type="dxa"/>
              <w:left w:w="43" w:type="dxa"/>
              <w:bottom w:w="43" w:type="dxa"/>
              <w:right w:w="43" w:type="dxa"/>
            </w:tcMar>
            <w:vAlign w:val="bottom"/>
          </w:tcPr>
          <w:p w14:paraId="01C26CAA" w14:textId="77777777" w:rsidR="000A2A2B" w:rsidRPr="007C3060" w:rsidRDefault="000A2A2B" w:rsidP="007C3060">
            <w:r w:rsidRPr="007C3060">
              <w:t>Innfordring av feilutbetalinger, arbeidsmarkedstiltak, nedsettes med</w:t>
            </w:r>
          </w:p>
        </w:tc>
        <w:tc>
          <w:tcPr>
            <w:tcW w:w="1580" w:type="dxa"/>
            <w:tcBorders>
              <w:top w:val="nil"/>
              <w:left w:val="nil"/>
              <w:bottom w:val="nil"/>
              <w:right w:val="nil"/>
            </w:tcBorders>
            <w:tcMar>
              <w:top w:w="128" w:type="dxa"/>
              <w:left w:w="43" w:type="dxa"/>
              <w:bottom w:w="43" w:type="dxa"/>
              <w:right w:w="43" w:type="dxa"/>
            </w:tcMar>
            <w:vAlign w:val="bottom"/>
          </w:tcPr>
          <w:p w14:paraId="1ACF53F5" w14:textId="77777777" w:rsidR="000A2A2B" w:rsidRPr="007C3060" w:rsidRDefault="000A2A2B" w:rsidP="007C3060">
            <w:r w:rsidRPr="007C3060">
              <w:t>5 000 000</w:t>
            </w:r>
          </w:p>
        </w:tc>
      </w:tr>
      <w:tr w:rsidR="004B729E" w:rsidRPr="007C3060" w14:paraId="55ABB971" w14:textId="77777777">
        <w:trPr>
          <w:trHeight w:val="380"/>
        </w:trPr>
        <w:tc>
          <w:tcPr>
            <w:tcW w:w="680" w:type="dxa"/>
            <w:tcBorders>
              <w:top w:val="nil"/>
              <w:left w:val="nil"/>
              <w:bottom w:val="nil"/>
              <w:right w:val="nil"/>
            </w:tcBorders>
            <w:tcMar>
              <w:top w:w="128" w:type="dxa"/>
              <w:left w:w="43" w:type="dxa"/>
              <w:bottom w:w="43" w:type="dxa"/>
              <w:right w:w="123" w:type="dxa"/>
            </w:tcMar>
          </w:tcPr>
          <w:p w14:paraId="5D06170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DAEA87C"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0826C52" w14:textId="77777777" w:rsidR="000A2A2B" w:rsidRPr="007C3060" w:rsidRDefault="000A2A2B" w:rsidP="007C3060">
            <w:r w:rsidRPr="007C3060">
              <w:t>fra kr 5 000 000 til kr 0</w:t>
            </w:r>
          </w:p>
        </w:tc>
        <w:tc>
          <w:tcPr>
            <w:tcW w:w="1580" w:type="dxa"/>
            <w:tcBorders>
              <w:top w:val="nil"/>
              <w:left w:val="nil"/>
              <w:bottom w:val="nil"/>
              <w:right w:val="nil"/>
            </w:tcBorders>
            <w:tcMar>
              <w:top w:w="128" w:type="dxa"/>
              <w:left w:w="43" w:type="dxa"/>
              <w:bottom w:w="43" w:type="dxa"/>
              <w:right w:w="43" w:type="dxa"/>
            </w:tcMar>
            <w:vAlign w:val="bottom"/>
          </w:tcPr>
          <w:p w14:paraId="6682665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39E2986" w14:textId="77777777" w:rsidR="000A2A2B" w:rsidRPr="007C3060" w:rsidRDefault="000A2A2B" w:rsidP="007C3060"/>
        </w:tc>
      </w:tr>
      <w:tr w:rsidR="004B729E" w:rsidRPr="007C3060" w14:paraId="355A8A7C" w14:textId="77777777">
        <w:trPr>
          <w:trHeight w:val="380"/>
        </w:trPr>
        <w:tc>
          <w:tcPr>
            <w:tcW w:w="680" w:type="dxa"/>
            <w:tcBorders>
              <w:top w:val="nil"/>
              <w:left w:val="nil"/>
              <w:bottom w:val="nil"/>
              <w:right w:val="nil"/>
            </w:tcBorders>
            <w:tcMar>
              <w:top w:w="128" w:type="dxa"/>
              <w:left w:w="43" w:type="dxa"/>
              <w:bottom w:w="43" w:type="dxa"/>
              <w:right w:w="123" w:type="dxa"/>
            </w:tcMar>
          </w:tcPr>
          <w:p w14:paraId="37F613FF" w14:textId="77777777" w:rsidR="000A2A2B" w:rsidRPr="007C3060" w:rsidRDefault="000A2A2B" w:rsidP="007C3060">
            <w:r w:rsidRPr="007C3060">
              <w:t>3635</w:t>
            </w:r>
          </w:p>
        </w:tc>
        <w:tc>
          <w:tcPr>
            <w:tcW w:w="680" w:type="dxa"/>
            <w:tcBorders>
              <w:top w:val="nil"/>
              <w:left w:val="nil"/>
              <w:bottom w:val="nil"/>
              <w:right w:val="nil"/>
            </w:tcBorders>
            <w:tcMar>
              <w:top w:w="128" w:type="dxa"/>
              <w:left w:w="43" w:type="dxa"/>
              <w:bottom w:w="43" w:type="dxa"/>
              <w:right w:w="123" w:type="dxa"/>
            </w:tcMar>
            <w:vAlign w:val="bottom"/>
          </w:tcPr>
          <w:p w14:paraId="7669DF59"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6AA3EA2" w14:textId="77777777" w:rsidR="000A2A2B" w:rsidRPr="007C3060" w:rsidRDefault="000A2A2B" w:rsidP="007C3060">
            <w:r w:rsidRPr="007C3060">
              <w:t>Ventelønn mv.:</w:t>
            </w:r>
          </w:p>
        </w:tc>
        <w:tc>
          <w:tcPr>
            <w:tcW w:w="1580" w:type="dxa"/>
            <w:tcBorders>
              <w:top w:val="nil"/>
              <w:left w:val="nil"/>
              <w:bottom w:val="nil"/>
              <w:right w:val="nil"/>
            </w:tcBorders>
            <w:tcMar>
              <w:top w:w="128" w:type="dxa"/>
              <w:left w:w="43" w:type="dxa"/>
              <w:bottom w:w="43" w:type="dxa"/>
              <w:right w:w="43" w:type="dxa"/>
            </w:tcMar>
            <w:vAlign w:val="bottom"/>
          </w:tcPr>
          <w:p w14:paraId="5C31BCDE"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B277FB0" w14:textId="77777777" w:rsidR="000A2A2B" w:rsidRPr="007C3060" w:rsidRDefault="000A2A2B" w:rsidP="007C3060"/>
        </w:tc>
      </w:tr>
      <w:tr w:rsidR="004B729E" w:rsidRPr="007C3060" w14:paraId="2442E8E2" w14:textId="77777777">
        <w:trPr>
          <w:trHeight w:val="380"/>
        </w:trPr>
        <w:tc>
          <w:tcPr>
            <w:tcW w:w="680" w:type="dxa"/>
            <w:tcBorders>
              <w:top w:val="nil"/>
              <w:left w:val="nil"/>
              <w:bottom w:val="nil"/>
              <w:right w:val="nil"/>
            </w:tcBorders>
            <w:tcMar>
              <w:top w:w="128" w:type="dxa"/>
              <w:left w:w="43" w:type="dxa"/>
              <w:bottom w:w="43" w:type="dxa"/>
              <w:right w:w="123" w:type="dxa"/>
            </w:tcMar>
          </w:tcPr>
          <w:p w14:paraId="6D7F8126"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F8A814B"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0F8F0911" w14:textId="77777777" w:rsidR="000A2A2B" w:rsidRPr="007C3060" w:rsidRDefault="000A2A2B" w:rsidP="007C3060">
            <w:r w:rsidRPr="007C3060">
              <w:t>Refusjon statlig virksomhet mv., forhøyes med</w:t>
            </w:r>
          </w:p>
        </w:tc>
        <w:tc>
          <w:tcPr>
            <w:tcW w:w="1580" w:type="dxa"/>
            <w:tcBorders>
              <w:top w:val="nil"/>
              <w:left w:val="nil"/>
              <w:bottom w:val="nil"/>
              <w:right w:val="nil"/>
            </w:tcBorders>
            <w:tcMar>
              <w:top w:w="128" w:type="dxa"/>
              <w:left w:w="43" w:type="dxa"/>
              <w:bottom w:w="43" w:type="dxa"/>
              <w:right w:w="43" w:type="dxa"/>
            </w:tcMar>
            <w:vAlign w:val="bottom"/>
          </w:tcPr>
          <w:p w14:paraId="7D5B9D7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EB44189" w14:textId="77777777" w:rsidR="000A2A2B" w:rsidRPr="007C3060" w:rsidRDefault="000A2A2B" w:rsidP="007C3060">
            <w:r w:rsidRPr="007C3060">
              <w:t>80 000</w:t>
            </w:r>
          </w:p>
        </w:tc>
      </w:tr>
      <w:tr w:rsidR="004B729E" w:rsidRPr="007C3060" w14:paraId="4EC6F8B0" w14:textId="77777777">
        <w:trPr>
          <w:trHeight w:val="380"/>
        </w:trPr>
        <w:tc>
          <w:tcPr>
            <w:tcW w:w="680" w:type="dxa"/>
            <w:tcBorders>
              <w:top w:val="nil"/>
              <w:left w:val="nil"/>
              <w:bottom w:val="nil"/>
              <w:right w:val="nil"/>
            </w:tcBorders>
            <w:tcMar>
              <w:top w:w="128" w:type="dxa"/>
              <w:left w:w="43" w:type="dxa"/>
              <w:bottom w:w="43" w:type="dxa"/>
              <w:right w:w="123" w:type="dxa"/>
            </w:tcMar>
          </w:tcPr>
          <w:p w14:paraId="35ECDDD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B07AD11"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08739D8" w14:textId="77777777" w:rsidR="000A2A2B" w:rsidRPr="007C3060" w:rsidRDefault="000A2A2B" w:rsidP="007C3060">
            <w:r w:rsidRPr="007C3060">
              <w:t>fra kr 100 000 til kr 180 000</w:t>
            </w:r>
          </w:p>
        </w:tc>
        <w:tc>
          <w:tcPr>
            <w:tcW w:w="1580" w:type="dxa"/>
            <w:tcBorders>
              <w:top w:val="nil"/>
              <w:left w:val="nil"/>
              <w:bottom w:val="nil"/>
              <w:right w:val="nil"/>
            </w:tcBorders>
            <w:tcMar>
              <w:top w:w="128" w:type="dxa"/>
              <w:left w:w="43" w:type="dxa"/>
              <w:bottom w:w="43" w:type="dxa"/>
              <w:right w:w="43" w:type="dxa"/>
            </w:tcMar>
            <w:vAlign w:val="bottom"/>
          </w:tcPr>
          <w:p w14:paraId="6EC2F70C"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88C708F" w14:textId="77777777" w:rsidR="000A2A2B" w:rsidRPr="007C3060" w:rsidRDefault="000A2A2B" w:rsidP="007C3060"/>
        </w:tc>
      </w:tr>
      <w:tr w:rsidR="004B729E" w:rsidRPr="007C3060" w14:paraId="7F805CD2" w14:textId="77777777">
        <w:trPr>
          <w:trHeight w:val="640"/>
        </w:trPr>
        <w:tc>
          <w:tcPr>
            <w:tcW w:w="680" w:type="dxa"/>
            <w:tcBorders>
              <w:top w:val="nil"/>
              <w:left w:val="nil"/>
              <w:bottom w:val="nil"/>
              <w:right w:val="nil"/>
            </w:tcBorders>
            <w:tcMar>
              <w:top w:w="128" w:type="dxa"/>
              <w:left w:w="43" w:type="dxa"/>
              <w:bottom w:w="43" w:type="dxa"/>
              <w:right w:w="123" w:type="dxa"/>
            </w:tcMar>
          </w:tcPr>
          <w:p w14:paraId="423F5081" w14:textId="77777777" w:rsidR="000A2A2B" w:rsidRPr="007C3060" w:rsidRDefault="000A2A2B" w:rsidP="007C3060">
            <w:r w:rsidRPr="007C3060">
              <w:t>3672</w:t>
            </w:r>
          </w:p>
        </w:tc>
        <w:tc>
          <w:tcPr>
            <w:tcW w:w="680" w:type="dxa"/>
            <w:tcBorders>
              <w:top w:val="nil"/>
              <w:left w:val="nil"/>
              <w:bottom w:val="nil"/>
              <w:right w:val="nil"/>
            </w:tcBorders>
            <w:tcMar>
              <w:top w:w="128" w:type="dxa"/>
              <w:left w:w="43" w:type="dxa"/>
              <w:bottom w:w="43" w:type="dxa"/>
              <w:right w:w="123" w:type="dxa"/>
            </w:tcMar>
            <w:vAlign w:val="bottom"/>
          </w:tcPr>
          <w:p w14:paraId="1200332B"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CB7A4FB" w14:textId="77777777" w:rsidR="000A2A2B" w:rsidRPr="007C3060" w:rsidRDefault="000A2A2B" w:rsidP="007C3060">
            <w:r w:rsidRPr="007C3060">
              <w:t>Opplæring i norsk og samfunnskunnskap for voksne innvandrere:</w:t>
            </w:r>
          </w:p>
        </w:tc>
        <w:tc>
          <w:tcPr>
            <w:tcW w:w="1580" w:type="dxa"/>
            <w:tcBorders>
              <w:top w:val="nil"/>
              <w:left w:val="nil"/>
              <w:bottom w:val="nil"/>
              <w:right w:val="nil"/>
            </w:tcBorders>
            <w:tcMar>
              <w:top w:w="128" w:type="dxa"/>
              <w:left w:w="43" w:type="dxa"/>
              <w:bottom w:w="43" w:type="dxa"/>
              <w:right w:w="43" w:type="dxa"/>
            </w:tcMar>
            <w:vAlign w:val="bottom"/>
          </w:tcPr>
          <w:p w14:paraId="1C40F90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39ED5E5" w14:textId="77777777" w:rsidR="000A2A2B" w:rsidRPr="007C3060" w:rsidRDefault="000A2A2B" w:rsidP="007C3060"/>
        </w:tc>
      </w:tr>
      <w:tr w:rsidR="004B729E" w:rsidRPr="007C3060" w14:paraId="46413B65" w14:textId="77777777">
        <w:trPr>
          <w:trHeight w:val="380"/>
        </w:trPr>
        <w:tc>
          <w:tcPr>
            <w:tcW w:w="680" w:type="dxa"/>
            <w:tcBorders>
              <w:top w:val="nil"/>
              <w:left w:val="nil"/>
              <w:bottom w:val="nil"/>
              <w:right w:val="nil"/>
            </w:tcBorders>
            <w:tcMar>
              <w:top w:w="128" w:type="dxa"/>
              <w:left w:w="43" w:type="dxa"/>
              <w:bottom w:w="43" w:type="dxa"/>
              <w:right w:w="123" w:type="dxa"/>
            </w:tcMar>
          </w:tcPr>
          <w:p w14:paraId="7A75F20D"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9D3D00A" w14:textId="77777777" w:rsidR="000A2A2B" w:rsidRPr="007C3060" w:rsidRDefault="000A2A2B" w:rsidP="007C3060">
            <w:r w:rsidRPr="007C3060">
              <w:t>1</w:t>
            </w:r>
          </w:p>
        </w:tc>
        <w:tc>
          <w:tcPr>
            <w:tcW w:w="6620" w:type="dxa"/>
            <w:gridSpan w:val="2"/>
            <w:tcBorders>
              <w:top w:val="nil"/>
              <w:left w:val="nil"/>
              <w:bottom w:val="nil"/>
              <w:right w:val="nil"/>
            </w:tcBorders>
            <w:tcMar>
              <w:top w:w="128" w:type="dxa"/>
              <w:left w:w="43" w:type="dxa"/>
              <w:bottom w:w="43" w:type="dxa"/>
              <w:right w:w="43" w:type="dxa"/>
            </w:tcMar>
            <w:vAlign w:val="bottom"/>
          </w:tcPr>
          <w:p w14:paraId="6DE0D816" w14:textId="77777777" w:rsidR="000A2A2B" w:rsidRPr="007C3060" w:rsidRDefault="000A2A2B" w:rsidP="007C3060">
            <w:r w:rsidRPr="007C3060">
              <w:t>Norskopplæring i mottak, ODA-godkjente utgifter, forhøyes med</w:t>
            </w:r>
          </w:p>
        </w:tc>
        <w:tc>
          <w:tcPr>
            <w:tcW w:w="1580" w:type="dxa"/>
            <w:tcBorders>
              <w:top w:val="nil"/>
              <w:left w:val="nil"/>
              <w:bottom w:val="nil"/>
              <w:right w:val="nil"/>
            </w:tcBorders>
            <w:tcMar>
              <w:top w:w="128" w:type="dxa"/>
              <w:left w:w="43" w:type="dxa"/>
              <w:bottom w:w="43" w:type="dxa"/>
              <w:right w:w="43" w:type="dxa"/>
            </w:tcMar>
            <w:vAlign w:val="bottom"/>
          </w:tcPr>
          <w:p w14:paraId="65CEB6A1" w14:textId="77777777" w:rsidR="000A2A2B" w:rsidRPr="007C3060" w:rsidRDefault="000A2A2B" w:rsidP="007C3060">
            <w:r w:rsidRPr="007C3060">
              <w:t>6 400 000</w:t>
            </w:r>
          </w:p>
        </w:tc>
      </w:tr>
      <w:tr w:rsidR="004B729E" w:rsidRPr="007C3060" w14:paraId="0185F0BD" w14:textId="77777777">
        <w:trPr>
          <w:trHeight w:val="380"/>
        </w:trPr>
        <w:tc>
          <w:tcPr>
            <w:tcW w:w="680" w:type="dxa"/>
            <w:tcBorders>
              <w:top w:val="nil"/>
              <w:left w:val="nil"/>
              <w:bottom w:val="nil"/>
              <w:right w:val="nil"/>
            </w:tcBorders>
            <w:tcMar>
              <w:top w:w="128" w:type="dxa"/>
              <w:left w:w="43" w:type="dxa"/>
              <w:bottom w:w="43" w:type="dxa"/>
              <w:right w:w="123" w:type="dxa"/>
            </w:tcMar>
          </w:tcPr>
          <w:p w14:paraId="4F9063AA"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14C3FA8"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532F423" w14:textId="77777777" w:rsidR="000A2A2B" w:rsidRPr="007C3060" w:rsidRDefault="000A2A2B" w:rsidP="007C3060">
            <w:r w:rsidRPr="007C3060">
              <w:t>fra kr 68 726 000 til kr 75 126 000</w:t>
            </w:r>
          </w:p>
        </w:tc>
        <w:tc>
          <w:tcPr>
            <w:tcW w:w="1580" w:type="dxa"/>
            <w:tcBorders>
              <w:top w:val="nil"/>
              <w:left w:val="nil"/>
              <w:bottom w:val="nil"/>
              <w:right w:val="nil"/>
            </w:tcBorders>
            <w:tcMar>
              <w:top w:w="128" w:type="dxa"/>
              <w:left w:w="43" w:type="dxa"/>
              <w:bottom w:w="43" w:type="dxa"/>
              <w:right w:w="43" w:type="dxa"/>
            </w:tcMar>
            <w:vAlign w:val="bottom"/>
          </w:tcPr>
          <w:p w14:paraId="5ECCAFF7"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D877AFB" w14:textId="77777777" w:rsidR="000A2A2B" w:rsidRPr="007C3060" w:rsidRDefault="000A2A2B" w:rsidP="007C3060"/>
        </w:tc>
      </w:tr>
      <w:tr w:rsidR="004B729E" w:rsidRPr="007C3060" w14:paraId="10F4B5BA" w14:textId="77777777">
        <w:trPr>
          <w:trHeight w:val="380"/>
        </w:trPr>
        <w:tc>
          <w:tcPr>
            <w:tcW w:w="680" w:type="dxa"/>
            <w:tcBorders>
              <w:top w:val="nil"/>
              <w:left w:val="nil"/>
              <w:bottom w:val="nil"/>
              <w:right w:val="nil"/>
            </w:tcBorders>
            <w:tcMar>
              <w:top w:w="128" w:type="dxa"/>
              <w:left w:w="43" w:type="dxa"/>
              <w:bottom w:w="43" w:type="dxa"/>
              <w:right w:w="123" w:type="dxa"/>
            </w:tcMar>
          </w:tcPr>
          <w:p w14:paraId="0A713863" w14:textId="77777777" w:rsidR="000A2A2B" w:rsidRPr="007C3060" w:rsidRDefault="000A2A2B" w:rsidP="007C3060">
            <w:r w:rsidRPr="007C3060">
              <w:t>3710</w:t>
            </w:r>
          </w:p>
        </w:tc>
        <w:tc>
          <w:tcPr>
            <w:tcW w:w="680" w:type="dxa"/>
            <w:tcBorders>
              <w:top w:val="nil"/>
              <w:left w:val="nil"/>
              <w:bottom w:val="nil"/>
              <w:right w:val="nil"/>
            </w:tcBorders>
            <w:tcMar>
              <w:top w:w="128" w:type="dxa"/>
              <w:left w:w="43" w:type="dxa"/>
              <w:bottom w:w="43" w:type="dxa"/>
              <w:right w:w="123" w:type="dxa"/>
            </w:tcMar>
            <w:vAlign w:val="bottom"/>
          </w:tcPr>
          <w:p w14:paraId="348CEA82"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D0D5994" w14:textId="77777777" w:rsidR="000A2A2B" w:rsidRPr="007C3060" w:rsidRDefault="000A2A2B" w:rsidP="007C3060">
            <w:r w:rsidRPr="007C3060">
              <w:t>Vaksiner mv.:</w:t>
            </w:r>
          </w:p>
        </w:tc>
        <w:tc>
          <w:tcPr>
            <w:tcW w:w="1580" w:type="dxa"/>
            <w:tcBorders>
              <w:top w:val="nil"/>
              <w:left w:val="nil"/>
              <w:bottom w:val="nil"/>
              <w:right w:val="nil"/>
            </w:tcBorders>
            <w:tcMar>
              <w:top w:w="128" w:type="dxa"/>
              <w:left w:w="43" w:type="dxa"/>
              <w:bottom w:w="43" w:type="dxa"/>
              <w:right w:w="43" w:type="dxa"/>
            </w:tcMar>
            <w:vAlign w:val="bottom"/>
          </w:tcPr>
          <w:p w14:paraId="24324484"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77B518F" w14:textId="77777777" w:rsidR="000A2A2B" w:rsidRPr="007C3060" w:rsidRDefault="000A2A2B" w:rsidP="007C3060"/>
        </w:tc>
      </w:tr>
      <w:tr w:rsidR="004B729E" w:rsidRPr="007C3060" w14:paraId="69DF1073" w14:textId="77777777">
        <w:trPr>
          <w:trHeight w:val="380"/>
        </w:trPr>
        <w:tc>
          <w:tcPr>
            <w:tcW w:w="680" w:type="dxa"/>
            <w:tcBorders>
              <w:top w:val="nil"/>
              <w:left w:val="nil"/>
              <w:bottom w:val="nil"/>
              <w:right w:val="nil"/>
            </w:tcBorders>
            <w:tcMar>
              <w:top w:w="128" w:type="dxa"/>
              <w:left w:w="43" w:type="dxa"/>
              <w:bottom w:w="43" w:type="dxa"/>
              <w:right w:w="123" w:type="dxa"/>
            </w:tcMar>
          </w:tcPr>
          <w:p w14:paraId="16EC6967"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6945D2D" w14:textId="77777777" w:rsidR="000A2A2B" w:rsidRPr="007C3060" w:rsidRDefault="000A2A2B" w:rsidP="007C3060">
            <w:r w:rsidRPr="007C3060">
              <w:t>3</w:t>
            </w:r>
          </w:p>
        </w:tc>
        <w:tc>
          <w:tcPr>
            <w:tcW w:w="5040" w:type="dxa"/>
            <w:tcBorders>
              <w:top w:val="nil"/>
              <w:left w:val="nil"/>
              <w:bottom w:val="nil"/>
              <w:right w:val="nil"/>
            </w:tcBorders>
            <w:tcMar>
              <w:top w:w="128" w:type="dxa"/>
              <w:left w:w="43" w:type="dxa"/>
              <w:bottom w:w="43" w:type="dxa"/>
              <w:right w:w="43" w:type="dxa"/>
            </w:tcMar>
            <w:vAlign w:val="bottom"/>
          </w:tcPr>
          <w:p w14:paraId="04C74923" w14:textId="77777777" w:rsidR="000A2A2B" w:rsidRPr="007C3060" w:rsidRDefault="000A2A2B" w:rsidP="007C3060">
            <w:r w:rsidRPr="007C3060">
              <w:t>Vaksinesalg, nedsettes med</w:t>
            </w:r>
          </w:p>
        </w:tc>
        <w:tc>
          <w:tcPr>
            <w:tcW w:w="1580" w:type="dxa"/>
            <w:tcBorders>
              <w:top w:val="nil"/>
              <w:left w:val="nil"/>
              <w:bottom w:val="nil"/>
              <w:right w:val="nil"/>
            </w:tcBorders>
            <w:tcMar>
              <w:top w:w="128" w:type="dxa"/>
              <w:left w:w="43" w:type="dxa"/>
              <w:bottom w:w="43" w:type="dxa"/>
              <w:right w:w="43" w:type="dxa"/>
            </w:tcMar>
            <w:vAlign w:val="bottom"/>
          </w:tcPr>
          <w:p w14:paraId="6C4D899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5A584A8" w14:textId="77777777" w:rsidR="000A2A2B" w:rsidRPr="007C3060" w:rsidRDefault="000A2A2B" w:rsidP="007C3060">
            <w:r w:rsidRPr="007C3060">
              <w:t>48 325 000</w:t>
            </w:r>
          </w:p>
        </w:tc>
      </w:tr>
      <w:tr w:rsidR="004B729E" w:rsidRPr="007C3060" w14:paraId="7808277C" w14:textId="77777777">
        <w:trPr>
          <w:trHeight w:val="380"/>
        </w:trPr>
        <w:tc>
          <w:tcPr>
            <w:tcW w:w="680" w:type="dxa"/>
            <w:tcBorders>
              <w:top w:val="nil"/>
              <w:left w:val="nil"/>
              <w:bottom w:val="nil"/>
              <w:right w:val="nil"/>
            </w:tcBorders>
            <w:tcMar>
              <w:top w:w="128" w:type="dxa"/>
              <w:left w:w="43" w:type="dxa"/>
              <w:bottom w:w="43" w:type="dxa"/>
              <w:right w:w="123" w:type="dxa"/>
            </w:tcMar>
          </w:tcPr>
          <w:p w14:paraId="2D86E98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BB92959"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973FE3D" w14:textId="77777777" w:rsidR="000A2A2B" w:rsidRPr="007C3060" w:rsidRDefault="000A2A2B" w:rsidP="007C3060">
            <w:r w:rsidRPr="007C3060">
              <w:t>fra kr 340 486 000 til kr 292 161 000</w:t>
            </w:r>
          </w:p>
        </w:tc>
        <w:tc>
          <w:tcPr>
            <w:tcW w:w="1580" w:type="dxa"/>
            <w:tcBorders>
              <w:top w:val="nil"/>
              <w:left w:val="nil"/>
              <w:bottom w:val="nil"/>
              <w:right w:val="nil"/>
            </w:tcBorders>
            <w:tcMar>
              <w:top w:w="128" w:type="dxa"/>
              <w:left w:w="43" w:type="dxa"/>
              <w:bottom w:w="43" w:type="dxa"/>
              <w:right w:w="43" w:type="dxa"/>
            </w:tcMar>
            <w:vAlign w:val="bottom"/>
          </w:tcPr>
          <w:p w14:paraId="71ED723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D4415E1" w14:textId="77777777" w:rsidR="000A2A2B" w:rsidRPr="007C3060" w:rsidRDefault="000A2A2B" w:rsidP="007C3060"/>
        </w:tc>
      </w:tr>
      <w:tr w:rsidR="004B729E" w:rsidRPr="007C3060" w14:paraId="2EE2ED25" w14:textId="77777777">
        <w:trPr>
          <w:trHeight w:val="380"/>
        </w:trPr>
        <w:tc>
          <w:tcPr>
            <w:tcW w:w="680" w:type="dxa"/>
            <w:tcBorders>
              <w:top w:val="nil"/>
              <w:left w:val="nil"/>
              <w:bottom w:val="nil"/>
              <w:right w:val="nil"/>
            </w:tcBorders>
            <w:tcMar>
              <w:top w:w="128" w:type="dxa"/>
              <w:left w:w="43" w:type="dxa"/>
              <w:bottom w:w="43" w:type="dxa"/>
              <w:right w:w="123" w:type="dxa"/>
            </w:tcMar>
          </w:tcPr>
          <w:p w14:paraId="6BDFBC93" w14:textId="77777777" w:rsidR="000A2A2B" w:rsidRPr="007C3060" w:rsidRDefault="000A2A2B" w:rsidP="007C3060">
            <w:r w:rsidRPr="007C3060">
              <w:t>3740</w:t>
            </w:r>
          </w:p>
        </w:tc>
        <w:tc>
          <w:tcPr>
            <w:tcW w:w="680" w:type="dxa"/>
            <w:tcBorders>
              <w:top w:val="nil"/>
              <w:left w:val="nil"/>
              <w:bottom w:val="nil"/>
              <w:right w:val="nil"/>
            </w:tcBorders>
            <w:tcMar>
              <w:top w:w="128" w:type="dxa"/>
              <w:left w:w="43" w:type="dxa"/>
              <w:bottom w:w="43" w:type="dxa"/>
              <w:right w:w="123" w:type="dxa"/>
            </w:tcMar>
            <w:vAlign w:val="bottom"/>
          </w:tcPr>
          <w:p w14:paraId="01524F6A"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DBD3A4C" w14:textId="77777777" w:rsidR="000A2A2B" w:rsidRPr="007C3060" w:rsidRDefault="000A2A2B" w:rsidP="007C3060">
            <w:r w:rsidRPr="007C3060">
              <w:t>Helsedirektoratet:</w:t>
            </w:r>
          </w:p>
        </w:tc>
        <w:tc>
          <w:tcPr>
            <w:tcW w:w="1580" w:type="dxa"/>
            <w:tcBorders>
              <w:top w:val="nil"/>
              <w:left w:val="nil"/>
              <w:bottom w:val="nil"/>
              <w:right w:val="nil"/>
            </w:tcBorders>
            <w:tcMar>
              <w:top w:w="128" w:type="dxa"/>
              <w:left w:w="43" w:type="dxa"/>
              <w:bottom w:w="43" w:type="dxa"/>
              <w:right w:w="43" w:type="dxa"/>
            </w:tcMar>
            <w:vAlign w:val="bottom"/>
          </w:tcPr>
          <w:p w14:paraId="6F72569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06FDFA1" w14:textId="77777777" w:rsidR="000A2A2B" w:rsidRPr="007C3060" w:rsidRDefault="000A2A2B" w:rsidP="007C3060"/>
        </w:tc>
      </w:tr>
      <w:tr w:rsidR="004B729E" w:rsidRPr="007C3060" w14:paraId="60F3E416" w14:textId="77777777">
        <w:trPr>
          <w:trHeight w:val="380"/>
        </w:trPr>
        <w:tc>
          <w:tcPr>
            <w:tcW w:w="680" w:type="dxa"/>
            <w:tcBorders>
              <w:top w:val="nil"/>
              <w:left w:val="nil"/>
              <w:bottom w:val="nil"/>
              <w:right w:val="nil"/>
            </w:tcBorders>
            <w:tcMar>
              <w:top w:w="128" w:type="dxa"/>
              <w:left w:w="43" w:type="dxa"/>
              <w:bottom w:w="43" w:type="dxa"/>
              <w:right w:w="123" w:type="dxa"/>
            </w:tcMar>
          </w:tcPr>
          <w:p w14:paraId="52B06D1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5571F71" w14:textId="77777777" w:rsidR="000A2A2B" w:rsidRPr="007C3060" w:rsidRDefault="000A2A2B" w:rsidP="007C3060">
            <w:r w:rsidRPr="007C3060">
              <w:t>5</w:t>
            </w:r>
          </w:p>
        </w:tc>
        <w:tc>
          <w:tcPr>
            <w:tcW w:w="5040" w:type="dxa"/>
            <w:tcBorders>
              <w:top w:val="nil"/>
              <w:left w:val="nil"/>
              <w:bottom w:val="nil"/>
              <w:right w:val="nil"/>
            </w:tcBorders>
            <w:tcMar>
              <w:top w:w="128" w:type="dxa"/>
              <w:left w:w="43" w:type="dxa"/>
              <w:bottom w:w="43" w:type="dxa"/>
              <w:right w:w="43" w:type="dxa"/>
            </w:tcMar>
            <w:vAlign w:val="bottom"/>
          </w:tcPr>
          <w:p w14:paraId="0A5E2272" w14:textId="77777777" w:rsidR="000A2A2B" w:rsidRPr="007C3060" w:rsidRDefault="000A2A2B" w:rsidP="007C3060">
            <w:r w:rsidRPr="007C3060">
              <w:t>Helsetjenester til utenlandsboende mv., forhøyes med</w:t>
            </w:r>
          </w:p>
        </w:tc>
        <w:tc>
          <w:tcPr>
            <w:tcW w:w="1580" w:type="dxa"/>
            <w:tcBorders>
              <w:top w:val="nil"/>
              <w:left w:val="nil"/>
              <w:bottom w:val="nil"/>
              <w:right w:val="nil"/>
            </w:tcBorders>
            <w:tcMar>
              <w:top w:w="128" w:type="dxa"/>
              <w:left w:w="43" w:type="dxa"/>
              <w:bottom w:w="43" w:type="dxa"/>
              <w:right w:w="43" w:type="dxa"/>
            </w:tcMar>
            <w:vAlign w:val="bottom"/>
          </w:tcPr>
          <w:p w14:paraId="585C3492"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459B7FA" w14:textId="77777777" w:rsidR="000A2A2B" w:rsidRPr="007C3060" w:rsidRDefault="000A2A2B" w:rsidP="007C3060">
            <w:r w:rsidRPr="007C3060">
              <w:t>47 000 000</w:t>
            </w:r>
          </w:p>
        </w:tc>
      </w:tr>
      <w:tr w:rsidR="004B729E" w:rsidRPr="007C3060" w14:paraId="7054EE1A" w14:textId="77777777">
        <w:trPr>
          <w:trHeight w:val="380"/>
        </w:trPr>
        <w:tc>
          <w:tcPr>
            <w:tcW w:w="680" w:type="dxa"/>
            <w:tcBorders>
              <w:top w:val="nil"/>
              <w:left w:val="nil"/>
              <w:bottom w:val="nil"/>
              <w:right w:val="nil"/>
            </w:tcBorders>
            <w:tcMar>
              <w:top w:w="128" w:type="dxa"/>
              <w:left w:w="43" w:type="dxa"/>
              <w:bottom w:w="43" w:type="dxa"/>
              <w:right w:w="123" w:type="dxa"/>
            </w:tcMar>
          </w:tcPr>
          <w:p w14:paraId="0781F9E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05D11EC"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D856001" w14:textId="77777777" w:rsidR="000A2A2B" w:rsidRPr="007C3060" w:rsidRDefault="000A2A2B" w:rsidP="007C3060">
            <w:r w:rsidRPr="007C3060">
              <w:t>fra kr 66 000 000 til kr 113 000 000</w:t>
            </w:r>
          </w:p>
        </w:tc>
        <w:tc>
          <w:tcPr>
            <w:tcW w:w="1580" w:type="dxa"/>
            <w:tcBorders>
              <w:top w:val="nil"/>
              <w:left w:val="nil"/>
              <w:bottom w:val="nil"/>
              <w:right w:val="nil"/>
            </w:tcBorders>
            <w:tcMar>
              <w:top w:w="128" w:type="dxa"/>
              <w:left w:w="43" w:type="dxa"/>
              <w:bottom w:w="43" w:type="dxa"/>
              <w:right w:w="43" w:type="dxa"/>
            </w:tcMar>
            <w:vAlign w:val="bottom"/>
          </w:tcPr>
          <w:p w14:paraId="70C0D4F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0B6CFF6" w14:textId="77777777" w:rsidR="000A2A2B" w:rsidRPr="007C3060" w:rsidRDefault="000A2A2B" w:rsidP="007C3060"/>
        </w:tc>
      </w:tr>
      <w:tr w:rsidR="004B729E" w:rsidRPr="007C3060" w14:paraId="196AAE32" w14:textId="77777777">
        <w:trPr>
          <w:trHeight w:val="380"/>
        </w:trPr>
        <w:tc>
          <w:tcPr>
            <w:tcW w:w="680" w:type="dxa"/>
            <w:tcBorders>
              <w:top w:val="nil"/>
              <w:left w:val="nil"/>
              <w:bottom w:val="nil"/>
              <w:right w:val="nil"/>
            </w:tcBorders>
            <w:tcMar>
              <w:top w:w="128" w:type="dxa"/>
              <w:left w:w="43" w:type="dxa"/>
              <w:bottom w:w="43" w:type="dxa"/>
              <w:right w:w="123" w:type="dxa"/>
            </w:tcMar>
          </w:tcPr>
          <w:p w14:paraId="053F3E34" w14:textId="77777777" w:rsidR="000A2A2B" w:rsidRPr="007C3060" w:rsidRDefault="000A2A2B" w:rsidP="007C3060">
            <w:r w:rsidRPr="007C3060">
              <w:t>3745</w:t>
            </w:r>
          </w:p>
        </w:tc>
        <w:tc>
          <w:tcPr>
            <w:tcW w:w="680" w:type="dxa"/>
            <w:tcBorders>
              <w:top w:val="nil"/>
              <w:left w:val="nil"/>
              <w:bottom w:val="nil"/>
              <w:right w:val="nil"/>
            </w:tcBorders>
            <w:tcMar>
              <w:top w:w="128" w:type="dxa"/>
              <w:left w:w="43" w:type="dxa"/>
              <w:bottom w:w="43" w:type="dxa"/>
              <w:right w:w="123" w:type="dxa"/>
            </w:tcMar>
            <w:vAlign w:val="bottom"/>
          </w:tcPr>
          <w:p w14:paraId="664213F3"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00440EC" w14:textId="77777777" w:rsidR="000A2A2B" w:rsidRPr="007C3060" w:rsidRDefault="000A2A2B" w:rsidP="007C3060">
            <w:r w:rsidRPr="007C3060">
              <w:t>Folkehelseinstituttet:</w:t>
            </w:r>
          </w:p>
        </w:tc>
        <w:tc>
          <w:tcPr>
            <w:tcW w:w="1580" w:type="dxa"/>
            <w:tcBorders>
              <w:top w:val="nil"/>
              <w:left w:val="nil"/>
              <w:bottom w:val="nil"/>
              <w:right w:val="nil"/>
            </w:tcBorders>
            <w:tcMar>
              <w:top w:w="128" w:type="dxa"/>
              <w:left w:w="43" w:type="dxa"/>
              <w:bottom w:w="43" w:type="dxa"/>
              <w:right w:w="43" w:type="dxa"/>
            </w:tcMar>
            <w:vAlign w:val="bottom"/>
          </w:tcPr>
          <w:p w14:paraId="0E3B69F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85BEB9D" w14:textId="77777777" w:rsidR="000A2A2B" w:rsidRPr="007C3060" w:rsidRDefault="000A2A2B" w:rsidP="007C3060"/>
        </w:tc>
      </w:tr>
      <w:tr w:rsidR="004B729E" w:rsidRPr="007C3060" w14:paraId="1B64A0AC" w14:textId="77777777">
        <w:trPr>
          <w:trHeight w:val="380"/>
        </w:trPr>
        <w:tc>
          <w:tcPr>
            <w:tcW w:w="680" w:type="dxa"/>
            <w:tcBorders>
              <w:top w:val="nil"/>
              <w:left w:val="nil"/>
              <w:bottom w:val="nil"/>
              <w:right w:val="nil"/>
            </w:tcBorders>
            <w:tcMar>
              <w:top w:w="128" w:type="dxa"/>
              <w:left w:w="43" w:type="dxa"/>
              <w:bottom w:w="43" w:type="dxa"/>
              <w:right w:w="123" w:type="dxa"/>
            </w:tcMar>
          </w:tcPr>
          <w:p w14:paraId="2CA96492"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983F58D" w14:textId="77777777" w:rsidR="000A2A2B" w:rsidRPr="007C3060" w:rsidRDefault="000A2A2B" w:rsidP="007C3060">
            <w:r w:rsidRPr="007C3060">
              <w:t>2</w:t>
            </w:r>
          </w:p>
        </w:tc>
        <w:tc>
          <w:tcPr>
            <w:tcW w:w="5040" w:type="dxa"/>
            <w:tcBorders>
              <w:top w:val="nil"/>
              <w:left w:val="nil"/>
              <w:bottom w:val="nil"/>
              <w:right w:val="nil"/>
            </w:tcBorders>
            <w:tcMar>
              <w:top w:w="128" w:type="dxa"/>
              <w:left w:w="43" w:type="dxa"/>
              <w:bottom w:w="43" w:type="dxa"/>
              <w:right w:w="43" w:type="dxa"/>
            </w:tcMar>
            <w:vAlign w:val="bottom"/>
          </w:tcPr>
          <w:p w14:paraId="56700B1F" w14:textId="77777777" w:rsidR="000A2A2B" w:rsidRPr="007C3060" w:rsidRDefault="000A2A2B" w:rsidP="007C3060">
            <w:r w:rsidRPr="007C3060">
              <w:t>Diverse inntekter, forhøyes med</w:t>
            </w:r>
          </w:p>
        </w:tc>
        <w:tc>
          <w:tcPr>
            <w:tcW w:w="1580" w:type="dxa"/>
            <w:tcBorders>
              <w:top w:val="nil"/>
              <w:left w:val="nil"/>
              <w:bottom w:val="nil"/>
              <w:right w:val="nil"/>
            </w:tcBorders>
            <w:tcMar>
              <w:top w:w="128" w:type="dxa"/>
              <w:left w:w="43" w:type="dxa"/>
              <w:bottom w:w="43" w:type="dxa"/>
              <w:right w:w="43" w:type="dxa"/>
            </w:tcMar>
            <w:vAlign w:val="bottom"/>
          </w:tcPr>
          <w:p w14:paraId="2367897E"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6126975" w14:textId="77777777" w:rsidR="000A2A2B" w:rsidRPr="007C3060" w:rsidRDefault="000A2A2B" w:rsidP="007C3060">
            <w:r w:rsidRPr="007C3060">
              <w:t>44 000 000</w:t>
            </w:r>
          </w:p>
        </w:tc>
      </w:tr>
      <w:tr w:rsidR="004B729E" w:rsidRPr="007C3060" w14:paraId="7C0B83FD" w14:textId="77777777">
        <w:trPr>
          <w:trHeight w:val="380"/>
        </w:trPr>
        <w:tc>
          <w:tcPr>
            <w:tcW w:w="680" w:type="dxa"/>
            <w:tcBorders>
              <w:top w:val="nil"/>
              <w:left w:val="nil"/>
              <w:bottom w:val="nil"/>
              <w:right w:val="nil"/>
            </w:tcBorders>
            <w:tcMar>
              <w:top w:w="128" w:type="dxa"/>
              <w:left w:w="43" w:type="dxa"/>
              <w:bottom w:w="43" w:type="dxa"/>
              <w:right w:w="123" w:type="dxa"/>
            </w:tcMar>
          </w:tcPr>
          <w:p w14:paraId="7E74A0ED"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B4E9803"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12A84ED" w14:textId="77777777" w:rsidR="000A2A2B" w:rsidRPr="007C3060" w:rsidRDefault="000A2A2B" w:rsidP="007C3060">
            <w:r w:rsidRPr="007C3060">
              <w:t>fra kr 280 244 000 til kr 324 244 000</w:t>
            </w:r>
          </w:p>
        </w:tc>
        <w:tc>
          <w:tcPr>
            <w:tcW w:w="1580" w:type="dxa"/>
            <w:tcBorders>
              <w:top w:val="nil"/>
              <w:left w:val="nil"/>
              <w:bottom w:val="nil"/>
              <w:right w:val="nil"/>
            </w:tcBorders>
            <w:tcMar>
              <w:top w:w="128" w:type="dxa"/>
              <w:left w:w="43" w:type="dxa"/>
              <w:bottom w:w="43" w:type="dxa"/>
              <w:right w:w="43" w:type="dxa"/>
            </w:tcMar>
            <w:vAlign w:val="bottom"/>
          </w:tcPr>
          <w:p w14:paraId="073A702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7ECA1E4" w14:textId="77777777" w:rsidR="000A2A2B" w:rsidRPr="007C3060" w:rsidRDefault="000A2A2B" w:rsidP="007C3060"/>
        </w:tc>
      </w:tr>
      <w:tr w:rsidR="004B729E" w:rsidRPr="007C3060" w14:paraId="3248BE1A" w14:textId="77777777">
        <w:trPr>
          <w:trHeight w:val="380"/>
        </w:trPr>
        <w:tc>
          <w:tcPr>
            <w:tcW w:w="680" w:type="dxa"/>
            <w:tcBorders>
              <w:top w:val="nil"/>
              <w:left w:val="nil"/>
              <w:bottom w:val="nil"/>
              <w:right w:val="nil"/>
            </w:tcBorders>
            <w:tcMar>
              <w:top w:w="128" w:type="dxa"/>
              <w:left w:w="43" w:type="dxa"/>
              <w:bottom w:w="43" w:type="dxa"/>
              <w:right w:w="123" w:type="dxa"/>
            </w:tcMar>
          </w:tcPr>
          <w:p w14:paraId="60D36AC8" w14:textId="77777777" w:rsidR="000A2A2B" w:rsidRPr="007C3060" w:rsidRDefault="000A2A2B" w:rsidP="007C3060">
            <w:r w:rsidRPr="007C3060">
              <w:t>3855</w:t>
            </w:r>
          </w:p>
        </w:tc>
        <w:tc>
          <w:tcPr>
            <w:tcW w:w="680" w:type="dxa"/>
            <w:tcBorders>
              <w:top w:val="nil"/>
              <w:left w:val="nil"/>
              <w:bottom w:val="nil"/>
              <w:right w:val="nil"/>
            </w:tcBorders>
            <w:tcMar>
              <w:top w:w="128" w:type="dxa"/>
              <w:left w:w="43" w:type="dxa"/>
              <w:bottom w:w="43" w:type="dxa"/>
              <w:right w:w="123" w:type="dxa"/>
            </w:tcMar>
            <w:vAlign w:val="bottom"/>
          </w:tcPr>
          <w:p w14:paraId="29B46DD3"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9E5F21A" w14:textId="77777777" w:rsidR="000A2A2B" w:rsidRPr="007C3060" w:rsidRDefault="000A2A2B" w:rsidP="007C3060">
            <w:r w:rsidRPr="007C3060">
              <w:t>Statlig forvaltning av barnevernet:</w:t>
            </w:r>
          </w:p>
        </w:tc>
        <w:tc>
          <w:tcPr>
            <w:tcW w:w="1580" w:type="dxa"/>
            <w:tcBorders>
              <w:top w:val="nil"/>
              <w:left w:val="nil"/>
              <w:bottom w:val="nil"/>
              <w:right w:val="nil"/>
            </w:tcBorders>
            <w:tcMar>
              <w:top w:w="128" w:type="dxa"/>
              <w:left w:w="43" w:type="dxa"/>
              <w:bottom w:w="43" w:type="dxa"/>
              <w:right w:w="43" w:type="dxa"/>
            </w:tcMar>
            <w:vAlign w:val="bottom"/>
          </w:tcPr>
          <w:p w14:paraId="558576A2"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C24FE9D" w14:textId="77777777" w:rsidR="000A2A2B" w:rsidRPr="007C3060" w:rsidRDefault="000A2A2B" w:rsidP="007C3060"/>
        </w:tc>
      </w:tr>
      <w:tr w:rsidR="004B729E" w:rsidRPr="007C3060" w14:paraId="226846E9" w14:textId="77777777">
        <w:trPr>
          <w:trHeight w:val="380"/>
        </w:trPr>
        <w:tc>
          <w:tcPr>
            <w:tcW w:w="680" w:type="dxa"/>
            <w:tcBorders>
              <w:top w:val="nil"/>
              <w:left w:val="nil"/>
              <w:bottom w:val="nil"/>
              <w:right w:val="nil"/>
            </w:tcBorders>
            <w:tcMar>
              <w:top w:w="128" w:type="dxa"/>
              <w:left w:w="43" w:type="dxa"/>
              <w:bottom w:w="43" w:type="dxa"/>
              <w:right w:w="123" w:type="dxa"/>
            </w:tcMar>
          </w:tcPr>
          <w:p w14:paraId="2BB1C908"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E7A0CB9" w14:textId="77777777" w:rsidR="000A2A2B" w:rsidRPr="007C3060" w:rsidRDefault="000A2A2B" w:rsidP="007C3060">
            <w:r w:rsidRPr="007C3060">
              <w:t>60</w:t>
            </w:r>
          </w:p>
        </w:tc>
        <w:tc>
          <w:tcPr>
            <w:tcW w:w="5040" w:type="dxa"/>
            <w:tcBorders>
              <w:top w:val="nil"/>
              <w:left w:val="nil"/>
              <w:bottom w:val="nil"/>
              <w:right w:val="nil"/>
            </w:tcBorders>
            <w:tcMar>
              <w:top w:w="128" w:type="dxa"/>
              <w:left w:w="43" w:type="dxa"/>
              <w:bottom w:w="43" w:type="dxa"/>
              <w:right w:w="43" w:type="dxa"/>
            </w:tcMar>
            <w:vAlign w:val="bottom"/>
          </w:tcPr>
          <w:p w14:paraId="0B4706BA" w14:textId="77777777" w:rsidR="000A2A2B" w:rsidRPr="007C3060" w:rsidRDefault="000A2A2B" w:rsidP="007C3060">
            <w:r w:rsidRPr="007C3060">
              <w:t>Kommunale egenandeler, forhøyes med</w:t>
            </w:r>
          </w:p>
        </w:tc>
        <w:tc>
          <w:tcPr>
            <w:tcW w:w="1580" w:type="dxa"/>
            <w:tcBorders>
              <w:top w:val="nil"/>
              <w:left w:val="nil"/>
              <w:bottom w:val="nil"/>
              <w:right w:val="nil"/>
            </w:tcBorders>
            <w:tcMar>
              <w:top w:w="128" w:type="dxa"/>
              <w:left w:w="43" w:type="dxa"/>
              <w:bottom w:w="43" w:type="dxa"/>
              <w:right w:w="43" w:type="dxa"/>
            </w:tcMar>
            <w:vAlign w:val="bottom"/>
          </w:tcPr>
          <w:p w14:paraId="3ED9C82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3E0CEBF" w14:textId="77777777" w:rsidR="000A2A2B" w:rsidRPr="007C3060" w:rsidRDefault="000A2A2B" w:rsidP="007C3060">
            <w:r w:rsidRPr="007C3060">
              <w:t>104 000 000</w:t>
            </w:r>
          </w:p>
        </w:tc>
      </w:tr>
      <w:tr w:rsidR="004B729E" w:rsidRPr="007C3060" w14:paraId="4B8493C4" w14:textId="77777777">
        <w:trPr>
          <w:trHeight w:val="380"/>
        </w:trPr>
        <w:tc>
          <w:tcPr>
            <w:tcW w:w="680" w:type="dxa"/>
            <w:tcBorders>
              <w:top w:val="nil"/>
              <w:left w:val="nil"/>
              <w:bottom w:val="nil"/>
              <w:right w:val="nil"/>
            </w:tcBorders>
            <w:tcMar>
              <w:top w:w="128" w:type="dxa"/>
              <w:left w:w="43" w:type="dxa"/>
              <w:bottom w:w="43" w:type="dxa"/>
              <w:right w:w="123" w:type="dxa"/>
            </w:tcMar>
          </w:tcPr>
          <w:p w14:paraId="1575241A"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9F6A98D"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6D3513B" w14:textId="77777777" w:rsidR="000A2A2B" w:rsidRPr="007C3060" w:rsidRDefault="000A2A2B" w:rsidP="007C3060">
            <w:r w:rsidRPr="007C3060">
              <w:t>fra kr 2 690 308 000 til kr 2 794 308 000</w:t>
            </w:r>
          </w:p>
        </w:tc>
        <w:tc>
          <w:tcPr>
            <w:tcW w:w="1580" w:type="dxa"/>
            <w:tcBorders>
              <w:top w:val="nil"/>
              <w:left w:val="nil"/>
              <w:bottom w:val="nil"/>
              <w:right w:val="nil"/>
            </w:tcBorders>
            <w:tcMar>
              <w:top w:w="128" w:type="dxa"/>
              <w:left w:w="43" w:type="dxa"/>
              <w:bottom w:w="43" w:type="dxa"/>
              <w:right w:w="43" w:type="dxa"/>
            </w:tcMar>
            <w:vAlign w:val="bottom"/>
          </w:tcPr>
          <w:p w14:paraId="43DFF117"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130E317" w14:textId="77777777" w:rsidR="000A2A2B" w:rsidRPr="007C3060" w:rsidRDefault="000A2A2B" w:rsidP="007C3060"/>
        </w:tc>
      </w:tr>
      <w:tr w:rsidR="004B729E" w:rsidRPr="007C3060" w14:paraId="1859E18B" w14:textId="77777777">
        <w:trPr>
          <w:trHeight w:val="380"/>
        </w:trPr>
        <w:tc>
          <w:tcPr>
            <w:tcW w:w="680" w:type="dxa"/>
            <w:tcBorders>
              <w:top w:val="nil"/>
              <w:left w:val="nil"/>
              <w:bottom w:val="nil"/>
              <w:right w:val="nil"/>
            </w:tcBorders>
            <w:tcMar>
              <w:top w:w="128" w:type="dxa"/>
              <w:left w:w="43" w:type="dxa"/>
              <w:bottom w:w="43" w:type="dxa"/>
              <w:right w:w="123" w:type="dxa"/>
            </w:tcMar>
          </w:tcPr>
          <w:p w14:paraId="382598B3" w14:textId="77777777" w:rsidR="000A2A2B" w:rsidRPr="007C3060" w:rsidRDefault="000A2A2B" w:rsidP="007C3060">
            <w:r w:rsidRPr="007C3060">
              <w:t>3856</w:t>
            </w:r>
          </w:p>
        </w:tc>
        <w:tc>
          <w:tcPr>
            <w:tcW w:w="680" w:type="dxa"/>
            <w:tcBorders>
              <w:top w:val="nil"/>
              <w:left w:val="nil"/>
              <w:bottom w:val="nil"/>
              <w:right w:val="nil"/>
            </w:tcBorders>
            <w:tcMar>
              <w:top w:w="128" w:type="dxa"/>
              <w:left w:w="43" w:type="dxa"/>
              <w:bottom w:w="43" w:type="dxa"/>
              <w:right w:w="123" w:type="dxa"/>
            </w:tcMar>
            <w:vAlign w:val="bottom"/>
          </w:tcPr>
          <w:p w14:paraId="155FEFCF" w14:textId="77777777" w:rsidR="000A2A2B" w:rsidRPr="007C3060" w:rsidRDefault="000A2A2B" w:rsidP="007C3060"/>
        </w:tc>
        <w:tc>
          <w:tcPr>
            <w:tcW w:w="6620" w:type="dxa"/>
            <w:gridSpan w:val="2"/>
            <w:tcBorders>
              <w:top w:val="nil"/>
              <w:left w:val="nil"/>
              <w:bottom w:val="nil"/>
              <w:right w:val="nil"/>
            </w:tcBorders>
            <w:tcMar>
              <w:top w:w="128" w:type="dxa"/>
              <w:left w:w="43" w:type="dxa"/>
              <w:bottom w:w="43" w:type="dxa"/>
              <w:right w:w="43" w:type="dxa"/>
            </w:tcMar>
            <w:vAlign w:val="bottom"/>
          </w:tcPr>
          <w:p w14:paraId="1C7F9771" w14:textId="77777777" w:rsidR="000A2A2B" w:rsidRPr="007C3060" w:rsidRDefault="000A2A2B" w:rsidP="007C3060">
            <w:r w:rsidRPr="007C3060">
              <w:t>Barnevernets omsorgssenter for enslige, mindreårige asylsøkere:</w:t>
            </w:r>
          </w:p>
        </w:tc>
        <w:tc>
          <w:tcPr>
            <w:tcW w:w="1580" w:type="dxa"/>
            <w:tcBorders>
              <w:top w:val="nil"/>
              <w:left w:val="nil"/>
              <w:bottom w:val="nil"/>
              <w:right w:val="nil"/>
            </w:tcBorders>
            <w:tcMar>
              <w:top w:w="128" w:type="dxa"/>
              <w:left w:w="43" w:type="dxa"/>
              <w:bottom w:w="43" w:type="dxa"/>
              <w:right w:w="43" w:type="dxa"/>
            </w:tcMar>
            <w:vAlign w:val="bottom"/>
          </w:tcPr>
          <w:p w14:paraId="65E18937" w14:textId="77777777" w:rsidR="000A2A2B" w:rsidRPr="007C3060" w:rsidRDefault="000A2A2B" w:rsidP="007C3060"/>
        </w:tc>
      </w:tr>
      <w:tr w:rsidR="004B729E" w:rsidRPr="007C3060" w14:paraId="6B39828F" w14:textId="77777777">
        <w:trPr>
          <w:trHeight w:val="380"/>
        </w:trPr>
        <w:tc>
          <w:tcPr>
            <w:tcW w:w="680" w:type="dxa"/>
            <w:tcBorders>
              <w:top w:val="nil"/>
              <w:left w:val="nil"/>
              <w:bottom w:val="nil"/>
              <w:right w:val="nil"/>
            </w:tcBorders>
            <w:tcMar>
              <w:top w:w="128" w:type="dxa"/>
              <w:left w:w="43" w:type="dxa"/>
              <w:bottom w:w="43" w:type="dxa"/>
              <w:right w:w="123" w:type="dxa"/>
            </w:tcMar>
          </w:tcPr>
          <w:p w14:paraId="4B2E4DD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A6C06DE" w14:textId="77777777" w:rsidR="000A2A2B" w:rsidRPr="007C3060" w:rsidRDefault="000A2A2B" w:rsidP="007C3060">
            <w:r w:rsidRPr="007C3060">
              <w:t>4</w:t>
            </w:r>
          </w:p>
        </w:tc>
        <w:tc>
          <w:tcPr>
            <w:tcW w:w="5040" w:type="dxa"/>
            <w:tcBorders>
              <w:top w:val="nil"/>
              <w:left w:val="nil"/>
              <w:bottom w:val="nil"/>
              <w:right w:val="nil"/>
            </w:tcBorders>
            <w:tcMar>
              <w:top w:w="128" w:type="dxa"/>
              <w:left w:w="43" w:type="dxa"/>
              <w:bottom w:w="43" w:type="dxa"/>
              <w:right w:w="43" w:type="dxa"/>
            </w:tcMar>
            <w:vAlign w:val="bottom"/>
          </w:tcPr>
          <w:p w14:paraId="2D50587A" w14:textId="77777777" w:rsidR="000A2A2B" w:rsidRPr="007C3060" w:rsidRDefault="000A2A2B" w:rsidP="007C3060">
            <w:r w:rsidRPr="007C3060">
              <w:t>Refusjon av ODA-godkjente utgifter, nedsettes med</w:t>
            </w:r>
          </w:p>
        </w:tc>
        <w:tc>
          <w:tcPr>
            <w:tcW w:w="1580" w:type="dxa"/>
            <w:tcBorders>
              <w:top w:val="nil"/>
              <w:left w:val="nil"/>
              <w:bottom w:val="nil"/>
              <w:right w:val="nil"/>
            </w:tcBorders>
            <w:tcMar>
              <w:top w:w="128" w:type="dxa"/>
              <w:left w:w="43" w:type="dxa"/>
              <w:bottom w:w="43" w:type="dxa"/>
              <w:right w:w="43" w:type="dxa"/>
            </w:tcMar>
            <w:vAlign w:val="bottom"/>
          </w:tcPr>
          <w:p w14:paraId="7E5F146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09E1287" w14:textId="77777777" w:rsidR="000A2A2B" w:rsidRPr="007C3060" w:rsidRDefault="000A2A2B" w:rsidP="007C3060">
            <w:r w:rsidRPr="007C3060">
              <w:t>14 046 000</w:t>
            </w:r>
          </w:p>
        </w:tc>
      </w:tr>
      <w:tr w:rsidR="004B729E" w:rsidRPr="007C3060" w14:paraId="5C5171EE" w14:textId="77777777">
        <w:trPr>
          <w:trHeight w:val="380"/>
        </w:trPr>
        <w:tc>
          <w:tcPr>
            <w:tcW w:w="680" w:type="dxa"/>
            <w:tcBorders>
              <w:top w:val="nil"/>
              <w:left w:val="nil"/>
              <w:bottom w:val="nil"/>
              <w:right w:val="nil"/>
            </w:tcBorders>
            <w:tcMar>
              <w:top w:w="128" w:type="dxa"/>
              <w:left w:w="43" w:type="dxa"/>
              <w:bottom w:w="43" w:type="dxa"/>
              <w:right w:w="123" w:type="dxa"/>
            </w:tcMar>
          </w:tcPr>
          <w:p w14:paraId="185286A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104CBA6"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005795F" w14:textId="77777777" w:rsidR="000A2A2B" w:rsidRPr="007C3060" w:rsidRDefault="000A2A2B" w:rsidP="007C3060">
            <w:r w:rsidRPr="007C3060">
              <w:t>fra kr 277 278 000 til kr 263 232 000</w:t>
            </w:r>
          </w:p>
        </w:tc>
        <w:tc>
          <w:tcPr>
            <w:tcW w:w="1580" w:type="dxa"/>
            <w:tcBorders>
              <w:top w:val="nil"/>
              <w:left w:val="nil"/>
              <w:bottom w:val="nil"/>
              <w:right w:val="nil"/>
            </w:tcBorders>
            <w:tcMar>
              <w:top w:w="128" w:type="dxa"/>
              <w:left w:w="43" w:type="dxa"/>
              <w:bottom w:w="43" w:type="dxa"/>
              <w:right w:w="43" w:type="dxa"/>
            </w:tcMar>
            <w:vAlign w:val="bottom"/>
          </w:tcPr>
          <w:p w14:paraId="0D0DF1B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AFF3998" w14:textId="77777777" w:rsidR="000A2A2B" w:rsidRPr="007C3060" w:rsidRDefault="000A2A2B" w:rsidP="007C3060"/>
        </w:tc>
      </w:tr>
      <w:tr w:rsidR="004B729E" w:rsidRPr="007C3060" w14:paraId="12091C14" w14:textId="77777777">
        <w:trPr>
          <w:trHeight w:val="380"/>
        </w:trPr>
        <w:tc>
          <w:tcPr>
            <w:tcW w:w="680" w:type="dxa"/>
            <w:tcBorders>
              <w:top w:val="nil"/>
              <w:left w:val="nil"/>
              <w:bottom w:val="nil"/>
              <w:right w:val="nil"/>
            </w:tcBorders>
            <w:tcMar>
              <w:top w:w="128" w:type="dxa"/>
              <w:left w:w="43" w:type="dxa"/>
              <w:bottom w:w="43" w:type="dxa"/>
              <w:right w:w="123" w:type="dxa"/>
            </w:tcMar>
          </w:tcPr>
          <w:p w14:paraId="3B8C9F16" w14:textId="77777777" w:rsidR="000A2A2B" w:rsidRPr="007C3060" w:rsidRDefault="000A2A2B" w:rsidP="007C3060">
            <w:r w:rsidRPr="007C3060">
              <w:t>3902</w:t>
            </w:r>
          </w:p>
        </w:tc>
        <w:tc>
          <w:tcPr>
            <w:tcW w:w="680" w:type="dxa"/>
            <w:tcBorders>
              <w:top w:val="nil"/>
              <w:left w:val="nil"/>
              <w:bottom w:val="nil"/>
              <w:right w:val="nil"/>
            </w:tcBorders>
            <w:tcMar>
              <w:top w:w="128" w:type="dxa"/>
              <w:left w:w="43" w:type="dxa"/>
              <w:bottom w:w="43" w:type="dxa"/>
              <w:right w:w="123" w:type="dxa"/>
            </w:tcMar>
            <w:vAlign w:val="bottom"/>
          </w:tcPr>
          <w:p w14:paraId="1CBFF0DA"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A879737" w14:textId="77777777" w:rsidR="000A2A2B" w:rsidRPr="007C3060" w:rsidRDefault="000A2A2B" w:rsidP="007C3060">
            <w:proofErr w:type="spellStart"/>
            <w:r w:rsidRPr="007C3060">
              <w:t>Justervesenet</w:t>
            </w:r>
            <w:proofErr w:type="spellEnd"/>
            <w:r w:rsidRPr="007C3060">
              <w:t>:</w:t>
            </w:r>
          </w:p>
        </w:tc>
        <w:tc>
          <w:tcPr>
            <w:tcW w:w="1580" w:type="dxa"/>
            <w:tcBorders>
              <w:top w:val="nil"/>
              <w:left w:val="nil"/>
              <w:bottom w:val="nil"/>
              <w:right w:val="nil"/>
            </w:tcBorders>
            <w:tcMar>
              <w:top w:w="128" w:type="dxa"/>
              <w:left w:w="43" w:type="dxa"/>
              <w:bottom w:w="43" w:type="dxa"/>
              <w:right w:w="43" w:type="dxa"/>
            </w:tcMar>
            <w:vAlign w:val="bottom"/>
          </w:tcPr>
          <w:p w14:paraId="0EC0DF6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847B576" w14:textId="77777777" w:rsidR="000A2A2B" w:rsidRPr="007C3060" w:rsidRDefault="000A2A2B" w:rsidP="007C3060"/>
        </w:tc>
      </w:tr>
      <w:tr w:rsidR="004B729E" w:rsidRPr="007C3060" w14:paraId="65F1481A" w14:textId="77777777">
        <w:trPr>
          <w:trHeight w:val="380"/>
        </w:trPr>
        <w:tc>
          <w:tcPr>
            <w:tcW w:w="680" w:type="dxa"/>
            <w:tcBorders>
              <w:top w:val="nil"/>
              <w:left w:val="nil"/>
              <w:bottom w:val="nil"/>
              <w:right w:val="nil"/>
            </w:tcBorders>
            <w:tcMar>
              <w:top w:w="128" w:type="dxa"/>
              <w:left w:w="43" w:type="dxa"/>
              <w:bottom w:w="43" w:type="dxa"/>
              <w:right w:w="123" w:type="dxa"/>
            </w:tcMar>
          </w:tcPr>
          <w:p w14:paraId="0286E53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C132594" w14:textId="77777777" w:rsidR="000A2A2B" w:rsidRPr="007C3060" w:rsidRDefault="000A2A2B" w:rsidP="007C3060">
            <w:r w:rsidRPr="007C3060">
              <w:t>4</w:t>
            </w:r>
          </w:p>
        </w:tc>
        <w:tc>
          <w:tcPr>
            <w:tcW w:w="5040" w:type="dxa"/>
            <w:tcBorders>
              <w:top w:val="nil"/>
              <w:left w:val="nil"/>
              <w:bottom w:val="nil"/>
              <w:right w:val="nil"/>
            </w:tcBorders>
            <w:tcMar>
              <w:top w:w="128" w:type="dxa"/>
              <w:left w:w="43" w:type="dxa"/>
              <w:bottom w:w="43" w:type="dxa"/>
              <w:right w:w="43" w:type="dxa"/>
            </w:tcMar>
            <w:vAlign w:val="bottom"/>
          </w:tcPr>
          <w:p w14:paraId="559548A7" w14:textId="77777777" w:rsidR="000A2A2B" w:rsidRPr="007C3060" w:rsidRDefault="000A2A2B" w:rsidP="007C3060">
            <w:r w:rsidRPr="007C3060">
              <w:t>Oppdragsinntekter, nedsettes med</w:t>
            </w:r>
          </w:p>
        </w:tc>
        <w:tc>
          <w:tcPr>
            <w:tcW w:w="1580" w:type="dxa"/>
            <w:tcBorders>
              <w:top w:val="nil"/>
              <w:left w:val="nil"/>
              <w:bottom w:val="nil"/>
              <w:right w:val="nil"/>
            </w:tcBorders>
            <w:tcMar>
              <w:top w:w="128" w:type="dxa"/>
              <w:left w:w="43" w:type="dxa"/>
              <w:bottom w:w="43" w:type="dxa"/>
              <w:right w:w="43" w:type="dxa"/>
            </w:tcMar>
            <w:vAlign w:val="bottom"/>
          </w:tcPr>
          <w:p w14:paraId="5B110DBE"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8490FD6" w14:textId="77777777" w:rsidR="000A2A2B" w:rsidRPr="007C3060" w:rsidRDefault="000A2A2B" w:rsidP="007C3060">
            <w:r w:rsidRPr="007C3060">
              <w:t>109 000</w:t>
            </w:r>
          </w:p>
        </w:tc>
      </w:tr>
      <w:tr w:rsidR="004B729E" w:rsidRPr="007C3060" w14:paraId="63A276A9" w14:textId="77777777">
        <w:trPr>
          <w:trHeight w:val="380"/>
        </w:trPr>
        <w:tc>
          <w:tcPr>
            <w:tcW w:w="680" w:type="dxa"/>
            <w:tcBorders>
              <w:top w:val="nil"/>
              <w:left w:val="nil"/>
              <w:bottom w:val="nil"/>
              <w:right w:val="nil"/>
            </w:tcBorders>
            <w:tcMar>
              <w:top w:w="128" w:type="dxa"/>
              <w:left w:w="43" w:type="dxa"/>
              <w:bottom w:w="43" w:type="dxa"/>
              <w:right w:w="123" w:type="dxa"/>
            </w:tcMar>
          </w:tcPr>
          <w:p w14:paraId="7467F298"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2D2B9AA"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9297FC1" w14:textId="77777777" w:rsidR="000A2A2B" w:rsidRPr="007C3060" w:rsidRDefault="000A2A2B" w:rsidP="007C3060">
            <w:r w:rsidRPr="007C3060">
              <w:t>fra kr 109 000 til kr 0</w:t>
            </w:r>
          </w:p>
        </w:tc>
        <w:tc>
          <w:tcPr>
            <w:tcW w:w="1580" w:type="dxa"/>
            <w:tcBorders>
              <w:top w:val="nil"/>
              <w:left w:val="nil"/>
              <w:bottom w:val="nil"/>
              <w:right w:val="nil"/>
            </w:tcBorders>
            <w:tcMar>
              <w:top w:w="128" w:type="dxa"/>
              <w:left w:w="43" w:type="dxa"/>
              <w:bottom w:w="43" w:type="dxa"/>
              <w:right w:w="43" w:type="dxa"/>
            </w:tcMar>
            <w:vAlign w:val="bottom"/>
          </w:tcPr>
          <w:p w14:paraId="4816F684"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3FBF2E8" w14:textId="77777777" w:rsidR="000A2A2B" w:rsidRPr="007C3060" w:rsidRDefault="000A2A2B" w:rsidP="007C3060"/>
        </w:tc>
      </w:tr>
      <w:tr w:rsidR="004B729E" w:rsidRPr="007C3060" w14:paraId="5B839F48" w14:textId="77777777">
        <w:trPr>
          <w:trHeight w:val="380"/>
        </w:trPr>
        <w:tc>
          <w:tcPr>
            <w:tcW w:w="680" w:type="dxa"/>
            <w:tcBorders>
              <w:top w:val="nil"/>
              <w:left w:val="nil"/>
              <w:bottom w:val="nil"/>
              <w:right w:val="nil"/>
            </w:tcBorders>
            <w:tcMar>
              <w:top w:w="128" w:type="dxa"/>
              <w:left w:w="43" w:type="dxa"/>
              <w:bottom w:w="43" w:type="dxa"/>
              <w:right w:w="123" w:type="dxa"/>
            </w:tcMar>
          </w:tcPr>
          <w:p w14:paraId="6AAF1D10" w14:textId="77777777" w:rsidR="000A2A2B" w:rsidRPr="007C3060" w:rsidRDefault="000A2A2B" w:rsidP="007C3060">
            <w:r w:rsidRPr="007C3060">
              <w:t>3910</w:t>
            </w:r>
          </w:p>
        </w:tc>
        <w:tc>
          <w:tcPr>
            <w:tcW w:w="680" w:type="dxa"/>
            <w:tcBorders>
              <w:top w:val="nil"/>
              <w:left w:val="nil"/>
              <w:bottom w:val="nil"/>
              <w:right w:val="nil"/>
            </w:tcBorders>
            <w:tcMar>
              <w:top w:w="128" w:type="dxa"/>
              <w:left w:w="43" w:type="dxa"/>
              <w:bottom w:w="43" w:type="dxa"/>
              <w:right w:w="123" w:type="dxa"/>
            </w:tcMar>
            <w:vAlign w:val="bottom"/>
          </w:tcPr>
          <w:p w14:paraId="5AFAEFB0"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7CA1CF5" w14:textId="77777777" w:rsidR="000A2A2B" w:rsidRPr="007C3060" w:rsidRDefault="000A2A2B" w:rsidP="007C3060">
            <w:r w:rsidRPr="007C3060">
              <w:t>Sjøfartsdirektoratet:</w:t>
            </w:r>
          </w:p>
        </w:tc>
        <w:tc>
          <w:tcPr>
            <w:tcW w:w="1580" w:type="dxa"/>
            <w:tcBorders>
              <w:top w:val="nil"/>
              <w:left w:val="nil"/>
              <w:bottom w:val="nil"/>
              <w:right w:val="nil"/>
            </w:tcBorders>
            <w:tcMar>
              <w:top w:w="128" w:type="dxa"/>
              <w:left w:w="43" w:type="dxa"/>
              <w:bottom w:w="43" w:type="dxa"/>
              <w:right w:w="43" w:type="dxa"/>
            </w:tcMar>
            <w:vAlign w:val="bottom"/>
          </w:tcPr>
          <w:p w14:paraId="4FC5E40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5C9D880" w14:textId="77777777" w:rsidR="000A2A2B" w:rsidRPr="007C3060" w:rsidRDefault="000A2A2B" w:rsidP="007C3060"/>
        </w:tc>
      </w:tr>
      <w:tr w:rsidR="004B729E" w:rsidRPr="007C3060" w14:paraId="059E4089" w14:textId="77777777">
        <w:trPr>
          <w:trHeight w:val="380"/>
        </w:trPr>
        <w:tc>
          <w:tcPr>
            <w:tcW w:w="680" w:type="dxa"/>
            <w:tcBorders>
              <w:top w:val="nil"/>
              <w:left w:val="nil"/>
              <w:bottom w:val="nil"/>
              <w:right w:val="nil"/>
            </w:tcBorders>
            <w:tcMar>
              <w:top w:w="128" w:type="dxa"/>
              <w:left w:w="43" w:type="dxa"/>
              <w:bottom w:w="43" w:type="dxa"/>
              <w:right w:w="123" w:type="dxa"/>
            </w:tcMar>
          </w:tcPr>
          <w:p w14:paraId="638285DD"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1566107" w14:textId="77777777" w:rsidR="000A2A2B" w:rsidRPr="007C3060" w:rsidRDefault="000A2A2B" w:rsidP="007C3060">
            <w:r w:rsidRPr="007C3060">
              <w:t>2</w:t>
            </w:r>
          </w:p>
        </w:tc>
        <w:tc>
          <w:tcPr>
            <w:tcW w:w="5040" w:type="dxa"/>
            <w:tcBorders>
              <w:top w:val="nil"/>
              <w:left w:val="nil"/>
              <w:bottom w:val="nil"/>
              <w:right w:val="nil"/>
            </w:tcBorders>
            <w:tcMar>
              <w:top w:w="128" w:type="dxa"/>
              <w:left w:w="43" w:type="dxa"/>
              <w:bottom w:w="43" w:type="dxa"/>
              <w:right w:w="43" w:type="dxa"/>
            </w:tcMar>
            <w:vAlign w:val="bottom"/>
          </w:tcPr>
          <w:p w14:paraId="09D5190C" w14:textId="77777777" w:rsidR="000A2A2B" w:rsidRPr="007C3060" w:rsidRDefault="000A2A2B" w:rsidP="007C3060">
            <w:r w:rsidRPr="007C3060">
              <w:t>Maritime personellsertifikater, forhøyes med</w:t>
            </w:r>
          </w:p>
        </w:tc>
        <w:tc>
          <w:tcPr>
            <w:tcW w:w="1580" w:type="dxa"/>
            <w:tcBorders>
              <w:top w:val="nil"/>
              <w:left w:val="nil"/>
              <w:bottom w:val="nil"/>
              <w:right w:val="nil"/>
            </w:tcBorders>
            <w:tcMar>
              <w:top w:w="128" w:type="dxa"/>
              <w:left w:w="43" w:type="dxa"/>
              <w:bottom w:w="43" w:type="dxa"/>
              <w:right w:w="43" w:type="dxa"/>
            </w:tcMar>
            <w:vAlign w:val="bottom"/>
          </w:tcPr>
          <w:p w14:paraId="4F2E8A1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77599E8" w14:textId="77777777" w:rsidR="000A2A2B" w:rsidRPr="007C3060" w:rsidRDefault="000A2A2B" w:rsidP="007C3060">
            <w:r w:rsidRPr="007C3060">
              <w:t>3 400 000</w:t>
            </w:r>
          </w:p>
        </w:tc>
      </w:tr>
      <w:tr w:rsidR="004B729E" w:rsidRPr="007C3060" w14:paraId="147251AA" w14:textId="77777777">
        <w:trPr>
          <w:trHeight w:val="380"/>
        </w:trPr>
        <w:tc>
          <w:tcPr>
            <w:tcW w:w="680" w:type="dxa"/>
            <w:tcBorders>
              <w:top w:val="nil"/>
              <w:left w:val="nil"/>
              <w:bottom w:val="nil"/>
              <w:right w:val="nil"/>
            </w:tcBorders>
            <w:tcMar>
              <w:top w:w="128" w:type="dxa"/>
              <w:left w:w="43" w:type="dxa"/>
              <w:bottom w:w="43" w:type="dxa"/>
              <w:right w:w="123" w:type="dxa"/>
            </w:tcMar>
          </w:tcPr>
          <w:p w14:paraId="231E86C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5259DA4"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F1D8780" w14:textId="77777777" w:rsidR="000A2A2B" w:rsidRPr="007C3060" w:rsidRDefault="000A2A2B" w:rsidP="007C3060">
            <w:r w:rsidRPr="007C3060">
              <w:t>fra kr 22 903 000 til kr 26 303 000</w:t>
            </w:r>
          </w:p>
        </w:tc>
        <w:tc>
          <w:tcPr>
            <w:tcW w:w="1580" w:type="dxa"/>
            <w:tcBorders>
              <w:top w:val="nil"/>
              <w:left w:val="nil"/>
              <w:bottom w:val="nil"/>
              <w:right w:val="nil"/>
            </w:tcBorders>
            <w:tcMar>
              <w:top w:w="128" w:type="dxa"/>
              <w:left w:w="43" w:type="dxa"/>
              <w:bottom w:w="43" w:type="dxa"/>
              <w:right w:w="43" w:type="dxa"/>
            </w:tcMar>
            <w:vAlign w:val="bottom"/>
          </w:tcPr>
          <w:p w14:paraId="5AE41B0E"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BEED51A" w14:textId="77777777" w:rsidR="000A2A2B" w:rsidRPr="007C3060" w:rsidRDefault="000A2A2B" w:rsidP="007C3060"/>
        </w:tc>
      </w:tr>
      <w:tr w:rsidR="004B729E" w:rsidRPr="007C3060" w14:paraId="5D8EB941" w14:textId="77777777">
        <w:trPr>
          <w:trHeight w:val="380"/>
        </w:trPr>
        <w:tc>
          <w:tcPr>
            <w:tcW w:w="680" w:type="dxa"/>
            <w:tcBorders>
              <w:top w:val="nil"/>
              <w:left w:val="nil"/>
              <w:bottom w:val="nil"/>
              <w:right w:val="nil"/>
            </w:tcBorders>
            <w:tcMar>
              <w:top w:w="128" w:type="dxa"/>
              <w:left w:w="43" w:type="dxa"/>
              <w:bottom w:w="43" w:type="dxa"/>
              <w:right w:w="123" w:type="dxa"/>
            </w:tcMar>
          </w:tcPr>
          <w:p w14:paraId="00B3AD1F" w14:textId="77777777" w:rsidR="000A2A2B" w:rsidRPr="007C3060" w:rsidRDefault="000A2A2B" w:rsidP="007C3060">
            <w:r w:rsidRPr="007C3060">
              <w:t>3917</w:t>
            </w:r>
          </w:p>
        </w:tc>
        <w:tc>
          <w:tcPr>
            <w:tcW w:w="680" w:type="dxa"/>
            <w:tcBorders>
              <w:top w:val="nil"/>
              <w:left w:val="nil"/>
              <w:bottom w:val="nil"/>
              <w:right w:val="nil"/>
            </w:tcBorders>
            <w:tcMar>
              <w:top w:w="128" w:type="dxa"/>
              <w:left w:w="43" w:type="dxa"/>
              <w:bottom w:w="43" w:type="dxa"/>
              <w:right w:w="123" w:type="dxa"/>
            </w:tcMar>
            <w:vAlign w:val="bottom"/>
          </w:tcPr>
          <w:p w14:paraId="080520E2"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7CB2E6E" w14:textId="77777777" w:rsidR="000A2A2B" w:rsidRPr="007C3060" w:rsidRDefault="000A2A2B" w:rsidP="007C3060">
            <w:r w:rsidRPr="007C3060">
              <w:t>Fiskeridirektoratet:</w:t>
            </w:r>
          </w:p>
        </w:tc>
        <w:tc>
          <w:tcPr>
            <w:tcW w:w="1580" w:type="dxa"/>
            <w:tcBorders>
              <w:top w:val="nil"/>
              <w:left w:val="nil"/>
              <w:bottom w:val="nil"/>
              <w:right w:val="nil"/>
            </w:tcBorders>
            <w:tcMar>
              <w:top w:w="128" w:type="dxa"/>
              <w:left w:w="43" w:type="dxa"/>
              <w:bottom w:w="43" w:type="dxa"/>
              <w:right w:w="43" w:type="dxa"/>
            </w:tcMar>
            <w:vAlign w:val="bottom"/>
          </w:tcPr>
          <w:p w14:paraId="58C11D5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3909AC9" w14:textId="77777777" w:rsidR="000A2A2B" w:rsidRPr="007C3060" w:rsidRDefault="000A2A2B" w:rsidP="007C3060"/>
        </w:tc>
      </w:tr>
      <w:tr w:rsidR="004B729E" w:rsidRPr="007C3060" w14:paraId="7A3DD17A" w14:textId="77777777">
        <w:trPr>
          <w:trHeight w:val="380"/>
        </w:trPr>
        <w:tc>
          <w:tcPr>
            <w:tcW w:w="680" w:type="dxa"/>
            <w:tcBorders>
              <w:top w:val="nil"/>
              <w:left w:val="nil"/>
              <w:bottom w:val="nil"/>
              <w:right w:val="nil"/>
            </w:tcBorders>
            <w:tcMar>
              <w:top w:w="128" w:type="dxa"/>
              <w:left w:w="43" w:type="dxa"/>
              <w:bottom w:w="43" w:type="dxa"/>
              <w:right w:w="123" w:type="dxa"/>
            </w:tcMar>
          </w:tcPr>
          <w:p w14:paraId="4765E135"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A7D8BFE"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2D704BAB" w14:textId="77777777" w:rsidR="000A2A2B" w:rsidRPr="007C3060" w:rsidRDefault="000A2A2B" w:rsidP="007C3060">
            <w:r w:rsidRPr="007C3060">
              <w:t>Diverse inntekter, forhøyes med</w:t>
            </w:r>
          </w:p>
        </w:tc>
        <w:tc>
          <w:tcPr>
            <w:tcW w:w="1580" w:type="dxa"/>
            <w:tcBorders>
              <w:top w:val="nil"/>
              <w:left w:val="nil"/>
              <w:bottom w:val="nil"/>
              <w:right w:val="nil"/>
            </w:tcBorders>
            <w:tcMar>
              <w:top w:w="128" w:type="dxa"/>
              <w:left w:w="43" w:type="dxa"/>
              <w:bottom w:w="43" w:type="dxa"/>
              <w:right w:w="43" w:type="dxa"/>
            </w:tcMar>
            <w:vAlign w:val="bottom"/>
          </w:tcPr>
          <w:p w14:paraId="4813A20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43BEE9D" w14:textId="77777777" w:rsidR="000A2A2B" w:rsidRPr="007C3060" w:rsidRDefault="000A2A2B" w:rsidP="007C3060">
            <w:r w:rsidRPr="007C3060">
              <w:t>4 000 000</w:t>
            </w:r>
          </w:p>
        </w:tc>
      </w:tr>
      <w:tr w:rsidR="004B729E" w:rsidRPr="007C3060" w14:paraId="6C3EA7BC" w14:textId="77777777">
        <w:trPr>
          <w:trHeight w:val="380"/>
        </w:trPr>
        <w:tc>
          <w:tcPr>
            <w:tcW w:w="680" w:type="dxa"/>
            <w:tcBorders>
              <w:top w:val="nil"/>
              <w:left w:val="nil"/>
              <w:bottom w:val="nil"/>
              <w:right w:val="nil"/>
            </w:tcBorders>
            <w:tcMar>
              <w:top w:w="128" w:type="dxa"/>
              <w:left w:w="43" w:type="dxa"/>
              <w:bottom w:w="43" w:type="dxa"/>
              <w:right w:w="123" w:type="dxa"/>
            </w:tcMar>
          </w:tcPr>
          <w:p w14:paraId="309A2A5C"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557DAC6"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36709F1E" w14:textId="77777777" w:rsidR="000A2A2B" w:rsidRPr="007C3060" w:rsidRDefault="000A2A2B" w:rsidP="007C3060">
            <w:r w:rsidRPr="007C3060">
              <w:t>fra kr 1 301 000 til kr 5 301 000</w:t>
            </w:r>
          </w:p>
        </w:tc>
        <w:tc>
          <w:tcPr>
            <w:tcW w:w="1580" w:type="dxa"/>
            <w:tcBorders>
              <w:top w:val="nil"/>
              <w:left w:val="nil"/>
              <w:bottom w:val="nil"/>
              <w:right w:val="nil"/>
            </w:tcBorders>
            <w:tcMar>
              <w:top w:w="128" w:type="dxa"/>
              <w:left w:w="43" w:type="dxa"/>
              <w:bottom w:w="43" w:type="dxa"/>
              <w:right w:w="43" w:type="dxa"/>
            </w:tcMar>
            <w:vAlign w:val="bottom"/>
          </w:tcPr>
          <w:p w14:paraId="19951CC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87E3186" w14:textId="77777777" w:rsidR="000A2A2B" w:rsidRPr="007C3060" w:rsidRDefault="000A2A2B" w:rsidP="007C3060"/>
        </w:tc>
      </w:tr>
      <w:tr w:rsidR="004B729E" w:rsidRPr="007C3060" w14:paraId="1AD0C221" w14:textId="77777777">
        <w:trPr>
          <w:trHeight w:val="380"/>
        </w:trPr>
        <w:tc>
          <w:tcPr>
            <w:tcW w:w="680" w:type="dxa"/>
            <w:tcBorders>
              <w:top w:val="nil"/>
              <w:left w:val="nil"/>
              <w:bottom w:val="nil"/>
              <w:right w:val="nil"/>
            </w:tcBorders>
            <w:tcMar>
              <w:top w:w="128" w:type="dxa"/>
              <w:left w:w="43" w:type="dxa"/>
              <w:bottom w:w="43" w:type="dxa"/>
              <w:right w:w="123" w:type="dxa"/>
            </w:tcMar>
          </w:tcPr>
          <w:p w14:paraId="3AB5D122" w14:textId="77777777" w:rsidR="000A2A2B" w:rsidRPr="007C3060" w:rsidRDefault="000A2A2B" w:rsidP="007C3060">
            <w:r w:rsidRPr="007C3060">
              <w:t>(NY)</w:t>
            </w:r>
          </w:p>
        </w:tc>
        <w:tc>
          <w:tcPr>
            <w:tcW w:w="680" w:type="dxa"/>
            <w:tcBorders>
              <w:top w:val="nil"/>
              <w:left w:val="nil"/>
              <w:bottom w:val="nil"/>
              <w:right w:val="nil"/>
            </w:tcBorders>
            <w:tcMar>
              <w:top w:w="128" w:type="dxa"/>
              <w:left w:w="43" w:type="dxa"/>
              <w:bottom w:w="43" w:type="dxa"/>
              <w:right w:w="123" w:type="dxa"/>
            </w:tcMar>
            <w:vAlign w:val="bottom"/>
          </w:tcPr>
          <w:p w14:paraId="6C24C650" w14:textId="77777777" w:rsidR="000A2A2B" w:rsidRPr="007C3060" w:rsidRDefault="000A2A2B" w:rsidP="007C3060">
            <w:r w:rsidRPr="007C3060">
              <w:t>13</w:t>
            </w:r>
          </w:p>
        </w:tc>
        <w:tc>
          <w:tcPr>
            <w:tcW w:w="5040" w:type="dxa"/>
            <w:tcBorders>
              <w:top w:val="nil"/>
              <w:left w:val="nil"/>
              <w:bottom w:val="nil"/>
              <w:right w:val="nil"/>
            </w:tcBorders>
            <w:tcMar>
              <w:top w:w="128" w:type="dxa"/>
              <w:left w:w="43" w:type="dxa"/>
              <w:bottom w:w="43" w:type="dxa"/>
              <w:right w:w="43" w:type="dxa"/>
            </w:tcMar>
            <w:vAlign w:val="bottom"/>
          </w:tcPr>
          <w:p w14:paraId="59D8D768" w14:textId="77777777" w:rsidR="000A2A2B" w:rsidRPr="007C3060" w:rsidRDefault="000A2A2B" w:rsidP="007C3060">
            <w:r w:rsidRPr="007C3060">
              <w:t>Inntekter fra salg av oppdrettstillatelser, bevilges med</w:t>
            </w:r>
          </w:p>
        </w:tc>
        <w:tc>
          <w:tcPr>
            <w:tcW w:w="1580" w:type="dxa"/>
            <w:tcBorders>
              <w:top w:val="nil"/>
              <w:left w:val="nil"/>
              <w:bottom w:val="nil"/>
              <w:right w:val="nil"/>
            </w:tcBorders>
            <w:tcMar>
              <w:top w:w="128" w:type="dxa"/>
              <w:left w:w="43" w:type="dxa"/>
              <w:bottom w:w="43" w:type="dxa"/>
              <w:right w:w="43" w:type="dxa"/>
            </w:tcMar>
            <w:vAlign w:val="bottom"/>
          </w:tcPr>
          <w:p w14:paraId="6ECCA3C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BB49BFB" w14:textId="77777777" w:rsidR="000A2A2B" w:rsidRPr="007C3060" w:rsidRDefault="000A2A2B" w:rsidP="007C3060">
            <w:r w:rsidRPr="007C3060">
              <w:t>65 100 000</w:t>
            </w:r>
          </w:p>
        </w:tc>
      </w:tr>
      <w:tr w:rsidR="004B729E" w:rsidRPr="007C3060" w14:paraId="140236F4" w14:textId="77777777">
        <w:trPr>
          <w:trHeight w:val="380"/>
        </w:trPr>
        <w:tc>
          <w:tcPr>
            <w:tcW w:w="680" w:type="dxa"/>
            <w:tcBorders>
              <w:top w:val="nil"/>
              <w:left w:val="nil"/>
              <w:bottom w:val="nil"/>
              <w:right w:val="nil"/>
            </w:tcBorders>
            <w:tcMar>
              <w:top w:w="128" w:type="dxa"/>
              <w:left w:w="43" w:type="dxa"/>
              <w:bottom w:w="43" w:type="dxa"/>
              <w:right w:w="123" w:type="dxa"/>
            </w:tcMar>
          </w:tcPr>
          <w:p w14:paraId="55B42C93" w14:textId="77777777" w:rsidR="000A2A2B" w:rsidRPr="007C3060" w:rsidRDefault="000A2A2B" w:rsidP="007C3060">
            <w:r w:rsidRPr="007C3060">
              <w:t>3923</w:t>
            </w:r>
          </w:p>
        </w:tc>
        <w:tc>
          <w:tcPr>
            <w:tcW w:w="680" w:type="dxa"/>
            <w:tcBorders>
              <w:top w:val="nil"/>
              <w:left w:val="nil"/>
              <w:bottom w:val="nil"/>
              <w:right w:val="nil"/>
            </w:tcBorders>
            <w:tcMar>
              <w:top w:w="128" w:type="dxa"/>
              <w:left w:w="43" w:type="dxa"/>
              <w:bottom w:w="43" w:type="dxa"/>
              <w:right w:w="123" w:type="dxa"/>
            </w:tcMar>
            <w:vAlign w:val="bottom"/>
          </w:tcPr>
          <w:p w14:paraId="7C1EF344"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A677F2C" w14:textId="77777777" w:rsidR="000A2A2B" w:rsidRPr="007C3060" w:rsidRDefault="000A2A2B" w:rsidP="007C3060">
            <w:r w:rsidRPr="007C3060">
              <w:t>Havforskningsinstituttet:</w:t>
            </w:r>
          </w:p>
        </w:tc>
        <w:tc>
          <w:tcPr>
            <w:tcW w:w="1580" w:type="dxa"/>
            <w:tcBorders>
              <w:top w:val="nil"/>
              <w:left w:val="nil"/>
              <w:bottom w:val="nil"/>
              <w:right w:val="nil"/>
            </w:tcBorders>
            <w:tcMar>
              <w:top w:w="128" w:type="dxa"/>
              <w:left w:w="43" w:type="dxa"/>
              <w:bottom w:w="43" w:type="dxa"/>
              <w:right w:w="43" w:type="dxa"/>
            </w:tcMar>
            <w:vAlign w:val="bottom"/>
          </w:tcPr>
          <w:p w14:paraId="7F86A46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B5E196C" w14:textId="77777777" w:rsidR="000A2A2B" w:rsidRPr="007C3060" w:rsidRDefault="000A2A2B" w:rsidP="007C3060"/>
        </w:tc>
      </w:tr>
      <w:tr w:rsidR="004B729E" w:rsidRPr="007C3060" w14:paraId="71EC482D" w14:textId="77777777">
        <w:trPr>
          <w:trHeight w:val="380"/>
        </w:trPr>
        <w:tc>
          <w:tcPr>
            <w:tcW w:w="680" w:type="dxa"/>
            <w:tcBorders>
              <w:top w:val="nil"/>
              <w:left w:val="nil"/>
              <w:bottom w:val="nil"/>
              <w:right w:val="nil"/>
            </w:tcBorders>
            <w:tcMar>
              <w:top w:w="128" w:type="dxa"/>
              <w:left w:w="43" w:type="dxa"/>
              <w:bottom w:w="43" w:type="dxa"/>
              <w:right w:w="123" w:type="dxa"/>
            </w:tcMar>
          </w:tcPr>
          <w:p w14:paraId="3402E5B7"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E33645C"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449E172E" w14:textId="77777777" w:rsidR="000A2A2B" w:rsidRPr="007C3060" w:rsidRDefault="000A2A2B" w:rsidP="007C3060">
            <w:r w:rsidRPr="007C3060">
              <w:t>Oppdragsinntekter, nedsettes med</w:t>
            </w:r>
          </w:p>
        </w:tc>
        <w:tc>
          <w:tcPr>
            <w:tcW w:w="1580" w:type="dxa"/>
            <w:tcBorders>
              <w:top w:val="nil"/>
              <w:left w:val="nil"/>
              <w:bottom w:val="nil"/>
              <w:right w:val="nil"/>
            </w:tcBorders>
            <w:tcMar>
              <w:top w:w="128" w:type="dxa"/>
              <w:left w:w="43" w:type="dxa"/>
              <w:bottom w:w="43" w:type="dxa"/>
              <w:right w:w="43" w:type="dxa"/>
            </w:tcMar>
            <w:vAlign w:val="bottom"/>
          </w:tcPr>
          <w:p w14:paraId="7FEC1FF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0943CC6" w14:textId="77777777" w:rsidR="000A2A2B" w:rsidRPr="007C3060" w:rsidRDefault="000A2A2B" w:rsidP="007C3060">
            <w:r w:rsidRPr="007C3060">
              <w:t>3 000 000</w:t>
            </w:r>
          </w:p>
        </w:tc>
      </w:tr>
      <w:tr w:rsidR="004B729E" w:rsidRPr="007C3060" w14:paraId="251E833C" w14:textId="77777777">
        <w:trPr>
          <w:trHeight w:val="380"/>
        </w:trPr>
        <w:tc>
          <w:tcPr>
            <w:tcW w:w="680" w:type="dxa"/>
            <w:tcBorders>
              <w:top w:val="nil"/>
              <w:left w:val="nil"/>
              <w:bottom w:val="nil"/>
              <w:right w:val="nil"/>
            </w:tcBorders>
            <w:tcMar>
              <w:top w:w="128" w:type="dxa"/>
              <w:left w:w="43" w:type="dxa"/>
              <w:bottom w:w="43" w:type="dxa"/>
              <w:right w:w="123" w:type="dxa"/>
            </w:tcMar>
          </w:tcPr>
          <w:p w14:paraId="1099D4CC"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8853FB1"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AE9623D" w14:textId="77777777" w:rsidR="000A2A2B" w:rsidRPr="007C3060" w:rsidRDefault="000A2A2B" w:rsidP="007C3060">
            <w:r w:rsidRPr="007C3060">
              <w:t>fra kr 481 816 000 til kr 478 816 000</w:t>
            </w:r>
          </w:p>
        </w:tc>
        <w:tc>
          <w:tcPr>
            <w:tcW w:w="1580" w:type="dxa"/>
            <w:tcBorders>
              <w:top w:val="nil"/>
              <w:left w:val="nil"/>
              <w:bottom w:val="nil"/>
              <w:right w:val="nil"/>
            </w:tcBorders>
            <w:tcMar>
              <w:top w:w="128" w:type="dxa"/>
              <w:left w:w="43" w:type="dxa"/>
              <w:bottom w:w="43" w:type="dxa"/>
              <w:right w:w="43" w:type="dxa"/>
            </w:tcMar>
            <w:vAlign w:val="bottom"/>
          </w:tcPr>
          <w:p w14:paraId="566A783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D934081" w14:textId="77777777" w:rsidR="000A2A2B" w:rsidRPr="007C3060" w:rsidRDefault="000A2A2B" w:rsidP="007C3060"/>
        </w:tc>
      </w:tr>
      <w:tr w:rsidR="004B729E" w:rsidRPr="007C3060" w14:paraId="3577C225" w14:textId="77777777">
        <w:trPr>
          <w:trHeight w:val="380"/>
        </w:trPr>
        <w:tc>
          <w:tcPr>
            <w:tcW w:w="680" w:type="dxa"/>
            <w:tcBorders>
              <w:top w:val="nil"/>
              <w:left w:val="nil"/>
              <w:bottom w:val="nil"/>
              <w:right w:val="nil"/>
            </w:tcBorders>
            <w:tcMar>
              <w:top w:w="128" w:type="dxa"/>
              <w:left w:w="43" w:type="dxa"/>
              <w:bottom w:w="43" w:type="dxa"/>
              <w:right w:w="123" w:type="dxa"/>
            </w:tcMar>
          </w:tcPr>
          <w:p w14:paraId="1E9D5DA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61DB23F" w14:textId="77777777" w:rsidR="000A2A2B" w:rsidRPr="007C3060" w:rsidRDefault="000A2A2B" w:rsidP="007C3060">
            <w:r w:rsidRPr="007C3060">
              <w:t>2</w:t>
            </w:r>
          </w:p>
        </w:tc>
        <w:tc>
          <w:tcPr>
            <w:tcW w:w="5040" w:type="dxa"/>
            <w:tcBorders>
              <w:top w:val="nil"/>
              <w:left w:val="nil"/>
              <w:bottom w:val="nil"/>
              <w:right w:val="nil"/>
            </w:tcBorders>
            <w:tcMar>
              <w:top w:w="128" w:type="dxa"/>
              <w:left w:w="43" w:type="dxa"/>
              <w:bottom w:w="43" w:type="dxa"/>
              <w:right w:w="43" w:type="dxa"/>
            </w:tcMar>
            <w:vAlign w:val="bottom"/>
          </w:tcPr>
          <w:p w14:paraId="0C4BDCAD" w14:textId="77777777" w:rsidR="000A2A2B" w:rsidRPr="007C3060" w:rsidRDefault="000A2A2B" w:rsidP="007C3060">
            <w:r w:rsidRPr="007C3060">
              <w:t>Oppdragsinntekter forskningsfartøy, forhøyes med</w:t>
            </w:r>
          </w:p>
        </w:tc>
        <w:tc>
          <w:tcPr>
            <w:tcW w:w="1580" w:type="dxa"/>
            <w:tcBorders>
              <w:top w:val="nil"/>
              <w:left w:val="nil"/>
              <w:bottom w:val="nil"/>
              <w:right w:val="nil"/>
            </w:tcBorders>
            <w:tcMar>
              <w:top w:w="128" w:type="dxa"/>
              <w:left w:w="43" w:type="dxa"/>
              <w:bottom w:w="43" w:type="dxa"/>
              <w:right w:w="43" w:type="dxa"/>
            </w:tcMar>
            <w:vAlign w:val="bottom"/>
          </w:tcPr>
          <w:p w14:paraId="555D9EC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3A03E04" w14:textId="77777777" w:rsidR="000A2A2B" w:rsidRPr="007C3060" w:rsidRDefault="000A2A2B" w:rsidP="007C3060">
            <w:r w:rsidRPr="007C3060">
              <w:t>2 200 000</w:t>
            </w:r>
          </w:p>
        </w:tc>
      </w:tr>
      <w:tr w:rsidR="004B729E" w:rsidRPr="007C3060" w14:paraId="4B65DEE4" w14:textId="77777777">
        <w:trPr>
          <w:trHeight w:val="380"/>
        </w:trPr>
        <w:tc>
          <w:tcPr>
            <w:tcW w:w="680" w:type="dxa"/>
            <w:tcBorders>
              <w:top w:val="nil"/>
              <w:left w:val="nil"/>
              <w:bottom w:val="nil"/>
              <w:right w:val="nil"/>
            </w:tcBorders>
            <w:tcMar>
              <w:top w:w="128" w:type="dxa"/>
              <w:left w:w="43" w:type="dxa"/>
              <w:bottom w:w="43" w:type="dxa"/>
              <w:right w:w="123" w:type="dxa"/>
            </w:tcMar>
          </w:tcPr>
          <w:p w14:paraId="4E5FE31A"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F98383B"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DB21CD5" w14:textId="77777777" w:rsidR="000A2A2B" w:rsidRPr="007C3060" w:rsidRDefault="000A2A2B" w:rsidP="007C3060">
            <w:r w:rsidRPr="007C3060">
              <w:t>fra kr 211 226 000 til kr 213 426 000</w:t>
            </w:r>
          </w:p>
        </w:tc>
        <w:tc>
          <w:tcPr>
            <w:tcW w:w="1580" w:type="dxa"/>
            <w:tcBorders>
              <w:top w:val="nil"/>
              <w:left w:val="nil"/>
              <w:bottom w:val="nil"/>
              <w:right w:val="nil"/>
            </w:tcBorders>
            <w:tcMar>
              <w:top w:w="128" w:type="dxa"/>
              <w:left w:w="43" w:type="dxa"/>
              <w:bottom w:w="43" w:type="dxa"/>
              <w:right w:w="43" w:type="dxa"/>
            </w:tcMar>
            <w:vAlign w:val="bottom"/>
          </w:tcPr>
          <w:p w14:paraId="5508D259"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E7A784C" w14:textId="77777777" w:rsidR="000A2A2B" w:rsidRPr="007C3060" w:rsidRDefault="000A2A2B" w:rsidP="007C3060"/>
        </w:tc>
      </w:tr>
      <w:tr w:rsidR="004B729E" w:rsidRPr="007C3060" w14:paraId="3FB4B7B8" w14:textId="77777777">
        <w:trPr>
          <w:trHeight w:val="380"/>
        </w:trPr>
        <w:tc>
          <w:tcPr>
            <w:tcW w:w="680" w:type="dxa"/>
            <w:tcBorders>
              <w:top w:val="nil"/>
              <w:left w:val="nil"/>
              <w:bottom w:val="nil"/>
              <w:right w:val="nil"/>
            </w:tcBorders>
            <w:tcMar>
              <w:top w:w="128" w:type="dxa"/>
              <w:left w:w="43" w:type="dxa"/>
              <w:bottom w:w="43" w:type="dxa"/>
              <w:right w:w="123" w:type="dxa"/>
            </w:tcMar>
          </w:tcPr>
          <w:p w14:paraId="1E249E28" w14:textId="77777777" w:rsidR="000A2A2B" w:rsidRPr="007C3060" w:rsidRDefault="000A2A2B" w:rsidP="007C3060">
            <w:r w:rsidRPr="007C3060">
              <w:t>3950</w:t>
            </w:r>
          </w:p>
        </w:tc>
        <w:tc>
          <w:tcPr>
            <w:tcW w:w="680" w:type="dxa"/>
            <w:tcBorders>
              <w:top w:val="nil"/>
              <w:left w:val="nil"/>
              <w:bottom w:val="nil"/>
              <w:right w:val="nil"/>
            </w:tcBorders>
            <w:tcMar>
              <w:top w:w="128" w:type="dxa"/>
              <w:left w:w="43" w:type="dxa"/>
              <w:bottom w:w="43" w:type="dxa"/>
              <w:right w:w="123" w:type="dxa"/>
            </w:tcMar>
            <w:vAlign w:val="bottom"/>
          </w:tcPr>
          <w:p w14:paraId="7DD42963"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F44B865" w14:textId="77777777" w:rsidR="000A2A2B" w:rsidRPr="007C3060" w:rsidRDefault="000A2A2B" w:rsidP="007C3060">
            <w:r w:rsidRPr="007C3060">
              <w:t>Forvaltning av statlig eierskap:</w:t>
            </w:r>
          </w:p>
        </w:tc>
        <w:tc>
          <w:tcPr>
            <w:tcW w:w="1580" w:type="dxa"/>
            <w:tcBorders>
              <w:top w:val="nil"/>
              <w:left w:val="nil"/>
              <w:bottom w:val="nil"/>
              <w:right w:val="nil"/>
            </w:tcBorders>
            <w:tcMar>
              <w:top w:w="128" w:type="dxa"/>
              <w:left w:w="43" w:type="dxa"/>
              <w:bottom w:w="43" w:type="dxa"/>
              <w:right w:w="43" w:type="dxa"/>
            </w:tcMar>
            <w:vAlign w:val="bottom"/>
          </w:tcPr>
          <w:p w14:paraId="1A62D73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CE7B26C" w14:textId="77777777" w:rsidR="000A2A2B" w:rsidRPr="007C3060" w:rsidRDefault="000A2A2B" w:rsidP="007C3060"/>
        </w:tc>
      </w:tr>
      <w:tr w:rsidR="004B729E" w:rsidRPr="007C3060" w14:paraId="0E6A5276" w14:textId="77777777">
        <w:trPr>
          <w:trHeight w:val="380"/>
        </w:trPr>
        <w:tc>
          <w:tcPr>
            <w:tcW w:w="680" w:type="dxa"/>
            <w:tcBorders>
              <w:top w:val="nil"/>
              <w:left w:val="nil"/>
              <w:bottom w:val="nil"/>
              <w:right w:val="nil"/>
            </w:tcBorders>
            <w:tcMar>
              <w:top w:w="128" w:type="dxa"/>
              <w:left w:w="43" w:type="dxa"/>
              <w:bottom w:w="43" w:type="dxa"/>
              <w:right w:w="123" w:type="dxa"/>
            </w:tcMar>
          </w:tcPr>
          <w:p w14:paraId="12F8E98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224D303" w14:textId="77777777" w:rsidR="000A2A2B" w:rsidRPr="007C3060" w:rsidRDefault="000A2A2B" w:rsidP="007C3060">
            <w:r w:rsidRPr="007C3060">
              <w:t>96</w:t>
            </w:r>
          </w:p>
        </w:tc>
        <w:tc>
          <w:tcPr>
            <w:tcW w:w="5040" w:type="dxa"/>
            <w:tcBorders>
              <w:top w:val="nil"/>
              <w:left w:val="nil"/>
              <w:bottom w:val="nil"/>
              <w:right w:val="nil"/>
            </w:tcBorders>
            <w:tcMar>
              <w:top w:w="128" w:type="dxa"/>
              <w:left w:w="43" w:type="dxa"/>
              <w:bottom w:w="43" w:type="dxa"/>
              <w:right w:w="43" w:type="dxa"/>
            </w:tcMar>
            <w:vAlign w:val="bottom"/>
          </w:tcPr>
          <w:p w14:paraId="09BFFF8C" w14:textId="77777777" w:rsidR="000A2A2B" w:rsidRPr="007C3060" w:rsidRDefault="000A2A2B" w:rsidP="007C3060">
            <w:r w:rsidRPr="007C3060">
              <w:t>Salg av aksjer, forhøyes med</w:t>
            </w:r>
          </w:p>
        </w:tc>
        <w:tc>
          <w:tcPr>
            <w:tcW w:w="1580" w:type="dxa"/>
            <w:tcBorders>
              <w:top w:val="nil"/>
              <w:left w:val="nil"/>
              <w:bottom w:val="nil"/>
              <w:right w:val="nil"/>
            </w:tcBorders>
            <w:tcMar>
              <w:top w:w="128" w:type="dxa"/>
              <w:left w:w="43" w:type="dxa"/>
              <w:bottom w:w="43" w:type="dxa"/>
              <w:right w:w="43" w:type="dxa"/>
            </w:tcMar>
            <w:vAlign w:val="bottom"/>
          </w:tcPr>
          <w:p w14:paraId="25BB4F3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DDBA58A" w14:textId="77777777" w:rsidR="000A2A2B" w:rsidRPr="007C3060" w:rsidRDefault="000A2A2B" w:rsidP="007C3060">
            <w:r w:rsidRPr="007C3060">
              <w:t>1 687 800 000</w:t>
            </w:r>
          </w:p>
        </w:tc>
      </w:tr>
      <w:tr w:rsidR="004B729E" w:rsidRPr="007C3060" w14:paraId="18C32CF4" w14:textId="77777777">
        <w:trPr>
          <w:trHeight w:val="380"/>
        </w:trPr>
        <w:tc>
          <w:tcPr>
            <w:tcW w:w="680" w:type="dxa"/>
            <w:tcBorders>
              <w:top w:val="nil"/>
              <w:left w:val="nil"/>
              <w:bottom w:val="nil"/>
              <w:right w:val="nil"/>
            </w:tcBorders>
            <w:tcMar>
              <w:top w:w="128" w:type="dxa"/>
              <w:left w:w="43" w:type="dxa"/>
              <w:bottom w:w="43" w:type="dxa"/>
              <w:right w:w="123" w:type="dxa"/>
            </w:tcMar>
          </w:tcPr>
          <w:p w14:paraId="1FEA3C9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823C193"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EC6183F" w14:textId="77777777" w:rsidR="000A2A2B" w:rsidRPr="007C3060" w:rsidRDefault="000A2A2B" w:rsidP="007C3060">
            <w:r w:rsidRPr="007C3060">
              <w:t>fra kr 25 000 000 til kr 1 712 800 000</w:t>
            </w:r>
          </w:p>
        </w:tc>
        <w:tc>
          <w:tcPr>
            <w:tcW w:w="1580" w:type="dxa"/>
            <w:tcBorders>
              <w:top w:val="nil"/>
              <w:left w:val="nil"/>
              <w:bottom w:val="nil"/>
              <w:right w:val="nil"/>
            </w:tcBorders>
            <w:tcMar>
              <w:top w:w="128" w:type="dxa"/>
              <w:left w:w="43" w:type="dxa"/>
              <w:bottom w:w="43" w:type="dxa"/>
              <w:right w:w="43" w:type="dxa"/>
            </w:tcMar>
            <w:vAlign w:val="bottom"/>
          </w:tcPr>
          <w:p w14:paraId="609CD57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BB6395A" w14:textId="77777777" w:rsidR="000A2A2B" w:rsidRPr="007C3060" w:rsidRDefault="000A2A2B" w:rsidP="007C3060"/>
        </w:tc>
      </w:tr>
      <w:tr w:rsidR="004B729E" w:rsidRPr="007C3060" w14:paraId="70F8807E" w14:textId="77777777">
        <w:trPr>
          <w:trHeight w:val="380"/>
        </w:trPr>
        <w:tc>
          <w:tcPr>
            <w:tcW w:w="680" w:type="dxa"/>
            <w:tcBorders>
              <w:top w:val="nil"/>
              <w:left w:val="nil"/>
              <w:bottom w:val="nil"/>
              <w:right w:val="nil"/>
            </w:tcBorders>
            <w:tcMar>
              <w:top w:w="128" w:type="dxa"/>
              <w:left w:w="43" w:type="dxa"/>
              <w:bottom w:w="43" w:type="dxa"/>
              <w:right w:w="123" w:type="dxa"/>
            </w:tcMar>
          </w:tcPr>
          <w:p w14:paraId="12A05ED7" w14:textId="77777777" w:rsidR="000A2A2B" w:rsidRPr="007C3060" w:rsidRDefault="000A2A2B" w:rsidP="007C3060">
            <w:r w:rsidRPr="007C3060">
              <w:t>3952</w:t>
            </w:r>
          </w:p>
        </w:tc>
        <w:tc>
          <w:tcPr>
            <w:tcW w:w="680" w:type="dxa"/>
            <w:tcBorders>
              <w:top w:val="nil"/>
              <w:left w:val="nil"/>
              <w:bottom w:val="nil"/>
              <w:right w:val="nil"/>
            </w:tcBorders>
            <w:tcMar>
              <w:top w:w="128" w:type="dxa"/>
              <w:left w:w="43" w:type="dxa"/>
              <w:bottom w:w="43" w:type="dxa"/>
              <w:right w:w="123" w:type="dxa"/>
            </w:tcMar>
            <w:vAlign w:val="bottom"/>
          </w:tcPr>
          <w:p w14:paraId="2D631B8C"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E24A19A" w14:textId="77777777" w:rsidR="000A2A2B" w:rsidRPr="007C3060" w:rsidRDefault="000A2A2B" w:rsidP="007C3060">
            <w:proofErr w:type="spellStart"/>
            <w:r w:rsidRPr="007C3060">
              <w:t>Investinor</w:t>
            </w:r>
            <w:proofErr w:type="spellEnd"/>
            <w:r w:rsidRPr="007C3060">
              <w:t xml:space="preserve"> AS:</w:t>
            </w:r>
          </w:p>
        </w:tc>
        <w:tc>
          <w:tcPr>
            <w:tcW w:w="1580" w:type="dxa"/>
            <w:tcBorders>
              <w:top w:val="nil"/>
              <w:left w:val="nil"/>
              <w:bottom w:val="nil"/>
              <w:right w:val="nil"/>
            </w:tcBorders>
            <w:tcMar>
              <w:top w:w="128" w:type="dxa"/>
              <w:left w:w="43" w:type="dxa"/>
              <w:bottom w:w="43" w:type="dxa"/>
              <w:right w:w="43" w:type="dxa"/>
            </w:tcMar>
            <w:vAlign w:val="bottom"/>
          </w:tcPr>
          <w:p w14:paraId="6E585F5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F4DA67A" w14:textId="77777777" w:rsidR="000A2A2B" w:rsidRPr="007C3060" w:rsidRDefault="000A2A2B" w:rsidP="007C3060"/>
        </w:tc>
      </w:tr>
      <w:tr w:rsidR="004B729E" w:rsidRPr="007C3060" w14:paraId="502FEDEC" w14:textId="77777777">
        <w:trPr>
          <w:trHeight w:val="380"/>
        </w:trPr>
        <w:tc>
          <w:tcPr>
            <w:tcW w:w="680" w:type="dxa"/>
            <w:tcBorders>
              <w:top w:val="nil"/>
              <w:left w:val="nil"/>
              <w:bottom w:val="nil"/>
              <w:right w:val="nil"/>
            </w:tcBorders>
            <w:tcMar>
              <w:top w:w="128" w:type="dxa"/>
              <w:left w:w="43" w:type="dxa"/>
              <w:bottom w:w="43" w:type="dxa"/>
              <w:right w:w="123" w:type="dxa"/>
            </w:tcMar>
          </w:tcPr>
          <w:p w14:paraId="08664A61" w14:textId="77777777" w:rsidR="000A2A2B" w:rsidRPr="007C3060" w:rsidRDefault="000A2A2B" w:rsidP="007C3060">
            <w:r w:rsidRPr="007C3060">
              <w:t>(NY)</w:t>
            </w:r>
          </w:p>
        </w:tc>
        <w:tc>
          <w:tcPr>
            <w:tcW w:w="680" w:type="dxa"/>
            <w:tcBorders>
              <w:top w:val="nil"/>
              <w:left w:val="nil"/>
              <w:bottom w:val="nil"/>
              <w:right w:val="nil"/>
            </w:tcBorders>
            <w:tcMar>
              <w:top w:w="128" w:type="dxa"/>
              <w:left w:w="43" w:type="dxa"/>
              <w:bottom w:w="43" w:type="dxa"/>
              <w:right w:w="123" w:type="dxa"/>
            </w:tcMar>
            <w:vAlign w:val="bottom"/>
          </w:tcPr>
          <w:p w14:paraId="57400E3B" w14:textId="77777777" w:rsidR="000A2A2B" w:rsidRPr="007C3060" w:rsidRDefault="000A2A2B" w:rsidP="007C3060">
            <w:r w:rsidRPr="007C3060">
              <w:t>90</w:t>
            </w:r>
          </w:p>
        </w:tc>
        <w:tc>
          <w:tcPr>
            <w:tcW w:w="5040" w:type="dxa"/>
            <w:tcBorders>
              <w:top w:val="nil"/>
              <w:left w:val="nil"/>
              <w:bottom w:val="nil"/>
              <w:right w:val="nil"/>
            </w:tcBorders>
            <w:tcMar>
              <w:top w:w="128" w:type="dxa"/>
              <w:left w:w="43" w:type="dxa"/>
              <w:bottom w:w="43" w:type="dxa"/>
              <w:right w:w="43" w:type="dxa"/>
            </w:tcMar>
            <w:vAlign w:val="bottom"/>
          </w:tcPr>
          <w:p w14:paraId="4F6EC09A" w14:textId="77777777" w:rsidR="000A2A2B" w:rsidRPr="007C3060" w:rsidRDefault="000A2A2B" w:rsidP="007C3060">
            <w:r w:rsidRPr="007C3060">
              <w:t>Tilbakeført kapital, såkornfond, bevilges med</w:t>
            </w:r>
          </w:p>
        </w:tc>
        <w:tc>
          <w:tcPr>
            <w:tcW w:w="1580" w:type="dxa"/>
            <w:tcBorders>
              <w:top w:val="nil"/>
              <w:left w:val="nil"/>
              <w:bottom w:val="nil"/>
              <w:right w:val="nil"/>
            </w:tcBorders>
            <w:tcMar>
              <w:top w:w="128" w:type="dxa"/>
              <w:left w:w="43" w:type="dxa"/>
              <w:bottom w:w="43" w:type="dxa"/>
              <w:right w:w="43" w:type="dxa"/>
            </w:tcMar>
            <w:vAlign w:val="bottom"/>
          </w:tcPr>
          <w:p w14:paraId="66DFC59C"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1ACE091" w14:textId="77777777" w:rsidR="000A2A2B" w:rsidRPr="007C3060" w:rsidRDefault="000A2A2B" w:rsidP="007C3060">
            <w:r w:rsidRPr="007C3060">
              <w:t>136 000 000</w:t>
            </w:r>
          </w:p>
        </w:tc>
      </w:tr>
      <w:tr w:rsidR="004B729E" w:rsidRPr="007C3060" w14:paraId="60A1FB6A" w14:textId="77777777">
        <w:trPr>
          <w:trHeight w:val="380"/>
        </w:trPr>
        <w:tc>
          <w:tcPr>
            <w:tcW w:w="680" w:type="dxa"/>
            <w:tcBorders>
              <w:top w:val="nil"/>
              <w:left w:val="nil"/>
              <w:bottom w:val="nil"/>
              <w:right w:val="nil"/>
            </w:tcBorders>
            <w:tcMar>
              <w:top w:w="128" w:type="dxa"/>
              <w:left w:w="43" w:type="dxa"/>
              <w:bottom w:w="43" w:type="dxa"/>
              <w:right w:w="123" w:type="dxa"/>
            </w:tcMar>
          </w:tcPr>
          <w:p w14:paraId="59C74901" w14:textId="77777777" w:rsidR="000A2A2B" w:rsidRPr="007C3060" w:rsidRDefault="000A2A2B" w:rsidP="007C3060">
            <w:r w:rsidRPr="007C3060">
              <w:lastRenderedPageBreak/>
              <w:t>4354</w:t>
            </w:r>
          </w:p>
        </w:tc>
        <w:tc>
          <w:tcPr>
            <w:tcW w:w="680" w:type="dxa"/>
            <w:tcBorders>
              <w:top w:val="nil"/>
              <w:left w:val="nil"/>
              <w:bottom w:val="nil"/>
              <w:right w:val="nil"/>
            </w:tcBorders>
            <w:tcMar>
              <w:top w:w="128" w:type="dxa"/>
              <w:left w:w="43" w:type="dxa"/>
              <w:bottom w:w="43" w:type="dxa"/>
              <w:right w:w="123" w:type="dxa"/>
            </w:tcMar>
            <w:vAlign w:val="bottom"/>
          </w:tcPr>
          <w:p w14:paraId="4D489623"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4B49055" w14:textId="77777777" w:rsidR="000A2A2B" w:rsidRPr="007C3060" w:rsidRDefault="000A2A2B" w:rsidP="007C3060">
            <w:r w:rsidRPr="007C3060">
              <w:t>Statens jernbanetilsyn:</w:t>
            </w:r>
          </w:p>
        </w:tc>
        <w:tc>
          <w:tcPr>
            <w:tcW w:w="1580" w:type="dxa"/>
            <w:tcBorders>
              <w:top w:val="nil"/>
              <w:left w:val="nil"/>
              <w:bottom w:val="nil"/>
              <w:right w:val="nil"/>
            </w:tcBorders>
            <w:tcMar>
              <w:top w:w="128" w:type="dxa"/>
              <w:left w:w="43" w:type="dxa"/>
              <w:bottom w:w="43" w:type="dxa"/>
              <w:right w:w="43" w:type="dxa"/>
            </w:tcMar>
            <w:vAlign w:val="bottom"/>
          </w:tcPr>
          <w:p w14:paraId="4E1201FE"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3E34385" w14:textId="77777777" w:rsidR="000A2A2B" w:rsidRPr="007C3060" w:rsidRDefault="000A2A2B" w:rsidP="007C3060"/>
        </w:tc>
      </w:tr>
      <w:tr w:rsidR="004B729E" w:rsidRPr="007C3060" w14:paraId="7D5CF35D" w14:textId="77777777">
        <w:trPr>
          <w:trHeight w:val="380"/>
        </w:trPr>
        <w:tc>
          <w:tcPr>
            <w:tcW w:w="680" w:type="dxa"/>
            <w:tcBorders>
              <w:top w:val="nil"/>
              <w:left w:val="nil"/>
              <w:bottom w:val="nil"/>
              <w:right w:val="nil"/>
            </w:tcBorders>
            <w:tcMar>
              <w:top w:w="128" w:type="dxa"/>
              <w:left w:w="43" w:type="dxa"/>
              <w:bottom w:w="43" w:type="dxa"/>
              <w:right w:w="123" w:type="dxa"/>
            </w:tcMar>
          </w:tcPr>
          <w:p w14:paraId="4136F0E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3C43D6E"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4A75A6A9" w14:textId="77777777" w:rsidR="000A2A2B" w:rsidRPr="007C3060" w:rsidRDefault="000A2A2B" w:rsidP="007C3060">
            <w:r w:rsidRPr="007C3060">
              <w:t>Gebyrer, forhøyes med</w:t>
            </w:r>
          </w:p>
        </w:tc>
        <w:tc>
          <w:tcPr>
            <w:tcW w:w="1580" w:type="dxa"/>
            <w:tcBorders>
              <w:top w:val="nil"/>
              <w:left w:val="nil"/>
              <w:bottom w:val="nil"/>
              <w:right w:val="nil"/>
            </w:tcBorders>
            <w:tcMar>
              <w:top w:w="128" w:type="dxa"/>
              <w:left w:w="43" w:type="dxa"/>
              <w:bottom w:w="43" w:type="dxa"/>
              <w:right w:w="43" w:type="dxa"/>
            </w:tcMar>
            <w:vAlign w:val="bottom"/>
          </w:tcPr>
          <w:p w14:paraId="1E878B6C"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0FC6289" w14:textId="77777777" w:rsidR="000A2A2B" w:rsidRPr="007C3060" w:rsidRDefault="000A2A2B" w:rsidP="007C3060">
            <w:r w:rsidRPr="007C3060">
              <w:t>300 000</w:t>
            </w:r>
          </w:p>
        </w:tc>
      </w:tr>
      <w:tr w:rsidR="004B729E" w:rsidRPr="007C3060" w14:paraId="1EC419C5" w14:textId="77777777">
        <w:trPr>
          <w:trHeight w:val="380"/>
        </w:trPr>
        <w:tc>
          <w:tcPr>
            <w:tcW w:w="680" w:type="dxa"/>
            <w:tcBorders>
              <w:top w:val="nil"/>
              <w:left w:val="nil"/>
              <w:bottom w:val="nil"/>
              <w:right w:val="nil"/>
            </w:tcBorders>
            <w:tcMar>
              <w:top w:w="128" w:type="dxa"/>
              <w:left w:w="43" w:type="dxa"/>
              <w:bottom w:w="43" w:type="dxa"/>
              <w:right w:w="123" w:type="dxa"/>
            </w:tcMar>
          </w:tcPr>
          <w:p w14:paraId="71F12F9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CBAC663"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34598F6B" w14:textId="77777777" w:rsidR="000A2A2B" w:rsidRPr="007C3060" w:rsidRDefault="000A2A2B" w:rsidP="007C3060">
            <w:r w:rsidRPr="007C3060">
              <w:t>fra kr 15 600 000 til kr 15 900 000</w:t>
            </w:r>
          </w:p>
        </w:tc>
        <w:tc>
          <w:tcPr>
            <w:tcW w:w="1580" w:type="dxa"/>
            <w:tcBorders>
              <w:top w:val="nil"/>
              <w:left w:val="nil"/>
              <w:bottom w:val="nil"/>
              <w:right w:val="nil"/>
            </w:tcBorders>
            <w:tcMar>
              <w:top w:w="128" w:type="dxa"/>
              <w:left w:w="43" w:type="dxa"/>
              <w:bottom w:w="43" w:type="dxa"/>
              <w:right w:w="43" w:type="dxa"/>
            </w:tcMar>
            <w:vAlign w:val="bottom"/>
          </w:tcPr>
          <w:p w14:paraId="6ADFD25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7951E9C" w14:textId="77777777" w:rsidR="000A2A2B" w:rsidRPr="007C3060" w:rsidRDefault="000A2A2B" w:rsidP="007C3060"/>
        </w:tc>
      </w:tr>
      <w:tr w:rsidR="004B729E" w:rsidRPr="007C3060" w14:paraId="0A2AF716" w14:textId="77777777">
        <w:trPr>
          <w:trHeight w:val="380"/>
        </w:trPr>
        <w:tc>
          <w:tcPr>
            <w:tcW w:w="680" w:type="dxa"/>
            <w:tcBorders>
              <w:top w:val="nil"/>
              <w:left w:val="nil"/>
              <w:bottom w:val="nil"/>
              <w:right w:val="nil"/>
            </w:tcBorders>
            <w:tcMar>
              <w:top w:w="128" w:type="dxa"/>
              <w:left w:w="43" w:type="dxa"/>
              <w:bottom w:w="43" w:type="dxa"/>
              <w:right w:w="123" w:type="dxa"/>
            </w:tcMar>
          </w:tcPr>
          <w:p w14:paraId="641D5EE6" w14:textId="77777777" w:rsidR="000A2A2B" w:rsidRPr="007C3060" w:rsidRDefault="000A2A2B" w:rsidP="007C3060">
            <w:r w:rsidRPr="007C3060">
              <w:t>4355</w:t>
            </w:r>
          </w:p>
        </w:tc>
        <w:tc>
          <w:tcPr>
            <w:tcW w:w="680" w:type="dxa"/>
            <w:tcBorders>
              <w:top w:val="nil"/>
              <w:left w:val="nil"/>
              <w:bottom w:val="nil"/>
              <w:right w:val="nil"/>
            </w:tcBorders>
            <w:tcMar>
              <w:top w:w="128" w:type="dxa"/>
              <w:left w:w="43" w:type="dxa"/>
              <w:bottom w:w="43" w:type="dxa"/>
              <w:right w:w="123" w:type="dxa"/>
            </w:tcMar>
            <w:vAlign w:val="bottom"/>
          </w:tcPr>
          <w:p w14:paraId="55CE9092"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08D03E8" w14:textId="77777777" w:rsidR="000A2A2B" w:rsidRPr="007C3060" w:rsidRDefault="000A2A2B" w:rsidP="007C3060">
            <w:r w:rsidRPr="007C3060">
              <w:t>Flytoget AS:</w:t>
            </w:r>
          </w:p>
        </w:tc>
        <w:tc>
          <w:tcPr>
            <w:tcW w:w="1580" w:type="dxa"/>
            <w:tcBorders>
              <w:top w:val="nil"/>
              <w:left w:val="nil"/>
              <w:bottom w:val="nil"/>
              <w:right w:val="nil"/>
            </w:tcBorders>
            <w:tcMar>
              <w:top w:w="128" w:type="dxa"/>
              <w:left w:w="43" w:type="dxa"/>
              <w:bottom w:w="43" w:type="dxa"/>
              <w:right w:w="43" w:type="dxa"/>
            </w:tcMar>
            <w:vAlign w:val="bottom"/>
          </w:tcPr>
          <w:p w14:paraId="6CDBD76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8E4BCC7" w14:textId="77777777" w:rsidR="000A2A2B" w:rsidRPr="007C3060" w:rsidRDefault="000A2A2B" w:rsidP="007C3060"/>
        </w:tc>
      </w:tr>
      <w:tr w:rsidR="004B729E" w:rsidRPr="007C3060" w14:paraId="5A286167" w14:textId="77777777">
        <w:trPr>
          <w:trHeight w:val="380"/>
        </w:trPr>
        <w:tc>
          <w:tcPr>
            <w:tcW w:w="680" w:type="dxa"/>
            <w:tcBorders>
              <w:top w:val="nil"/>
              <w:left w:val="nil"/>
              <w:bottom w:val="nil"/>
              <w:right w:val="nil"/>
            </w:tcBorders>
            <w:tcMar>
              <w:top w:w="128" w:type="dxa"/>
              <w:left w:w="43" w:type="dxa"/>
              <w:bottom w:w="43" w:type="dxa"/>
              <w:right w:w="123" w:type="dxa"/>
            </w:tcMar>
          </w:tcPr>
          <w:p w14:paraId="2D55C3D6" w14:textId="77777777" w:rsidR="000A2A2B" w:rsidRPr="007C3060" w:rsidRDefault="000A2A2B" w:rsidP="007C3060">
            <w:r w:rsidRPr="007C3060">
              <w:t>(NY)</w:t>
            </w:r>
          </w:p>
        </w:tc>
        <w:tc>
          <w:tcPr>
            <w:tcW w:w="680" w:type="dxa"/>
            <w:tcBorders>
              <w:top w:val="nil"/>
              <w:left w:val="nil"/>
              <w:bottom w:val="nil"/>
              <w:right w:val="nil"/>
            </w:tcBorders>
            <w:tcMar>
              <w:top w:w="128" w:type="dxa"/>
              <w:left w:w="43" w:type="dxa"/>
              <w:bottom w:w="43" w:type="dxa"/>
              <w:right w:w="123" w:type="dxa"/>
            </w:tcMar>
            <w:vAlign w:val="bottom"/>
          </w:tcPr>
          <w:p w14:paraId="4E46AF19" w14:textId="77777777" w:rsidR="000A2A2B" w:rsidRPr="007C3060" w:rsidRDefault="000A2A2B" w:rsidP="007C3060">
            <w:r w:rsidRPr="007C3060">
              <w:t>96</w:t>
            </w:r>
          </w:p>
        </w:tc>
        <w:tc>
          <w:tcPr>
            <w:tcW w:w="5040" w:type="dxa"/>
            <w:tcBorders>
              <w:top w:val="nil"/>
              <w:left w:val="nil"/>
              <w:bottom w:val="nil"/>
              <w:right w:val="nil"/>
            </w:tcBorders>
            <w:tcMar>
              <w:top w:w="128" w:type="dxa"/>
              <w:left w:w="43" w:type="dxa"/>
              <w:bottom w:w="43" w:type="dxa"/>
              <w:right w:w="43" w:type="dxa"/>
            </w:tcMar>
            <w:vAlign w:val="bottom"/>
          </w:tcPr>
          <w:p w14:paraId="08B8416E" w14:textId="77777777" w:rsidR="000A2A2B" w:rsidRPr="007C3060" w:rsidRDefault="000A2A2B" w:rsidP="007C3060">
            <w:r w:rsidRPr="007C3060">
              <w:t>Tilbakebetaling av aksjekapital, bevilges med</w:t>
            </w:r>
          </w:p>
        </w:tc>
        <w:tc>
          <w:tcPr>
            <w:tcW w:w="1580" w:type="dxa"/>
            <w:tcBorders>
              <w:top w:val="nil"/>
              <w:left w:val="nil"/>
              <w:bottom w:val="nil"/>
              <w:right w:val="nil"/>
            </w:tcBorders>
            <w:tcMar>
              <w:top w:w="128" w:type="dxa"/>
              <w:left w:w="43" w:type="dxa"/>
              <w:bottom w:w="43" w:type="dxa"/>
              <w:right w:w="43" w:type="dxa"/>
            </w:tcMar>
            <w:vAlign w:val="bottom"/>
          </w:tcPr>
          <w:p w14:paraId="1FB2C94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8E0FBCB" w14:textId="77777777" w:rsidR="000A2A2B" w:rsidRPr="007C3060" w:rsidRDefault="000A2A2B" w:rsidP="007C3060">
            <w:r w:rsidRPr="007C3060">
              <w:t>970 000 000</w:t>
            </w:r>
          </w:p>
        </w:tc>
      </w:tr>
      <w:tr w:rsidR="004B729E" w:rsidRPr="007C3060" w14:paraId="5DAE235A" w14:textId="77777777">
        <w:trPr>
          <w:trHeight w:val="380"/>
        </w:trPr>
        <w:tc>
          <w:tcPr>
            <w:tcW w:w="680" w:type="dxa"/>
            <w:tcBorders>
              <w:top w:val="nil"/>
              <w:left w:val="nil"/>
              <w:bottom w:val="nil"/>
              <w:right w:val="nil"/>
            </w:tcBorders>
            <w:tcMar>
              <w:top w:w="128" w:type="dxa"/>
              <w:left w:w="43" w:type="dxa"/>
              <w:bottom w:w="43" w:type="dxa"/>
              <w:right w:w="123" w:type="dxa"/>
            </w:tcMar>
          </w:tcPr>
          <w:p w14:paraId="5A2D9145" w14:textId="77777777" w:rsidR="000A2A2B" w:rsidRPr="007C3060" w:rsidRDefault="000A2A2B" w:rsidP="007C3060">
            <w:r w:rsidRPr="007C3060">
              <w:t>4420</w:t>
            </w:r>
          </w:p>
        </w:tc>
        <w:tc>
          <w:tcPr>
            <w:tcW w:w="680" w:type="dxa"/>
            <w:tcBorders>
              <w:top w:val="nil"/>
              <w:left w:val="nil"/>
              <w:bottom w:val="nil"/>
              <w:right w:val="nil"/>
            </w:tcBorders>
            <w:tcMar>
              <w:top w:w="128" w:type="dxa"/>
              <w:left w:w="43" w:type="dxa"/>
              <w:bottom w:w="43" w:type="dxa"/>
              <w:right w:w="123" w:type="dxa"/>
            </w:tcMar>
            <w:vAlign w:val="bottom"/>
          </w:tcPr>
          <w:p w14:paraId="212AF0A4"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75E7EA0" w14:textId="77777777" w:rsidR="000A2A2B" w:rsidRPr="007C3060" w:rsidRDefault="000A2A2B" w:rsidP="007C3060">
            <w:r w:rsidRPr="007C3060">
              <w:t>Miljødirektoratet:</w:t>
            </w:r>
          </w:p>
        </w:tc>
        <w:tc>
          <w:tcPr>
            <w:tcW w:w="1580" w:type="dxa"/>
            <w:tcBorders>
              <w:top w:val="nil"/>
              <w:left w:val="nil"/>
              <w:bottom w:val="nil"/>
              <w:right w:val="nil"/>
            </w:tcBorders>
            <w:tcMar>
              <w:top w:w="128" w:type="dxa"/>
              <w:left w:w="43" w:type="dxa"/>
              <w:bottom w:w="43" w:type="dxa"/>
              <w:right w:w="43" w:type="dxa"/>
            </w:tcMar>
            <w:vAlign w:val="bottom"/>
          </w:tcPr>
          <w:p w14:paraId="4F2C78B2"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81F23D2" w14:textId="77777777" w:rsidR="000A2A2B" w:rsidRPr="007C3060" w:rsidRDefault="000A2A2B" w:rsidP="007C3060"/>
        </w:tc>
      </w:tr>
      <w:tr w:rsidR="004B729E" w:rsidRPr="007C3060" w14:paraId="5226B56F" w14:textId="77777777">
        <w:trPr>
          <w:trHeight w:val="640"/>
        </w:trPr>
        <w:tc>
          <w:tcPr>
            <w:tcW w:w="680" w:type="dxa"/>
            <w:tcBorders>
              <w:top w:val="nil"/>
              <w:left w:val="nil"/>
              <w:bottom w:val="nil"/>
              <w:right w:val="nil"/>
            </w:tcBorders>
            <w:tcMar>
              <w:top w:w="128" w:type="dxa"/>
              <w:left w:w="43" w:type="dxa"/>
              <w:bottom w:w="43" w:type="dxa"/>
              <w:right w:w="123" w:type="dxa"/>
            </w:tcMar>
          </w:tcPr>
          <w:p w14:paraId="7C8F1B78" w14:textId="77777777" w:rsidR="000A2A2B" w:rsidRPr="007C3060" w:rsidRDefault="000A2A2B" w:rsidP="007C3060">
            <w:r w:rsidRPr="007C3060">
              <w:t>(NY)</w:t>
            </w:r>
          </w:p>
        </w:tc>
        <w:tc>
          <w:tcPr>
            <w:tcW w:w="680" w:type="dxa"/>
            <w:tcBorders>
              <w:top w:val="nil"/>
              <w:left w:val="nil"/>
              <w:bottom w:val="nil"/>
              <w:right w:val="nil"/>
            </w:tcBorders>
            <w:tcMar>
              <w:top w:w="128" w:type="dxa"/>
              <w:left w:w="43" w:type="dxa"/>
              <w:bottom w:w="43" w:type="dxa"/>
              <w:right w:w="123" w:type="dxa"/>
            </w:tcMar>
          </w:tcPr>
          <w:p w14:paraId="191DBA64" w14:textId="77777777" w:rsidR="000A2A2B" w:rsidRPr="007C3060" w:rsidRDefault="000A2A2B" w:rsidP="007C3060">
            <w:r w:rsidRPr="007C3060">
              <w:t>40</w:t>
            </w:r>
          </w:p>
        </w:tc>
        <w:tc>
          <w:tcPr>
            <w:tcW w:w="5040" w:type="dxa"/>
            <w:tcBorders>
              <w:top w:val="nil"/>
              <w:left w:val="nil"/>
              <w:bottom w:val="nil"/>
              <w:right w:val="nil"/>
            </w:tcBorders>
            <w:tcMar>
              <w:top w:w="128" w:type="dxa"/>
              <w:left w:w="43" w:type="dxa"/>
              <w:bottom w:w="43" w:type="dxa"/>
              <w:right w:w="43" w:type="dxa"/>
            </w:tcMar>
            <w:vAlign w:val="bottom"/>
          </w:tcPr>
          <w:p w14:paraId="2484421B" w14:textId="77777777" w:rsidR="000A2A2B" w:rsidRPr="007C3060" w:rsidRDefault="000A2A2B" w:rsidP="007C3060">
            <w:r w:rsidRPr="007C3060">
              <w:t>Salg av eiendom og innløsning av festetomter i statlig sikrede friluftslivsområder, bevilges med</w:t>
            </w:r>
          </w:p>
        </w:tc>
        <w:tc>
          <w:tcPr>
            <w:tcW w:w="1580" w:type="dxa"/>
            <w:tcBorders>
              <w:top w:val="nil"/>
              <w:left w:val="nil"/>
              <w:bottom w:val="nil"/>
              <w:right w:val="nil"/>
            </w:tcBorders>
            <w:tcMar>
              <w:top w:w="128" w:type="dxa"/>
              <w:left w:w="43" w:type="dxa"/>
              <w:bottom w:w="43" w:type="dxa"/>
              <w:right w:w="43" w:type="dxa"/>
            </w:tcMar>
            <w:vAlign w:val="bottom"/>
          </w:tcPr>
          <w:p w14:paraId="00E8CCF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E0CF52D" w14:textId="77777777" w:rsidR="000A2A2B" w:rsidRPr="007C3060" w:rsidRDefault="000A2A2B" w:rsidP="007C3060">
            <w:r w:rsidRPr="007C3060">
              <w:t>4 785 000</w:t>
            </w:r>
          </w:p>
        </w:tc>
      </w:tr>
      <w:tr w:rsidR="004B729E" w:rsidRPr="007C3060" w14:paraId="2158A1A6" w14:textId="77777777">
        <w:trPr>
          <w:trHeight w:val="380"/>
        </w:trPr>
        <w:tc>
          <w:tcPr>
            <w:tcW w:w="680" w:type="dxa"/>
            <w:tcBorders>
              <w:top w:val="nil"/>
              <w:left w:val="nil"/>
              <w:bottom w:val="nil"/>
              <w:right w:val="nil"/>
            </w:tcBorders>
            <w:tcMar>
              <w:top w:w="128" w:type="dxa"/>
              <w:left w:w="43" w:type="dxa"/>
              <w:bottom w:w="43" w:type="dxa"/>
              <w:right w:w="123" w:type="dxa"/>
            </w:tcMar>
          </w:tcPr>
          <w:p w14:paraId="320B52E5" w14:textId="77777777" w:rsidR="000A2A2B" w:rsidRPr="007C3060" w:rsidRDefault="000A2A2B" w:rsidP="007C3060">
            <w:r w:rsidRPr="007C3060">
              <w:t>4471</w:t>
            </w:r>
          </w:p>
        </w:tc>
        <w:tc>
          <w:tcPr>
            <w:tcW w:w="680" w:type="dxa"/>
            <w:tcBorders>
              <w:top w:val="nil"/>
              <w:left w:val="nil"/>
              <w:bottom w:val="nil"/>
              <w:right w:val="nil"/>
            </w:tcBorders>
            <w:tcMar>
              <w:top w:w="128" w:type="dxa"/>
              <w:left w:w="43" w:type="dxa"/>
              <w:bottom w:w="43" w:type="dxa"/>
              <w:right w:w="123" w:type="dxa"/>
            </w:tcMar>
            <w:vAlign w:val="bottom"/>
          </w:tcPr>
          <w:p w14:paraId="7777E06C"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CE98924" w14:textId="77777777" w:rsidR="000A2A2B" w:rsidRPr="007C3060" w:rsidRDefault="000A2A2B" w:rsidP="007C3060">
            <w:r w:rsidRPr="007C3060">
              <w:t>Norsk Polarinstitutt:</w:t>
            </w:r>
          </w:p>
        </w:tc>
        <w:tc>
          <w:tcPr>
            <w:tcW w:w="1580" w:type="dxa"/>
            <w:tcBorders>
              <w:top w:val="nil"/>
              <w:left w:val="nil"/>
              <w:bottom w:val="nil"/>
              <w:right w:val="nil"/>
            </w:tcBorders>
            <w:tcMar>
              <w:top w:w="128" w:type="dxa"/>
              <w:left w:w="43" w:type="dxa"/>
              <w:bottom w:w="43" w:type="dxa"/>
              <w:right w:w="43" w:type="dxa"/>
            </w:tcMar>
            <w:vAlign w:val="bottom"/>
          </w:tcPr>
          <w:p w14:paraId="363F184C"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D93FCDE" w14:textId="77777777" w:rsidR="000A2A2B" w:rsidRPr="007C3060" w:rsidRDefault="000A2A2B" w:rsidP="007C3060"/>
        </w:tc>
      </w:tr>
      <w:tr w:rsidR="004B729E" w:rsidRPr="007C3060" w14:paraId="6B61AC39" w14:textId="77777777">
        <w:trPr>
          <w:trHeight w:val="380"/>
        </w:trPr>
        <w:tc>
          <w:tcPr>
            <w:tcW w:w="680" w:type="dxa"/>
            <w:tcBorders>
              <w:top w:val="nil"/>
              <w:left w:val="nil"/>
              <w:bottom w:val="nil"/>
              <w:right w:val="nil"/>
            </w:tcBorders>
            <w:tcMar>
              <w:top w:w="128" w:type="dxa"/>
              <w:left w:w="43" w:type="dxa"/>
              <w:bottom w:w="43" w:type="dxa"/>
              <w:right w:w="123" w:type="dxa"/>
            </w:tcMar>
          </w:tcPr>
          <w:p w14:paraId="603E1E57"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A1EE2EB" w14:textId="77777777" w:rsidR="000A2A2B" w:rsidRPr="007C3060" w:rsidRDefault="000A2A2B" w:rsidP="007C3060">
            <w:r w:rsidRPr="007C3060">
              <w:t>3</w:t>
            </w:r>
          </w:p>
        </w:tc>
        <w:tc>
          <w:tcPr>
            <w:tcW w:w="5040" w:type="dxa"/>
            <w:tcBorders>
              <w:top w:val="nil"/>
              <w:left w:val="nil"/>
              <w:bottom w:val="nil"/>
              <w:right w:val="nil"/>
            </w:tcBorders>
            <w:tcMar>
              <w:top w:w="128" w:type="dxa"/>
              <w:left w:w="43" w:type="dxa"/>
              <w:bottom w:w="43" w:type="dxa"/>
              <w:right w:w="43" w:type="dxa"/>
            </w:tcMar>
          </w:tcPr>
          <w:p w14:paraId="1DF4401E" w14:textId="77777777" w:rsidR="000A2A2B" w:rsidRPr="007C3060" w:rsidRDefault="000A2A2B" w:rsidP="007C3060">
            <w:r w:rsidRPr="007C3060">
              <w:t>Inntekter fra diverse tjenesteyting, forhøyes med</w:t>
            </w:r>
          </w:p>
        </w:tc>
        <w:tc>
          <w:tcPr>
            <w:tcW w:w="1580" w:type="dxa"/>
            <w:tcBorders>
              <w:top w:val="nil"/>
              <w:left w:val="nil"/>
              <w:bottom w:val="nil"/>
              <w:right w:val="nil"/>
            </w:tcBorders>
            <w:tcMar>
              <w:top w:w="128" w:type="dxa"/>
              <w:left w:w="43" w:type="dxa"/>
              <w:bottom w:w="43" w:type="dxa"/>
              <w:right w:w="43" w:type="dxa"/>
            </w:tcMar>
            <w:vAlign w:val="bottom"/>
          </w:tcPr>
          <w:p w14:paraId="3E4C8435"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878BFC5" w14:textId="77777777" w:rsidR="000A2A2B" w:rsidRPr="007C3060" w:rsidRDefault="000A2A2B" w:rsidP="007C3060">
            <w:r w:rsidRPr="007C3060">
              <w:t>74 263 000</w:t>
            </w:r>
          </w:p>
        </w:tc>
      </w:tr>
      <w:tr w:rsidR="004B729E" w:rsidRPr="007C3060" w14:paraId="339F056C" w14:textId="77777777">
        <w:trPr>
          <w:trHeight w:val="380"/>
        </w:trPr>
        <w:tc>
          <w:tcPr>
            <w:tcW w:w="680" w:type="dxa"/>
            <w:tcBorders>
              <w:top w:val="nil"/>
              <w:left w:val="nil"/>
              <w:bottom w:val="nil"/>
              <w:right w:val="nil"/>
            </w:tcBorders>
            <w:tcMar>
              <w:top w:w="128" w:type="dxa"/>
              <w:left w:w="43" w:type="dxa"/>
              <w:bottom w:w="43" w:type="dxa"/>
              <w:right w:w="123" w:type="dxa"/>
            </w:tcMar>
          </w:tcPr>
          <w:p w14:paraId="1D1907BC"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44A890B"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A784B5B" w14:textId="77777777" w:rsidR="000A2A2B" w:rsidRPr="007C3060" w:rsidRDefault="000A2A2B" w:rsidP="007C3060">
            <w:r w:rsidRPr="007C3060">
              <w:t>fra kr 75 737 000 til kr 150 000 000</w:t>
            </w:r>
          </w:p>
        </w:tc>
        <w:tc>
          <w:tcPr>
            <w:tcW w:w="1580" w:type="dxa"/>
            <w:tcBorders>
              <w:top w:val="nil"/>
              <w:left w:val="nil"/>
              <w:bottom w:val="nil"/>
              <w:right w:val="nil"/>
            </w:tcBorders>
            <w:tcMar>
              <w:top w:w="128" w:type="dxa"/>
              <w:left w:w="43" w:type="dxa"/>
              <w:bottom w:w="43" w:type="dxa"/>
              <w:right w:w="43" w:type="dxa"/>
            </w:tcMar>
            <w:vAlign w:val="bottom"/>
          </w:tcPr>
          <w:p w14:paraId="13EFAC2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CAC9362" w14:textId="77777777" w:rsidR="000A2A2B" w:rsidRPr="007C3060" w:rsidRDefault="000A2A2B" w:rsidP="007C3060"/>
        </w:tc>
      </w:tr>
      <w:tr w:rsidR="004B729E" w:rsidRPr="007C3060" w14:paraId="2C60CBBC" w14:textId="77777777">
        <w:trPr>
          <w:trHeight w:val="380"/>
        </w:trPr>
        <w:tc>
          <w:tcPr>
            <w:tcW w:w="680" w:type="dxa"/>
            <w:tcBorders>
              <w:top w:val="nil"/>
              <w:left w:val="nil"/>
              <w:bottom w:val="nil"/>
              <w:right w:val="nil"/>
            </w:tcBorders>
            <w:tcMar>
              <w:top w:w="128" w:type="dxa"/>
              <w:left w:w="43" w:type="dxa"/>
              <w:bottom w:w="43" w:type="dxa"/>
              <w:right w:w="123" w:type="dxa"/>
            </w:tcMar>
          </w:tcPr>
          <w:p w14:paraId="769FCC95" w14:textId="77777777" w:rsidR="000A2A2B" w:rsidRPr="007C3060" w:rsidRDefault="000A2A2B" w:rsidP="007C3060">
            <w:r w:rsidRPr="007C3060">
              <w:t>4481</w:t>
            </w:r>
          </w:p>
        </w:tc>
        <w:tc>
          <w:tcPr>
            <w:tcW w:w="680" w:type="dxa"/>
            <w:tcBorders>
              <w:top w:val="nil"/>
              <w:left w:val="nil"/>
              <w:bottom w:val="nil"/>
              <w:right w:val="nil"/>
            </w:tcBorders>
            <w:tcMar>
              <w:top w:w="128" w:type="dxa"/>
              <w:left w:w="43" w:type="dxa"/>
              <w:bottom w:w="43" w:type="dxa"/>
              <w:right w:w="123" w:type="dxa"/>
            </w:tcMar>
            <w:vAlign w:val="bottom"/>
          </w:tcPr>
          <w:p w14:paraId="6B7873DA"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70158A0" w14:textId="77777777" w:rsidR="000A2A2B" w:rsidRPr="007C3060" w:rsidRDefault="000A2A2B" w:rsidP="007C3060">
            <w:r w:rsidRPr="007C3060">
              <w:t>Salg av klimakvoter:</w:t>
            </w:r>
          </w:p>
        </w:tc>
        <w:tc>
          <w:tcPr>
            <w:tcW w:w="1580" w:type="dxa"/>
            <w:tcBorders>
              <w:top w:val="nil"/>
              <w:left w:val="nil"/>
              <w:bottom w:val="nil"/>
              <w:right w:val="nil"/>
            </w:tcBorders>
            <w:tcMar>
              <w:top w:w="128" w:type="dxa"/>
              <w:left w:w="43" w:type="dxa"/>
              <w:bottom w:w="43" w:type="dxa"/>
              <w:right w:w="43" w:type="dxa"/>
            </w:tcMar>
            <w:vAlign w:val="bottom"/>
          </w:tcPr>
          <w:p w14:paraId="59B1B14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0EB4272" w14:textId="77777777" w:rsidR="000A2A2B" w:rsidRPr="007C3060" w:rsidRDefault="000A2A2B" w:rsidP="007C3060"/>
        </w:tc>
      </w:tr>
      <w:tr w:rsidR="004B729E" w:rsidRPr="007C3060" w14:paraId="4BA3E2BD" w14:textId="77777777">
        <w:trPr>
          <w:trHeight w:val="380"/>
        </w:trPr>
        <w:tc>
          <w:tcPr>
            <w:tcW w:w="680" w:type="dxa"/>
            <w:tcBorders>
              <w:top w:val="nil"/>
              <w:left w:val="nil"/>
              <w:bottom w:val="nil"/>
              <w:right w:val="nil"/>
            </w:tcBorders>
            <w:tcMar>
              <w:top w:w="128" w:type="dxa"/>
              <w:left w:w="43" w:type="dxa"/>
              <w:bottom w:w="43" w:type="dxa"/>
              <w:right w:w="123" w:type="dxa"/>
            </w:tcMar>
          </w:tcPr>
          <w:p w14:paraId="1874A73E"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E40B4FD"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236C21FB" w14:textId="77777777" w:rsidR="000A2A2B" w:rsidRPr="007C3060" w:rsidRDefault="000A2A2B" w:rsidP="007C3060">
            <w:r w:rsidRPr="007C3060">
              <w:t>Salgsinntekter, nedsettes med</w:t>
            </w:r>
          </w:p>
        </w:tc>
        <w:tc>
          <w:tcPr>
            <w:tcW w:w="1580" w:type="dxa"/>
            <w:tcBorders>
              <w:top w:val="nil"/>
              <w:left w:val="nil"/>
              <w:bottom w:val="nil"/>
              <w:right w:val="nil"/>
            </w:tcBorders>
            <w:tcMar>
              <w:top w:w="128" w:type="dxa"/>
              <w:left w:w="43" w:type="dxa"/>
              <w:bottom w:w="43" w:type="dxa"/>
              <w:right w:w="43" w:type="dxa"/>
            </w:tcMar>
            <w:vAlign w:val="bottom"/>
          </w:tcPr>
          <w:p w14:paraId="06606C62"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C2AA90B" w14:textId="77777777" w:rsidR="000A2A2B" w:rsidRPr="007C3060" w:rsidRDefault="000A2A2B" w:rsidP="007C3060">
            <w:r w:rsidRPr="007C3060">
              <w:t>777 000 000</w:t>
            </w:r>
          </w:p>
        </w:tc>
      </w:tr>
      <w:tr w:rsidR="004B729E" w:rsidRPr="007C3060" w14:paraId="2DAB3CD2" w14:textId="77777777">
        <w:trPr>
          <w:trHeight w:val="380"/>
        </w:trPr>
        <w:tc>
          <w:tcPr>
            <w:tcW w:w="680" w:type="dxa"/>
            <w:tcBorders>
              <w:top w:val="nil"/>
              <w:left w:val="nil"/>
              <w:bottom w:val="nil"/>
              <w:right w:val="nil"/>
            </w:tcBorders>
            <w:tcMar>
              <w:top w:w="128" w:type="dxa"/>
              <w:left w:w="43" w:type="dxa"/>
              <w:bottom w:w="43" w:type="dxa"/>
              <w:right w:w="123" w:type="dxa"/>
            </w:tcMar>
          </w:tcPr>
          <w:p w14:paraId="693E3B08"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36BA1F6"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3311E1B" w14:textId="77777777" w:rsidR="000A2A2B" w:rsidRPr="007C3060" w:rsidRDefault="000A2A2B" w:rsidP="007C3060">
            <w:r w:rsidRPr="007C3060">
              <w:t>fra kr 3 135 116 000 til kr 2 358 116 000</w:t>
            </w:r>
          </w:p>
        </w:tc>
        <w:tc>
          <w:tcPr>
            <w:tcW w:w="1580" w:type="dxa"/>
            <w:tcBorders>
              <w:top w:val="nil"/>
              <w:left w:val="nil"/>
              <w:bottom w:val="nil"/>
              <w:right w:val="nil"/>
            </w:tcBorders>
            <w:tcMar>
              <w:top w:w="128" w:type="dxa"/>
              <w:left w:w="43" w:type="dxa"/>
              <w:bottom w:w="43" w:type="dxa"/>
              <w:right w:w="43" w:type="dxa"/>
            </w:tcMar>
            <w:vAlign w:val="bottom"/>
          </w:tcPr>
          <w:p w14:paraId="2E5CAD14"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468A5BE" w14:textId="77777777" w:rsidR="000A2A2B" w:rsidRPr="007C3060" w:rsidRDefault="000A2A2B" w:rsidP="007C3060"/>
        </w:tc>
      </w:tr>
      <w:tr w:rsidR="004B729E" w:rsidRPr="007C3060" w14:paraId="74E2AA4E" w14:textId="77777777">
        <w:trPr>
          <w:trHeight w:val="380"/>
        </w:trPr>
        <w:tc>
          <w:tcPr>
            <w:tcW w:w="680" w:type="dxa"/>
            <w:tcBorders>
              <w:top w:val="nil"/>
              <w:left w:val="nil"/>
              <w:bottom w:val="nil"/>
              <w:right w:val="nil"/>
            </w:tcBorders>
            <w:tcMar>
              <w:top w:w="128" w:type="dxa"/>
              <w:left w:w="43" w:type="dxa"/>
              <w:bottom w:w="43" w:type="dxa"/>
              <w:right w:w="123" w:type="dxa"/>
            </w:tcMar>
          </w:tcPr>
          <w:p w14:paraId="1D49131E" w14:textId="77777777" w:rsidR="000A2A2B" w:rsidRPr="007C3060" w:rsidRDefault="000A2A2B" w:rsidP="007C3060">
            <w:r w:rsidRPr="007C3060">
              <w:t>4510</w:t>
            </w:r>
          </w:p>
        </w:tc>
        <w:tc>
          <w:tcPr>
            <w:tcW w:w="680" w:type="dxa"/>
            <w:tcBorders>
              <w:top w:val="nil"/>
              <w:left w:val="nil"/>
              <w:bottom w:val="nil"/>
              <w:right w:val="nil"/>
            </w:tcBorders>
            <w:tcMar>
              <w:top w:w="128" w:type="dxa"/>
              <w:left w:w="43" w:type="dxa"/>
              <w:bottom w:w="43" w:type="dxa"/>
              <w:right w:w="123" w:type="dxa"/>
            </w:tcMar>
            <w:vAlign w:val="bottom"/>
          </w:tcPr>
          <w:p w14:paraId="176F1CAC"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CABC3DC" w14:textId="77777777" w:rsidR="000A2A2B" w:rsidRPr="007C3060" w:rsidRDefault="000A2A2B" w:rsidP="007C3060">
            <w:r w:rsidRPr="007C3060">
              <w:t>Departementenes sikkerhets- og serviceorganisasjon:</w:t>
            </w:r>
          </w:p>
        </w:tc>
        <w:tc>
          <w:tcPr>
            <w:tcW w:w="1580" w:type="dxa"/>
            <w:tcBorders>
              <w:top w:val="nil"/>
              <w:left w:val="nil"/>
              <w:bottom w:val="nil"/>
              <w:right w:val="nil"/>
            </w:tcBorders>
            <w:tcMar>
              <w:top w:w="128" w:type="dxa"/>
              <w:left w:w="43" w:type="dxa"/>
              <w:bottom w:w="43" w:type="dxa"/>
              <w:right w:w="43" w:type="dxa"/>
            </w:tcMar>
            <w:vAlign w:val="bottom"/>
          </w:tcPr>
          <w:p w14:paraId="04858C7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2698366" w14:textId="77777777" w:rsidR="000A2A2B" w:rsidRPr="007C3060" w:rsidRDefault="000A2A2B" w:rsidP="007C3060"/>
        </w:tc>
      </w:tr>
      <w:tr w:rsidR="004B729E" w:rsidRPr="007C3060" w14:paraId="695FCE38" w14:textId="77777777">
        <w:trPr>
          <w:trHeight w:val="380"/>
        </w:trPr>
        <w:tc>
          <w:tcPr>
            <w:tcW w:w="680" w:type="dxa"/>
            <w:tcBorders>
              <w:top w:val="nil"/>
              <w:left w:val="nil"/>
              <w:bottom w:val="nil"/>
              <w:right w:val="nil"/>
            </w:tcBorders>
            <w:tcMar>
              <w:top w:w="128" w:type="dxa"/>
              <w:left w:w="43" w:type="dxa"/>
              <w:bottom w:w="43" w:type="dxa"/>
              <w:right w:w="123" w:type="dxa"/>
            </w:tcMar>
          </w:tcPr>
          <w:p w14:paraId="36AC72C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0BB8992" w14:textId="77777777" w:rsidR="000A2A2B" w:rsidRPr="007C3060" w:rsidRDefault="000A2A2B" w:rsidP="007C3060">
            <w:r w:rsidRPr="007C3060">
              <w:t>3</w:t>
            </w:r>
          </w:p>
        </w:tc>
        <w:tc>
          <w:tcPr>
            <w:tcW w:w="5040" w:type="dxa"/>
            <w:tcBorders>
              <w:top w:val="nil"/>
              <w:left w:val="nil"/>
              <w:bottom w:val="nil"/>
              <w:right w:val="nil"/>
            </w:tcBorders>
            <w:tcMar>
              <w:top w:w="128" w:type="dxa"/>
              <w:left w:w="43" w:type="dxa"/>
              <w:bottom w:w="43" w:type="dxa"/>
              <w:right w:w="43" w:type="dxa"/>
            </w:tcMar>
            <w:vAlign w:val="bottom"/>
          </w:tcPr>
          <w:p w14:paraId="05995AA5" w14:textId="77777777" w:rsidR="000A2A2B" w:rsidRPr="007C3060" w:rsidRDefault="000A2A2B" w:rsidP="007C3060">
            <w:r w:rsidRPr="007C3060">
              <w:t>Brukerbetaling, nedsettes med</w:t>
            </w:r>
          </w:p>
        </w:tc>
        <w:tc>
          <w:tcPr>
            <w:tcW w:w="1580" w:type="dxa"/>
            <w:tcBorders>
              <w:top w:val="nil"/>
              <w:left w:val="nil"/>
              <w:bottom w:val="nil"/>
              <w:right w:val="nil"/>
            </w:tcBorders>
            <w:tcMar>
              <w:top w:w="128" w:type="dxa"/>
              <w:left w:w="43" w:type="dxa"/>
              <w:bottom w:w="43" w:type="dxa"/>
              <w:right w:w="43" w:type="dxa"/>
            </w:tcMar>
            <w:vAlign w:val="bottom"/>
          </w:tcPr>
          <w:p w14:paraId="67370CA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5EE7DE0" w14:textId="77777777" w:rsidR="000A2A2B" w:rsidRPr="007C3060" w:rsidRDefault="000A2A2B" w:rsidP="007C3060">
            <w:r w:rsidRPr="007C3060">
              <w:t>1 449 000</w:t>
            </w:r>
          </w:p>
        </w:tc>
      </w:tr>
      <w:tr w:rsidR="004B729E" w:rsidRPr="007C3060" w14:paraId="70B26568" w14:textId="77777777">
        <w:trPr>
          <w:trHeight w:val="380"/>
        </w:trPr>
        <w:tc>
          <w:tcPr>
            <w:tcW w:w="680" w:type="dxa"/>
            <w:tcBorders>
              <w:top w:val="nil"/>
              <w:left w:val="nil"/>
              <w:bottom w:val="nil"/>
              <w:right w:val="nil"/>
            </w:tcBorders>
            <w:tcMar>
              <w:top w:w="128" w:type="dxa"/>
              <w:left w:w="43" w:type="dxa"/>
              <w:bottom w:w="43" w:type="dxa"/>
              <w:right w:w="123" w:type="dxa"/>
            </w:tcMar>
          </w:tcPr>
          <w:p w14:paraId="1B771E0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3C6AFCE"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38534874" w14:textId="77777777" w:rsidR="000A2A2B" w:rsidRPr="007C3060" w:rsidRDefault="000A2A2B" w:rsidP="007C3060">
            <w:r w:rsidRPr="007C3060">
              <w:t>fra kr 43 037 000 til kr 41 588 000</w:t>
            </w:r>
          </w:p>
        </w:tc>
        <w:tc>
          <w:tcPr>
            <w:tcW w:w="1580" w:type="dxa"/>
            <w:tcBorders>
              <w:top w:val="nil"/>
              <w:left w:val="nil"/>
              <w:bottom w:val="nil"/>
              <w:right w:val="nil"/>
            </w:tcBorders>
            <w:tcMar>
              <w:top w:w="128" w:type="dxa"/>
              <w:left w:w="43" w:type="dxa"/>
              <w:bottom w:w="43" w:type="dxa"/>
              <w:right w:w="43" w:type="dxa"/>
            </w:tcMar>
            <w:vAlign w:val="bottom"/>
          </w:tcPr>
          <w:p w14:paraId="6E0F6314"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F58E768" w14:textId="77777777" w:rsidR="000A2A2B" w:rsidRPr="007C3060" w:rsidRDefault="000A2A2B" w:rsidP="007C3060"/>
        </w:tc>
      </w:tr>
      <w:tr w:rsidR="004B729E" w:rsidRPr="007C3060" w14:paraId="2867D6C1" w14:textId="77777777">
        <w:trPr>
          <w:trHeight w:val="380"/>
        </w:trPr>
        <w:tc>
          <w:tcPr>
            <w:tcW w:w="680" w:type="dxa"/>
            <w:tcBorders>
              <w:top w:val="nil"/>
              <w:left w:val="nil"/>
              <w:bottom w:val="nil"/>
              <w:right w:val="nil"/>
            </w:tcBorders>
            <w:tcMar>
              <w:top w:w="128" w:type="dxa"/>
              <w:left w:w="43" w:type="dxa"/>
              <w:bottom w:w="43" w:type="dxa"/>
              <w:right w:w="123" w:type="dxa"/>
            </w:tcMar>
          </w:tcPr>
          <w:p w14:paraId="06E944D1" w14:textId="77777777" w:rsidR="000A2A2B" w:rsidRPr="007C3060" w:rsidRDefault="000A2A2B" w:rsidP="007C3060">
            <w:r w:rsidRPr="007C3060">
              <w:t>4515</w:t>
            </w:r>
          </w:p>
        </w:tc>
        <w:tc>
          <w:tcPr>
            <w:tcW w:w="680" w:type="dxa"/>
            <w:tcBorders>
              <w:top w:val="nil"/>
              <w:left w:val="nil"/>
              <w:bottom w:val="nil"/>
              <w:right w:val="nil"/>
            </w:tcBorders>
            <w:tcMar>
              <w:top w:w="128" w:type="dxa"/>
              <w:left w:w="43" w:type="dxa"/>
              <w:bottom w:w="43" w:type="dxa"/>
              <w:right w:w="123" w:type="dxa"/>
            </w:tcMar>
            <w:vAlign w:val="bottom"/>
          </w:tcPr>
          <w:p w14:paraId="3E01A71F"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07515A5" w14:textId="77777777" w:rsidR="000A2A2B" w:rsidRPr="007C3060" w:rsidRDefault="000A2A2B" w:rsidP="007C3060">
            <w:r w:rsidRPr="007C3060">
              <w:t>Departementenes digitaliseringsorganisasjon:</w:t>
            </w:r>
          </w:p>
        </w:tc>
        <w:tc>
          <w:tcPr>
            <w:tcW w:w="1580" w:type="dxa"/>
            <w:tcBorders>
              <w:top w:val="nil"/>
              <w:left w:val="nil"/>
              <w:bottom w:val="nil"/>
              <w:right w:val="nil"/>
            </w:tcBorders>
            <w:tcMar>
              <w:top w:w="128" w:type="dxa"/>
              <w:left w:w="43" w:type="dxa"/>
              <w:bottom w:w="43" w:type="dxa"/>
              <w:right w:w="43" w:type="dxa"/>
            </w:tcMar>
            <w:vAlign w:val="bottom"/>
          </w:tcPr>
          <w:p w14:paraId="06CC3C6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436E123" w14:textId="77777777" w:rsidR="000A2A2B" w:rsidRPr="007C3060" w:rsidRDefault="000A2A2B" w:rsidP="007C3060"/>
        </w:tc>
      </w:tr>
      <w:tr w:rsidR="004B729E" w:rsidRPr="007C3060" w14:paraId="478C4595" w14:textId="77777777">
        <w:trPr>
          <w:trHeight w:val="380"/>
        </w:trPr>
        <w:tc>
          <w:tcPr>
            <w:tcW w:w="680" w:type="dxa"/>
            <w:tcBorders>
              <w:top w:val="nil"/>
              <w:left w:val="nil"/>
              <w:bottom w:val="nil"/>
              <w:right w:val="nil"/>
            </w:tcBorders>
            <w:tcMar>
              <w:top w:w="128" w:type="dxa"/>
              <w:left w:w="43" w:type="dxa"/>
              <w:bottom w:w="43" w:type="dxa"/>
              <w:right w:w="123" w:type="dxa"/>
            </w:tcMar>
          </w:tcPr>
          <w:p w14:paraId="32A6783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75DAD9E" w14:textId="77777777" w:rsidR="000A2A2B" w:rsidRPr="007C3060" w:rsidRDefault="000A2A2B" w:rsidP="007C3060">
            <w:r w:rsidRPr="007C3060">
              <w:t>2</w:t>
            </w:r>
          </w:p>
        </w:tc>
        <w:tc>
          <w:tcPr>
            <w:tcW w:w="5040" w:type="dxa"/>
            <w:tcBorders>
              <w:top w:val="nil"/>
              <w:left w:val="nil"/>
              <w:bottom w:val="nil"/>
              <w:right w:val="nil"/>
            </w:tcBorders>
            <w:tcMar>
              <w:top w:w="128" w:type="dxa"/>
              <w:left w:w="43" w:type="dxa"/>
              <w:bottom w:w="43" w:type="dxa"/>
              <w:right w:w="43" w:type="dxa"/>
            </w:tcMar>
            <w:vAlign w:val="bottom"/>
          </w:tcPr>
          <w:p w14:paraId="1FDA5A9F" w14:textId="77777777" w:rsidR="000A2A2B" w:rsidRPr="007C3060" w:rsidRDefault="000A2A2B" w:rsidP="007C3060">
            <w:r w:rsidRPr="007C3060">
              <w:t>Brukerbetalinger, forhøyes med</w:t>
            </w:r>
          </w:p>
        </w:tc>
        <w:tc>
          <w:tcPr>
            <w:tcW w:w="1580" w:type="dxa"/>
            <w:tcBorders>
              <w:top w:val="nil"/>
              <w:left w:val="nil"/>
              <w:bottom w:val="nil"/>
              <w:right w:val="nil"/>
            </w:tcBorders>
            <w:tcMar>
              <w:top w:w="128" w:type="dxa"/>
              <w:left w:w="43" w:type="dxa"/>
              <w:bottom w:w="43" w:type="dxa"/>
              <w:right w:w="43" w:type="dxa"/>
            </w:tcMar>
            <w:vAlign w:val="bottom"/>
          </w:tcPr>
          <w:p w14:paraId="16D33F89"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1391FF8" w14:textId="77777777" w:rsidR="000A2A2B" w:rsidRPr="007C3060" w:rsidRDefault="000A2A2B" w:rsidP="007C3060">
            <w:r w:rsidRPr="007C3060">
              <w:t>1 449 000</w:t>
            </w:r>
          </w:p>
        </w:tc>
      </w:tr>
      <w:tr w:rsidR="004B729E" w:rsidRPr="007C3060" w14:paraId="4C29F302" w14:textId="77777777">
        <w:trPr>
          <w:trHeight w:val="380"/>
        </w:trPr>
        <w:tc>
          <w:tcPr>
            <w:tcW w:w="680" w:type="dxa"/>
            <w:tcBorders>
              <w:top w:val="nil"/>
              <w:left w:val="nil"/>
              <w:bottom w:val="nil"/>
              <w:right w:val="nil"/>
            </w:tcBorders>
            <w:tcMar>
              <w:top w:w="128" w:type="dxa"/>
              <w:left w:w="43" w:type="dxa"/>
              <w:bottom w:w="43" w:type="dxa"/>
              <w:right w:w="123" w:type="dxa"/>
            </w:tcMar>
          </w:tcPr>
          <w:p w14:paraId="6B5652D2"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9B43F7E"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2F4B2B2" w14:textId="77777777" w:rsidR="000A2A2B" w:rsidRPr="007C3060" w:rsidRDefault="000A2A2B" w:rsidP="007C3060">
            <w:r w:rsidRPr="007C3060">
              <w:t>fra kr 33 200 000 til kr 34 649 000</w:t>
            </w:r>
          </w:p>
        </w:tc>
        <w:tc>
          <w:tcPr>
            <w:tcW w:w="1580" w:type="dxa"/>
            <w:tcBorders>
              <w:top w:val="nil"/>
              <w:left w:val="nil"/>
              <w:bottom w:val="nil"/>
              <w:right w:val="nil"/>
            </w:tcBorders>
            <w:tcMar>
              <w:top w:w="128" w:type="dxa"/>
              <w:left w:w="43" w:type="dxa"/>
              <w:bottom w:w="43" w:type="dxa"/>
              <w:right w:w="43" w:type="dxa"/>
            </w:tcMar>
            <w:vAlign w:val="bottom"/>
          </w:tcPr>
          <w:p w14:paraId="40781C0C"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AD8D9D7" w14:textId="77777777" w:rsidR="000A2A2B" w:rsidRPr="007C3060" w:rsidRDefault="000A2A2B" w:rsidP="007C3060"/>
        </w:tc>
      </w:tr>
      <w:tr w:rsidR="004B729E" w:rsidRPr="007C3060" w14:paraId="066BE3A6" w14:textId="77777777">
        <w:trPr>
          <w:trHeight w:val="380"/>
        </w:trPr>
        <w:tc>
          <w:tcPr>
            <w:tcW w:w="680" w:type="dxa"/>
            <w:tcBorders>
              <w:top w:val="nil"/>
              <w:left w:val="nil"/>
              <w:bottom w:val="nil"/>
              <w:right w:val="nil"/>
            </w:tcBorders>
            <w:tcMar>
              <w:top w:w="128" w:type="dxa"/>
              <w:left w:w="43" w:type="dxa"/>
              <w:bottom w:w="43" w:type="dxa"/>
              <w:right w:w="123" w:type="dxa"/>
            </w:tcMar>
          </w:tcPr>
          <w:p w14:paraId="005C6EC5" w14:textId="77777777" w:rsidR="000A2A2B" w:rsidRPr="007C3060" w:rsidRDefault="000A2A2B" w:rsidP="007C3060">
            <w:r w:rsidRPr="007C3060">
              <w:t>4565</w:t>
            </w:r>
          </w:p>
        </w:tc>
        <w:tc>
          <w:tcPr>
            <w:tcW w:w="680" w:type="dxa"/>
            <w:tcBorders>
              <w:top w:val="nil"/>
              <w:left w:val="nil"/>
              <w:bottom w:val="nil"/>
              <w:right w:val="nil"/>
            </w:tcBorders>
            <w:tcMar>
              <w:top w:w="128" w:type="dxa"/>
              <w:left w:w="43" w:type="dxa"/>
              <w:bottom w:w="43" w:type="dxa"/>
              <w:right w:w="123" w:type="dxa"/>
            </w:tcMar>
            <w:vAlign w:val="bottom"/>
          </w:tcPr>
          <w:p w14:paraId="75122347"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3E03EF9" w14:textId="77777777" w:rsidR="000A2A2B" w:rsidRPr="007C3060" w:rsidRDefault="000A2A2B" w:rsidP="007C3060">
            <w:r w:rsidRPr="007C3060">
              <w:t>Boliglånsordningen i Statens pensjonskasse:</w:t>
            </w:r>
          </w:p>
        </w:tc>
        <w:tc>
          <w:tcPr>
            <w:tcW w:w="1580" w:type="dxa"/>
            <w:tcBorders>
              <w:top w:val="nil"/>
              <w:left w:val="nil"/>
              <w:bottom w:val="nil"/>
              <w:right w:val="nil"/>
            </w:tcBorders>
            <w:tcMar>
              <w:top w:w="128" w:type="dxa"/>
              <w:left w:w="43" w:type="dxa"/>
              <w:bottom w:w="43" w:type="dxa"/>
              <w:right w:w="43" w:type="dxa"/>
            </w:tcMar>
            <w:vAlign w:val="bottom"/>
          </w:tcPr>
          <w:p w14:paraId="5CDCB92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AB75606" w14:textId="77777777" w:rsidR="000A2A2B" w:rsidRPr="007C3060" w:rsidRDefault="000A2A2B" w:rsidP="007C3060"/>
        </w:tc>
      </w:tr>
      <w:tr w:rsidR="004B729E" w:rsidRPr="007C3060" w14:paraId="462000A5" w14:textId="77777777">
        <w:trPr>
          <w:trHeight w:val="380"/>
        </w:trPr>
        <w:tc>
          <w:tcPr>
            <w:tcW w:w="680" w:type="dxa"/>
            <w:tcBorders>
              <w:top w:val="nil"/>
              <w:left w:val="nil"/>
              <w:bottom w:val="nil"/>
              <w:right w:val="nil"/>
            </w:tcBorders>
            <w:tcMar>
              <w:top w:w="128" w:type="dxa"/>
              <w:left w:w="43" w:type="dxa"/>
              <w:bottom w:w="43" w:type="dxa"/>
              <w:right w:w="123" w:type="dxa"/>
            </w:tcMar>
          </w:tcPr>
          <w:p w14:paraId="74090502"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912164A"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65EDD266" w14:textId="77777777" w:rsidR="000A2A2B" w:rsidRPr="007C3060" w:rsidRDefault="000A2A2B" w:rsidP="007C3060">
            <w:r w:rsidRPr="007C3060">
              <w:t>Gebyrinntekter, lån, forhøyes med</w:t>
            </w:r>
          </w:p>
        </w:tc>
        <w:tc>
          <w:tcPr>
            <w:tcW w:w="1580" w:type="dxa"/>
            <w:tcBorders>
              <w:top w:val="nil"/>
              <w:left w:val="nil"/>
              <w:bottom w:val="nil"/>
              <w:right w:val="nil"/>
            </w:tcBorders>
            <w:tcMar>
              <w:top w:w="128" w:type="dxa"/>
              <w:left w:w="43" w:type="dxa"/>
              <w:bottom w:w="43" w:type="dxa"/>
              <w:right w:w="43" w:type="dxa"/>
            </w:tcMar>
            <w:vAlign w:val="bottom"/>
          </w:tcPr>
          <w:p w14:paraId="6FAD71C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BF23674" w14:textId="77777777" w:rsidR="000A2A2B" w:rsidRPr="007C3060" w:rsidRDefault="000A2A2B" w:rsidP="007C3060">
            <w:r w:rsidRPr="007C3060">
              <w:t>4 000 000</w:t>
            </w:r>
          </w:p>
        </w:tc>
      </w:tr>
      <w:tr w:rsidR="004B729E" w:rsidRPr="007C3060" w14:paraId="07ABD45E" w14:textId="77777777">
        <w:trPr>
          <w:trHeight w:val="380"/>
        </w:trPr>
        <w:tc>
          <w:tcPr>
            <w:tcW w:w="680" w:type="dxa"/>
            <w:tcBorders>
              <w:top w:val="nil"/>
              <w:left w:val="nil"/>
              <w:bottom w:val="nil"/>
              <w:right w:val="nil"/>
            </w:tcBorders>
            <w:tcMar>
              <w:top w:w="128" w:type="dxa"/>
              <w:left w:w="43" w:type="dxa"/>
              <w:bottom w:w="43" w:type="dxa"/>
              <w:right w:w="123" w:type="dxa"/>
            </w:tcMar>
          </w:tcPr>
          <w:p w14:paraId="54C5813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7FA5167"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911A806" w14:textId="77777777" w:rsidR="000A2A2B" w:rsidRPr="007C3060" w:rsidRDefault="000A2A2B" w:rsidP="007C3060">
            <w:r w:rsidRPr="007C3060">
              <w:t>fra kr 46 000 000 til kr 50 000 000</w:t>
            </w:r>
          </w:p>
        </w:tc>
        <w:tc>
          <w:tcPr>
            <w:tcW w:w="1580" w:type="dxa"/>
            <w:tcBorders>
              <w:top w:val="nil"/>
              <w:left w:val="nil"/>
              <w:bottom w:val="nil"/>
              <w:right w:val="nil"/>
            </w:tcBorders>
            <w:tcMar>
              <w:top w:w="128" w:type="dxa"/>
              <w:left w:w="43" w:type="dxa"/>
              <w:bottom w:w="43" w:type="dxa"/>
              <w:right w:w="43" w:type="dxa"/>
            </w:tcMar>
            <w:vAlign w:val="bottom"/>
          </w:tcPr>
          <w:p w14:paraId="5567AC3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546C979" w14:textId="77777777" w:rsidR="000A2A2B" w:rsidRPr="007C3060" w:rsidRDefault="000A2A2B" w:rsidP="007C3060"/>
        </w:tc>
      </w:tr>
      <w:tr w:rsidR="004B729E" w:rsidRPr="007C3060" w14:paraId="79790A55" w14:textId="77777777">
        <w:trPr>
          <w:trHeight w:val="380"/>
        </w:trPr>
        <w:tc>
          <w:tcPr>
            <w:tcW w:w="680" w:type="dxa"/>
            <w:tcBorders>
              <w:top w:val="nil"/>
              <w:left w:val="nil"/>
              <w:bottom w:val="nil"/>
              <w:right w:val="nil"/>
            </w:tcBorders>
            <w:tcMar>
              <w:top w:w="128" w:type="dxa"/>
              <w:left w:w="43" w:type="dxa"/>
              <w:bottom w:w="43" w:type="dxa"/>
              <w:right w:w="123" w:type="dxa"/>
            </w:tcMar>
          </w:tcPr>
          <w:p w14:paraId="65FED078"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B907FE1" w14:textId="77777777" w:rsidR="000A2A2B" w:rsidRPr="007C3060" w:rsidRDefault="000A2A2B" w:rsidP="007C3060">
            <w:r w:rsidRPr="007C3060">
              <w:t>90</w:t>
            </w:r>
          </w:p>
        </w:tc>
        <w:tc>
          <w:tcPr>
            <w:tcW w:w="5040" w:type="dxa"/>
            <w:tcBorders>
              <w:top w:val="nil"/>
              <w:left w:val="nil"/>
              <w:bottom w:val="nil"/>
              <w:right w:val="nil"/>
            </w:tcBorders>
            <w:tcMar>
              <w:top w:w="128" w:type="dxa"/>
              <w:left w:w="43" w:type="dxa"/>
              <w:bottom w:w="43" w:type="dxa"/>
              <w:right w:w="43" w:type="dxa"/>
            </w:tcMar>
            <w:vAlign w:val="bottom"/>
          </w:tcPr>
          <w:p w14:paraId="7186D757" w14:textId="77777777" w:rsidR="000A2A2B" w:rsidRPr="007C3060" w:rsidRDefault="000A2A2B" w:rsidP="007C3060">
            <w:r w:rsidRPr="007C3060">
              <w:t>Tilbakebetaling av lån, forhøyes med</w:t>
            </w:r>
          </w:p>
        </w:tc>
        <w:tc>
          <w:tcPr>
            <w:tcW w:w="1580" w:type="dxa"/>
            <w:tcBorders>
              <w:top w:val="nil"/>
              <w:left w:val="nil"/>
              <w:bottom w:val="nil"/>
              <w:right w:val="nil"/>
            </w:tcBorders>
            <w:tcMar>
              <w:top w:w="128" w:type="dxa"/>
              <w:left w:w="43" w:type="dxa"/>
              <w:bottom w:w="43" w:type="dxa"/>
              <w:right w:w="43" w:type="dxa"/>
            </w:tcMar>
            <w:vAlign w:val="bottom"/>
          </w:tcPr>
          <w:p w14:paraId="5D00278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9F8664A" w14:textId="77777777" w:rsidR="000A2A2B" w:rsidRPr="007C3060" w:rsidRDefault="000A2A2B" w:rsidP="007C3060">
            <w:r w:rsidRPr="007C3060">
              <w:t>3 800 000 000</w:t>
            </w:r>
          </w:p>
        </w:tc>
      </w:tr>
      <w:tr w:rsidR="004B729E" w:rsidRPr="007C3060" w14:paraId="25E867C6" w14:textId="77777777">
        <w:trPr>
          <w:trHeight w:val="380"/>
        </w:trPr>
        <w:tc>
          <w:tcPr>
            <w:tcW w:w="680" w:type="dxa"/>
            <w:tcBorders>
              <w:top w:val="nil"/>
              <w:left w:val="nil"/>
              <w:bottom w:val="nil"/>
              <w:right w:val="nil"/>
            </w:tcBorders>
            <w:tcMar>
              <w:top w:w="128" w:type="dxa"/>
              <w:left w:w="43" w:type="dxa"/>
              <w:bottom w:w="43" w:type="dxa"/>
              <w:right w:w="123" w:type="dxa"/>
            </w:tcMar>
          </w:tcPr>
          <w:p w14:paraId="338E5CD6"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78C3E41"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A3D2C83" w14:textId="77777777" w:rsidR="000A2A2B" w:rsidRPr="007C3060" w:rsidRDefault="000A2A2B" w:rsidP="007C3060">
            <w:r w:rsidRPr="007C3060">
              <w:t>fra kr 15 500 000 000 til kr 19 300 000 000</w:t>
            </w:r>
          </w:p>
        </w:tc>
        <w:tc>
          <w:tcPr>
            <w:tcW w:w="1580" w:type="dxa"/>
            <w:tcBorders>
              <w:top w:val="nil"/>
              <w:left w:val="nil"/>
              <w:bottom w:val="nil"/>
              <w:right w:val="nil"/>
            </w:tcBorders>
            <w:tcMar>
              <w:top w:w="128" w:type="dxa"/>
              <w:left w:w="43" w:type="dxa"/>
              <w:bottom w:w="43" w:type="dxa"/>
              <w:right w:w="43" w:type="dxa"/>
            </w:tcMar>
            <w:vAlign w:val="bottom"/>
          </w:tcPr>
          <w:p w14:paraId="77E182D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16474FA" w14:textId="77777777" w:rsidR="000A2A2B" w:rsidRPr="007C3060" w:rsidRDefault="000A2A2B" w:rsidP="007C3060"/>
        </w:tc>
      </w:tr>
      <w:tr w:rsidR="004B729E" w:rsidRPr="007C3060" w14:paraId="542BA22F" w14:textId="77777777">
        <w:trPr>
          <w:trHeight w:val="380"/>
        </w:trPr>
        <w:tc>
          <w:tcPr>
            <w:tcW w:w="680" w:type="dxa"/>
            <w:tcBorders>
              <w:top w:val="nil"/>
              <w:left w:val="nil"/>
              <w:bottom w:val="nil"/>
              <w:right w:val="nil"/>
            </w:tcBorders>
            <w:tcMar>
              <w:top w:w="128" w:type="dxa"/>
              <w:left w:w="43" w:type="dxa"/>
              <w:bottom w:w="43" w:type="dxa"/>
              <w:right w:w="123" w:type="dxa"/>
            </w:tcMar>
          </w:tcPr>
          <w:p w14:paraId="5FE1DF4F" w14:textId="77777777" w:rsidR="000A2A2B" w:rsidRPr="007C3060" w:rsidRDefault="000A2A2B" w:rsidP="007C3060">
            <w:r w:rsidRPr="007C3060">
              <w:t>4600</w:t>
            </w:r>
          </w:p>
        </w:tc>
        <w:tc>
          <w:tcPr>
            <w:tcW w:w="680" w:type="dxa"/>
            <w:tcBorders>
              <w:top w:val="nil"/>
              <w:left w:val="nil"/>
              <w:bottom w:val="nil"/>
              <w:right w:val="nil"/>
            </w:tcBorders>
            <w:tcMar>
              <w:top w:w="128" w:type="dxa"/>
              <w:left w:w="43" w:type="dxa"/>
              <w:bottom w:w="43" w:type="dxa"/>
              <w:right w:w="123" w:type="dxa"/>
            </w:tcMar>
            <w:vAlign w:val="bottom"/>
          </w:tcPr>
          <w:p w14:paraId="7740C55E"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AE0A807" w14:textId="77777777" w:rsidR="000A2A2B" w:rsidRPr="007C3060" w:rsidRDefault="000A2A2B" w:rsidP="007C3060">
            <w:r w:rsidRPr="007C3060">
              <w:t>Finansdepartementet:</w:t>
            </w:r>
          </w:p>
        </w:tc>
        <w:tc>
          <w:tcPr>
            <w:tcW w:w="1580" w:type="dxa"/>
            <w:tcBorders>
              <w:top w:val="nil"/>
              <w:left w:val="nil"/>
              <w:bottom w:val="nil"/>
              <w:right w:val="nil"/>
            </w:tcBorders>
            <w:tcMar>
              <w:top w:w="128" w:type="dxa"/>
              <w:left w:w="43" w:type="dxa"/>
              <w:bottom w:w="43" w:type="dxa"/>
              <w:right w:w="43" w:type="dxa"/>
            </w:tcMar>
            <w:vAlign w:val="bottom"/>
          </w:tcPr>
          <w:p w14:paraId="679AD83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A651D8E" w14:textId="77777777" w:rsidR="000A2A2B" w:rsidRPr="007C3060" w:rsidRDefault="000A2A2B" w:rsidP="007C3060"/>
        </w:tc>
      </w:tr>
      <w:tr w:rsidR="004B729E" w:rsidRPr="007C3060" w14:paraId="6245ABE6" w14:textId="77777777">
        <w:trPr>
          <w:trHeight w:val="380"/>
        </w:trPr>
        <w:tc>
          <w:tcPr>
            <w:tcW w:w="680" w:type="dxa"/>
            <w:tcBorders>
              <w:top w:val="nil"/>
              <w:left w:val="nil"/>
              <w:bottom w:val="nil"/>
              <w:right w:val="nil"/>
            </w:tcBorders>
            <w:tcMar>
              <w:top w:w="128" w:type="dxa"/>
              <w:left w:w="43" w:type="dxa"/>
              <w:bottom w:w="43" w:type="dxa"/>
              <w:right w:w="123" w:type="dxa"/>
            </w:tcMar>
          </w:tcPr>
          <w:p w14:paraId="28F9B77F" w14:textId="77777777" w:rsidR="000A2A2B" w:rsidRPr="007C3060" w:rsidRDefault="000A2A2B" w:rsidP="007C3060">
            <w:r w:rsidRPr="007C3060">
              <w:t>(NY)</w:t>
            </w:r>
          </w:p>
        </w:tc>
        <w:tc>
          <w:tcPr>
            <w:tcW w:w="680" w:type="dxa"/>
            <w:tcBorders>
              <w:top w:val="nil"/>
              <w:left w:val="nil"/>
              <w:bottom w:val="nil"/>
              <w:right w:val="nil"/>
            </w:tcBorders>
            <w:tcMar>
              <w:top w:w="128" w:type="dxa"/>
              <w:left w:w="43" w:type="dxa"/>
              <w:bottom w:w="43" w:type="dxa"/>
              <w:right w:w="123" w:type="dxa"/>
            </w:tcMar>
            <w:vAlign w:val="bottom"/>
          </w:tcPr>
          <w:p w14:paraId="0F01557C" w14:textId="77777777" w:rsidR="000A2A2B" w:rsidRPr="007C3060" w:rsidRDefault="000A2A2B" w:rsidP="007C3060">
            <w:r w:rsidRPr="007C3060">
              <w:t>95</w:t>
            </w:r>
          </w:p>
        </w:tc>
        <w:tc>
          <w:tcPr>
            <w:tcW w:w="5040" w:type="dxa"/>
            <w:tcBorders>
              <w:top w:val="nil"/>
              <w:left w:val="nil"/>
              <w:bottom w:val="nil"/>
              <w:right w:val="nil"/>
            </w:tcBorders>
            <w:tcMar>
              <w:top w:w="128" w:type="dxa"/>
              <w:left w:w="43" w:type="dxa"/>
              <w:bottom w:w="43" w:type="dxa"/>
              <w:right w:w="43" w:type="dxa"/>
            </w:tcMar>
            <w:vAlign w:val="bottom"/>
          </w:tcPr>
          <w:p w14:paraId="4139416D" w14:textId="77777777" w:rsidR="000A2A2B" w:rsidRPr="007C3060" w:rsidRDefault="000A2A2B" w:rsidP="007C3060">
            <w:r w:rsidRPr="007C3060">
              <w:t xml:space="preserve">Fondskapital, bevilges med </w:t>
            </w:r>
          </w:p>
        </w:tc>
        <w:tc>
          <w:tcPr>
            <w:tcW w:w="1580" w:type="dxa"/>
            <w:tcBorders>
              <w:top w:val="nil"/>
              <w:left w:val="nil"/>
              <w:bottom w:val="nil"/>
              <w:right w:val="nil"/>
            </w:tcBorders>
            <w:tcMar>
              <w:top w:w="128" w:type="dxa"/>
              <w:left w:w="43" w:type="dxa"/>
              <w:bottom w:w="43" w:type="dxa"/>
              <w:right w:w="43" w:type="dxa"/>
            </w:tcMar>
            <w:vAlign w:val="bottom"/>
          </w:tcPr>
          <w:p w14:paraId="4C8FC219"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2160835" w14:textId="77777777" w:rsidR="000A2A2B" w:rsidRPr="007C3060" w:rsidRDefault="000A2A2B" w:rsidP="007C3060">
            <w:r w:rsidRPr="007C3060">
              <w:t>50 957 245 000</w:t>
            </w:r>
          </w:p>
        </w:tc>
      </w:tr>
      <w:tr w:rsidR="004B729E" w:rsidRPr="007C3060" w14:paraId="69D4F6C2" w14:textId="77777777">
        <w:trPr>
          <w:trHeight w:val="380"/>
        </w:trPr>
        <w:tc>
          <w:tcPr>
            <w:tcW w:w="680" w:type="dxa"/>
            <w:tcBorders>
              <w:top w:val="nil"/>
              <w:left w:val="nil"/>
              <w:bottom w:val="nil"/>
              <w:right w:val="nil"/>
            </w:tcBorders>
            <w:tcMar>
              <w:top w:w="128" w:type="dxa"/>
              <w:left w:w="43" w:type="dxa"/>
              <w:bottom w:w="43" w:type="dxa"/>
              <w:right w:w="123" w:type="dxa"/>
            </w:tcMar>
          </w:tcPr>
          <w:p w14:paraId="25E07DCF" w14:textId="77777777" w:rsidR="000A2A2B" w:rsidRPr="007C3060" w:rsidRDefault="000A2A2B" w:rsidP="007C3060">
            <w:r w:rsidRPr="007C3060">
              <w:t>4602</w:t>
            </w:r>
          </w:p>
        </w:tc>
        <w:tc>
          <w:tcPr>
            <w:tcW w:w="680" w:type="dxa"/>
            <w:tcBorders>
              <w:top w:val="nil"/>
              <w:left w:val="nil"/>
              <w:bottom w:val="nil"/>
              <w:right w:val="nil"/>
            </w:tcBorders>
            <w:tcMar>
              <w:top w:w="128" w:type="dxa"/>
              <w:left w:w="43" w:type="dxa"/>
              <w:bottom w:w="43" w:type="dxa"/>
              <w:right w:w="123" w:type="dxa"/>
            </w:tcMar>
            <w:vAlign w:val="bottom"/>
          </w:tcPr>
          <w:p w14:paraId="30472D37"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359E679B" w14:textId="77777777" w:rsidR="000A2A2B" w:rsidRPr="007C3060" w:rsidRDefault="000A2A2B" w:rsidP="007C3060">
            <w:r w:rsidRPr="007C3060">
              <w:t>Finanstilsynet:</w:t>
            </w:r>
          </w:p>
        </w:tc>
        <w:tc>
          <w:tcPr>
            <w:tcW w:w="1580" w:type="dxa"/>
            <w:tcBorders>
              <w:top w:val="nil"/>
              <w:left w:val="nil"/>
              <w:bottom w:val="nil"/>
              <w:right w:val="nil"/>
            </w:tcBorders>
            <w:tcMar>
              <w:top w:w="128" w:type="dxa"/>
              <w:left w:w="43" w:type="dxa"/>
              <w:bottom w:w="43" w:type="dxa"/>
              <w:right w:w="43" w:type="dxa"/>
            </w:tcMar>
            <w:vAlign w:val="bottom"/>
          </w:tcPr>
          <w:p w14:paraId="18F969D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35F4B35" w14:textId="77777777" w:rsidR="000A2A2B" w:rsidRPr="007C3060" w:rsidRDefault="000A2A2B" w:rsidP="007C3060"/>
        </w:tc>
      </w:tr>
      <w:tr w:rsidR="004B729E" w:rsidRPr="007C3060" w14:paraId="6D65BC9C" w14:textId="77777777">
        <w:trPr>
          <w:trHeight w:val="380"/>
        </w:trPr>
        <w:tc>
          <w:tcPr>
            <w:tcW w:w="680" w:type="dxa"/>
            <w:tcBorders>
              <w:top w:val="nil"/>
              <w:left w:val="nil"/>
              <w:bottom w:val="nil"/>
              <w:right w:val="nil"/>
            </w:tcBorders>
            <w:tcMar>
              <w:top w:w="128" w:type="dxa"/>
              <w:left w:w="43" w:type="dxa"/>
              <w:bottom w:w="43" w:type="dxa"/>
              <w:right w:w="123" w:type="dxa"/>
            </w:tcMar>
          </w:tcPr>
          <w:p w14:paraId="2A0B6DC2"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37E79EE" w14:textId="77777777" w:rsidR="000A2A2B" w:rsidRPr="007C3060" w:rsidRDefault="000A2A2B" w:rsidP="007C3060">
            <w:r w:rsidRPr="007C3060">
              <w:t>3</w:t>
            </w:r>
          </w:p>
        </w:tc>
        <w:tc>
          <w:tcPr>
            <w:tcW w:w="5040" w:type="dxa"/>
            <w:tcBorders>
              <w:top w:val="nil"/>
              <w:left w:val="nil"/>
              <w:bottom w:val="nil"/>
              <w:right w:val="nil"/>
            </w:tcBorders>
            <w:tcMar>
              <w:top w:w="128" w:type="dxa"/>
              <w:left w:w="43" w:type="dxa"/>
              <w:bottom w:w="43" w:type="dxa"/>
              <w:right w:w="43" w:type="dxa"/>
            </w:tcMar>
            <w:vAlign w:val="bottom"/>
          </w:tcPr>
          <w:p w14:paraId="761859C1" w14:textId="77777777" w:rsidR="000A2A2B" w:rsidRPr="007C3060" w:rsidRDefault="000A2A2B" w:rsidP="007C3060">
            <w:r w:rsidRPr="007C3060">
              <w:t>Saksbehandlingsgebyr, forhøyes med</w:t>
            </w:r>
          </w:p>
        </w:tc>
        <w:tc>
          <w:tcPr>
            <w:tcW w:w="1580" w:type="dxa"/>
            <w:tcBorders>
              <w:top w:val="nil"/>
              <w:left w:val="nil"/>
              <w:bottom w:val="nil"/>
              <w:right w:val="nil"/>
            </w:tcBorders>
            <w:tcMar>
              <w:top w:w="128" w:type="dxa"/>
              <w:left w:w="43" w:type="dxa"/>
              <w:bottom w:w="43" w:type="dxa"/>
              <w:right w:w="43" w:type="dxa"/>
            </w:tcMar>
            <w:vAlign w:val="bottom"/>
          </w:tcPr>
          <w:p w14:paraId="1F38271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8407F70" w14:textId="77777777" w:rsidR="000A2A2B" w:rsidRPr="007C3060" w:rsidRDefault="000A2A2B" w:rsidP="007C3060">
            <w:r w:rsidRPr="007C3060">
              <w:t>2 000 000</w:t>
            </w:r>
          </w:p>
        </w:tc>
      </w:tr>
      <w:tr w:rsidR="004B729E" w:rsidRPr="007C3060" w14:paraId="11ABD7A0" w14:textId="77777777">
        <w:trPr>
          <w:trHeight w:val="380"/>
        </w:trPr>
        <w:tc>
          <w:tcPr>
            <w:tcW w:w="680" w:type="dxa"/>
            <w:tcBorders>
              <w:top w:val="nil"/>
              <w:left w:val="nil"/>
              <w:bottom w:val="nil"/>
              <w:right w:val="nil"/>
            </w:tcBorders>
            <w:tcMar>
              <w:top w:w="128" w:type="dxa"/>
              <w:left w:w="43" w:type="dxa"/>
              <w:bottom w:w="43" w:type="dxa"/>
              <w:right w:w="123" w:type="dxa"/>
            </w:tcMar>
          </w:tcPr>
          <w:p w14:paraId="73018D1A"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D8F15F5"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54A270E" w14:textId="77777777" w:rsidR="000A2A2B" w:rsidRPr="007C3060" w:rsidRDefault="000A2A2B" w:rsidP="007C3060">
            <w:r w:rsidRPr="007C3060">
              <w:t>fra kr 18 700 000 til kr 20 700 000</w:t>
            </w:r>
          </w:p>
        </w:tc>
        <w:tc>
          <w:tcPr>
            <w:tcW w:w="1580" w:type="dxa"/>
            <w:tcBorders>
              <w:top w:val="nil"/>
              <w:left w:val="nil"/>
              <w:bottom w:val="nil"/>
              <w:right w:val="nil"/>
            </w:tcBorders>
            <w:tcMar>
              <w:top w:w="128" w:type="dxa"/>
              <w:left w:w="43" w:type="dxa"/>
              <w:bottom w:w="43" w:type="dxa"/>
              <w:right w:w="43" w:type="dxa"/>
            </w:tcMar>
            <w:vAlign w:val="bottom"/>
          </w:tcPr>
          <w:p w14:paraId="58C90FC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46E9737" w14:textId="77777777" w:rsidR="000A2A2B" w:rsidRPr="007C3060" w:rsidRDefault="000A2A2B" w:rsidP="007C3060"/>
        </w:tc>
      </w:tr>
      <w:tr w:rsidR="004B729E" w:rsidRPr="007C3060" w14:paraId="1395E6B0" w14:textId="77777777">
        <w:trPr>
          <w:trHeight w:val="380"/>
        </w:trPr>
        <w:tc>
          <w:tcPr>
            <w:tcW w:w="680" w:type="dxa"/>
            <w:tcBorders>
              <w:top w:val="nil"/>
              <w:left w:val="nil"/>
              <w:bottom w:val="nil"/>
              <w:right w:val="nil"/>
            </w:tcBorders>
            <w:tcMar>
              <w:top w:w="128" w:type="dxa"/>
              <w:left w:w="43" w:type="dxa"/>
              <w:bottom w:w="43" w:type="dxa"/>
              <w:right w:w="123" w:type="dxa"/>
            </w:tcMar>
          </w:tcPr>
          <w:p w14:paraId="087BC2E9" w14:textId="77777777" w:rsidR="000A2A2B" w:rsidRPr="007C3060" w:rsidRDefault="000A2A2B" w:rsidP="007C3060">
            <w:r w:rsidRPr="007C3060">
              <w:t>4610</w:t>
            </w:r>
          </w:p>
        </w:tc>
        <w:tc>
          <w:tcPr>
            <w:tcW w:w="680" w:type="dxa"/>
            <w:tcBorders>
              <w:top w:val="nil"/>
              <w:left w:val="nil"/>
              <w:bottom w:val="nil"/>
              <w:right w:val="nil"/>
            </w:tcBorders>
            <w:tcMar>
              <w:top w:w="128" w:type="dxa"/>
              <w:left w:w="43" w:type="dxa"/>
              <w:bottom w:w="43" w:type="dxa"/>
              <w:right w:w="123" w:type="dxa"/>
            </w:tcMar>
            <w:vAlign w:val="bottom"/>
          </w:tcPr>
          <w:p w14:paraId="0EF11773"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21D5019" w14:textId="77777777" w:rsidR="000A2A2B" w:rsidRPr="007C3060" w:rsidRDefault="000A2A2B" w:rsidP="007C3060">
            <w:r w:rsidRPr="007C3060">
              <w:t>Tolletaten:</w:t>
            </w:r>
          </w:p>
        </w:tc>
        <w:tc>
          <w:tcPr>
            <w:tcW w:w="1580" w:type="dxa"/>
            <w:tcBorders>
              <w:top w:val="nil"/>
              <w:left w:val="nil"/>
              <w:bottom w:val="nil"/>
              <w:right w:val="nil"/>
            </w:tcBorders>
            <w:tcMar>
              <w:top w:w="128" w:type="dxa"/>
              <w:left w:w="43" w:type="dxa"/>
              <w:bottom w:w="43" w:type="dxa"/>
              <w:right w:w="43" w:type="dxa"/>
            </w:tcMar>
            <w:vAlign w:val="bottom"/>
          </w:tcPr>
          <w:p w14:paraId="4996A73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3991A62" w14:textId="77777777" w:rsidR="000A2A2B" w:rsidRPr="007C3060" w:rsidRDefault="000A2A2B" w:rsidP="007C3060"/>
        </w:tc>
      </w:tr>
      <w:tr w:rsidR="004B729E" w:rsidRPr="007C3060" w14:paraId="604BE563" w14:textId="77777777">
        <w:trPr>
          <w:trHeight w:val="380"/>
        </w:trPr>
        <w:tc>
          <w:tcPr>
            <w:tcW w:w="680" w:type="dxa"/>
            <w:tcBorders>
              <w:top w:val="nil"/>
              <w:left w:val="nil"/>
              <w:bottom w:val="nil"/>
              <w:right w:val="nil"/>
            </w:tcBorders>
            <w:tcMar>
              <w:top w:w="128" w:type="dxa"/>
              <w:left w:w="43" w:type="dxa"/>
              <w:bottom w:w="43" w:type="dxa"/>
              <w:right w:w="123" w:type="dxa"/>
            </w:tcMar>
          </w:tcPr>
          <w:p w14:paraId="78BFB38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D57D1E1" w14:textId="77777777" w:rsidR="000A2A2B" w:rsidRPr="007C3060" w:rsidRDefault="000A2A2B" w:rsidP="007C3060">
            <w:r w:rsidRPr="007C3060">
              <w:t>2</w:t>
            </w:r>
          </w:p>
        </w:tc>
        <w:tc>
          <w:tcPr>
            <w:tcW w:w="5040" w:type="dxa"/>
            <w:tcBorders>
              <w:top w:val="nil"/>
              <w:left w:val="nil"/>
              <w:bottom w:val="nil"/>
              <w:right w:val="nil"/>
            </w:tcBorders>
            <w:tcMar>
              <w:top w:w="128" w:type="dxa"/>
              <w:left w:w="43" w:type="dxa"/>
              <w:bottom w:w="43" w:type="dxa"/>
              <w:right w:w="43" w:type="dxa"/>
            </w:tcMar>
            <w:vAlign w:val="bottom"/>
          </w:tcPr>
          <w:p w14:paraId="5D1BA4A4" w14:textId="77777777" w:rsidR="000A2A2B" w:rsidRPr="007C3060" w:rsidRDefault="000A2A2B" w:rsidP="007C3060">
            <w:r w:rsidRPr="007C3060">
              <w:t>Andre inntekter, forhøyes med</w:t>
            </w:r>
          </w:p>
        </w:tc>
        <w:tc>
          <w:tcPr>
            <w:tcW w:w="1580" w:type="dxa"/>
            <w:tcBorders>
              <w:top w:val="nil"/>
              <w:left w:val="nil"/>
              <w:bottom w:val="nil"/>
              <w:right w:val="nil"/>
            </w:tcBorders>
            <w:tcMar>
              <w:top w:w="128" w:type="dxa"/>
              <w:left w:w="43" w:type="dxa"/>
              <w:bottom w:w="43" w:type="dxa"/>
              <w:right w:w="43" w:type="dxa"/>
            </w:tcMar>
            <w:vAlign w:val="bottom"/>
          </w:tcPr>
          <w:p w14:paraId="088803D2"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5073367" w14:textId="77777777" w:rsidR="000A2A2B" w:rsidRPr="007C3060" w:rsidRDefault="000A2A2B" w:rsidP="007C3060">
            <w:r w:rsidRPr="007C3060">
              <w:t>1 008 000</w:t>
            </w:r>
          </w:p>
        </w:tc>
      </w:tr>
      <w:tr w:rsidR="004B729E" w:rsidRPr="007C3060" w14:paraId="0B95AA40" w14:textId="77777777">
        <w:trPr>
          <w:trHeight w:val="380"/>
        </w:trPr>
        <w:tc>
          <w:tcPr>
            <w:tcW w:w="680" w:type="dxa"/>
            <w:tcBorders>
              <w:top w:val="nil"/>
              <w:left w:val="nil"/>
              <w:bottom w:val="nil"/>
              <w:right w:val="nil"/>
            </w:tcBorders>
            <w:tcMar>
              <w:top w:w="128" w:type="dxa"/>
              <w:left w:w="43" w:type="dxa"/>
              <w:bottom w:w="43" w:type="dxa"/>
              <w:right w:w="123" w:type="dxa"/>
            </w:tcMar>
          </w:tcPr>
          <w:p w14:paraId="5AABE12D"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EEA6FDD"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2D23612" w14:textId="77777777" w:rsidR="000A2A2B" w:rsidRPr="007C3060" w:rsidRDefault="000A2A2B" w:rsidP="007C3060">
            <w:r w:rsidRPr="007C3060">
              <w:t>fra kr 2 492 000 til kr 3 500 000</w:t>
            </w:r>
          </w:p>
        </w:tc>
        <w:tc>
          <w:tcPr>
            <w:tcW w:w="1580" w:type="dxa"/>
            <w:tcBorders>
              <w:top w:val="nil"/>
              <w:left w:val="nil"/>
              <w:bottom w:val="nil"/>
              <w:right w:val="nil"/>
            </w:tcBorders>
            <w:tcMar>
              <w:top w:w="128" w:type="dxa"/>
              <w:left w:w="43" w:type="dxa"/>
              <w:bottom w:w="43" w:type="dxa"/>
              <w:right w:w="43" w:type="dxa"/>
            </w:tcMar>
            <w:vAlign w:val="bottom"/>
          </w:tcPr>
          <w:p w14:paraId="657120A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FFDEDB9" w14:textId="77777777" w:rsidR="000A2A2B" w:rsidRPr="007C3060" w:rsidRDefault="000A2A2B" w:rsidP="007C3060"/>
        </w:tc>
      </w:tr>
      <w:tr w:rsidR="004B729E" w:rsidRPr="007C3060" w14:paraId="518491B6" w14:textId="77777777">
        <w:trPr>
          <w:trHeight w:val="380"/>
        </w:trPr>
        <w:tc>
          <w:tcPr>
            <w:tcW w:w="680" w:type="dxa"/>
            <w:tcBorders>
              <w:top w:val="nil"/>
              <w:left w:val="nil"/>
              <w:bottom w:val="nil"/>
              <w:right w:val="nil"/>
            </w:tcBorders>
            <w:tcMar>
              <w:top w:w="128" w:type="dxa"/>
              <w:left w:w="43" w:type="dxa"/>
              <w:bottom w:w="43" w:type="dxa"/>
              <w:right w:w="123" w:type="dxa"/>
            </w:tcMar>
          </w:tcPr>
          <w:p w14:paraId="07B11D2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0B790EC" w14:textId="77777777" w:rsidR="000A2A2B" w:rsidRPr="007C3060" w:rsidRDefault="000A2A2B" w:rsidP="007C3060">
            <w:r w:rsidRPr="007C3060">
              <w:t>4</w:t>
            </w:r>
          </w:p>
        </w:tc>
        <w:tc>
          <w:tcPr>
            <w:tcW w:w="5040" w:type="dxa"/>
            <w:tcBorders>
              <w:top w:val="nil"/>
              <w:left w:val="nil"/>
              <w:bottom w:val="nil"/>
              <w:right w:val="nil"/>
            </w:tcBorders>
            <w:tcMar>
              <w:top w:w="128" w:type="dxa"/>
              <w:left w:w="43" w:type="dxa"/>
              <w:bottom w:w="43" w:type="dxa"/>
              <w:right w:w="43" w:type="dxa"/>
            </w:tcMar>
            <w:vAlign w:val="bottom"/>
          </w:tcPr>
          <w:p w14:paraId="0D3F72F9" w14:textId="77777777" w:rsidR="000A2A2B" w:rsidRPr="007C3060" w:rsidRDefault="000A2A2B" w:rsidP="007C3060">
            <w:r w:rsidRPr="007C3060">
              <w:t>Diverse refusjoner, nedsettes med</w:t>
            </w:r>
          </w:p>
        </w:tc>
        <w:tc>
          <w:tcPr>
            <w:tcW w:w="1580" w:type="dxa"/>
            <w:tcBorders>
              <w:top w:val="nil"/>
              <w:left w:val="nil"/>
              <w:bottom w:val="nil"/>
              <w:right w:val="nil"/>
            </w:tcBorders>
            <w:tcMar>
              <w:top w:w="128" w:type="dxa"/>
              <w:left w:w="43" w:type="dxa"/>
              <w:bottom w:w="43" w:type="dxa"/>
              <w:right w:w="43" w:type="dxa"/>
            </w:tcMar>
            <w:vAlign w:val="bottom"/>
          </w:tcPr>
          <w:p w14:paraId="562A67A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3D6C65C" w14:textId="77777777" w:rsidR="000A2A2B" w:rsidRPr="007C3060" w:rsidRDefault="000A2A2B" w:rsidP="007C3060">
            <w:r w:rsidRPr="007C3060">
              <w:t>443 000</w:t>
            </w:r>
          </w:p>
        </w:tc>
      </w:tr>
      <w:tr w:rsidR="004B729E" w:rsidRPr="007C3060" w14:paraId="72A6DC5D" w14:textId="77777777">
        <w:trPr>
          <w:trHeight w:val="380"/>
        </w:trPr>
        <w:tc>
          <w:tcPr>
            <w:tcW w:w="680" w:type="dxa"/>
            <w:tcBorders>
              <w:top w:val="nil"/>
              <w:left w:val="nil"/>
              <w:bottom w:val="nil"/>
              <w:right w:val="nil"/>
            </w:tcBorders>
            <w:tcMar>
              <w:top w:w="128" w:type="dxa"/>
              <w:left w:w="43" w:type="dxa"/>
              <w:bottom w:w="43" w:type="dxa"/>
              <w:right w:w="123" w:type="dxa"/>
            </w:tcMar>
          </w:tcPr>
          <w:p w14:paraId="65D6C83C"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BCC8CD2"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1434B1F" w14:textId="77777777" w:rsidR="000A2A2B" w:rsidRPr="007C3060" w:rsidRDefault="000A2A2B" w:rsidP="007C3060">
            <w:r w:rsidRPr="007C3060">
              <w:t>fra kr 1 193 000 til kr 750 000</w:t>
            </w:r>
          </w:p>
        </w:tc>
        <w:tc>
          <w:tcPr>
            <w:tcW w:w="1580" w:type="dxa"/>
            <w:tcBorders>
              <w:top w:val="nil"/>
              <w:left w:val="nil"/>
              <w:bottom w:val="nil"/>
              <w:right w:val="nil"/>
            </w:tcBorders>
            <w:tcMar>
              <w:top w:w="128" w:type="dxa"/>
              <w:left w:w="43" w:type="dxa"/>
              <w:bottom w:w="43" w:type="dxa"/>
              <w:right w:w="43" w:type="dxa"/>
            </w:tcMar>
            <w:vAlign w:val="bottom"/>
          </w:tcPr>
          <w:p w14:paraId="3DA5E7C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0B8F54A" w14:textId="77777777" w:rsidR="000A2A2B" w:rsidRPr="007C3060" w:rsidRDefault="000A2A2B" w:rsidP="007C3060"/>
        </w:tc>
      </w:tr>
      <w:tr w:rsidR="004B729E" w:rsidRPr="007C3060" w14:paraId="042ADEAA" w14:textId="77777777">
        <w:trPr>
          <w:trHeight w:val="380"/>
        </w:trPr>
        <w:tc>
          <w:tcPr>
            <w:tcW w:w="680" w:type="dxa"/>
            <w:tcBorders>
              <w:top w:val="nil"/>
              <w:left w:val="nil"/>
              <w:bottom w:val="nil"/>
              <w:right w:val="nil"/>
            </w:tcBorders>
            <w:tcMar>
              <w:top w:w="128" w:type="dxa"/>
              <w:left w:w="43" w:type="dxa"/>
              <w:bottom w:w="43" w:type="dxa"/>
              <w:right w:w="123" w:type="dxa"/>
            </w:tcMar>
          </w:tcPr>
          <w:p w14:paraId="0660DCBE"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D01095D" w14:textId="77777777" w:rsidR="000A2A2B" w:rsidRPr="007C3060" w:rsidRDefault="000A2A2B" w:rsidP="007C3060">
            <w:r w:rsidRPr="007C3060">
              <w:t>85</w:t>
            </w:r>
          </w:p>
        </w:tc>
        <w:tc>
          <w:tcPr>
            <w:tcW w:w="5040" w:type="dxa"/>
            <w:tcBorders>
              <w:top w:val="nil"/>
              <w:left w:val="nil"/>
              <w:bottom w:val="nil"/>
              <w:right w:val="nil"/>
            </w:tcBorders>
            <w:tcMar>
              <w:top w:w="128" w:type="dxa"/>
              <w:left w:w="43" w:type="dxa"/>
              <w:bottom w:w="43" w:type="dxa"/>
              <w:right w:w="43" w:type="dxa"/>
            </w:tcMar>
            <w:vAlign w:val="bottom"/>
          </w:tcPr>
          <w:p w14:paraId="3BD1124C" w14:textId="77777777" w:rsidR="000A2A2B" w:rsidRPr="007C3060" w:rsidRDefault="000A2A2B" w:rsidP="007C3060">
            <w:r w:rsidRPr="007C3060">
              <w:t>Tvangsmulkt og overtredelsesgebyr, forhøyes med</w:t>
            </w:r>
          </w:p>
        </w:tc>
        <w:tc>
          <w:tcPr>
            <w:tcW w:w="1580" w:type="dxa"/>
            <w:tcBorders>
              <w:top w:val="nil"/>
              <w:left w:val="nil"/>
              <w:bottom w:val="nil"/>
              <w:right w:val="nil"/>
            </w:tcBorders>
            <w:tcMar>
              <w:top w:w="128" w:type="dxa"/>
              <w:left w:w="43" w:type="dxa"/>
              <w:bottom w:w="43" w:type="dxa"/>
              <w:right w:w="43" w:type="dxa"/>
            </w:tcMar>
            <w:vAlign w:val="bottom"/>
          </w:tcPr>
          <w:p w14:paraId="5EB7BB75"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99F6D24" w14:textId="77777777" w:rsidR="000A2A2B" w:rsidRPr="007C3060" w:rsidRDefault="000A2A2B" w:rsidP="007C3060">
            <w:r w:rsidRPr="007C3060">
              <w:t>500 000</w:t>
            </w:r>
          </w:p>
        </w:tc>
      </w:tr>
      <w:tr w:rsidR="004B729E" w:rsidRPr="007C3060" w14:paraId="1D1FEC4D" w14:textId="77777777">
        <w:trPr>
          <w:trHeight w:val="380"/>
        </w:trPr>
        <w:tc>
          <w:tcPr>
            <w:tcW w:w="680" w:type="dxa"/>
            <w:tcBorders>
              <w:top w:val="nil"/>
              <w:left w:val="nil"/>
              <w:bottom w:val="nil"/>
              <w:right w:val="nil"/>
            </w:tcBorders>
            <w:tcMar>
              <w:top w:w="128" w:type="dxa"/>
              <w:left w:w="43" w:type="dxa"/>
              <w:bottom w:w="43" w:type="dxa"/>
              <w:right w:w="123" w:type="dxa"/>
            </w:tcMar>
          </w:tcPr>
          <w:p w14:paraId="7BACD866"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0F6CD8C"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7383D85" w14:textId="77777777" w:rsidR="000A2A2B" w:rsidRPr="007C3060" w:rsidRDefault="000A2A2B" w:rsidP="007C3060">
            <w:r w:rsidRPr="007C3060">
              <w:t>fra kr 12 500 000 til kr 13 000 000</w:t>
            </w:r>
          </w:p>
        </w:tc>
        <w:tc>
          <w:tcPr>
            <w:tcW w:w="1580" w:type="dxa"/>
            <w:tcBorders>
              <w:top w:val="nil"/>
              <w:left w:val="nil"/>
              <w:bottom w:val="nil"/>
              <w:right w:val="nil"/>
            </w:tcBorders>
            <w:tcMar>
              <w:top w:w="128" w:type="dxa"/>
              <w:left w:w="43" w:type="dxa"/>
              <w:bottom w:w="43" w:type="dxa"/>
              <w:right w:w="43" w:type="dxa"/>
            </w:tcMar>
            <w:vAlign w:val="bottom"/>
          </w:tcPr>
          <w:p w14:paraId="139CB9A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E8A5D08" w14:textId="77777777" w:rsidR="000A2A2B" w:rsidRPr="007C3060" w:rsidRDefault="000A2A2B" w:rsidP="007C3060"/>
        </w:tc>
      </w:tr>
      <w:tr w:rsidR="004B729E" w:rsidRPr="007C3060" w14:paraId="5FD3A6CB" w14:textId="77777777">
        <w:trPr>
          <w:trHeight w:val="380"/>
        </w:trPr>
        <w:tc>
          <w:tcPr>
            <w:tcW w:w="680" w:type="dxa"/>
            <w:tcBorders>
              <w:top w:val="nil"/>
              <w:left w:val="nil"/>
              <w:bottom w:val="nil"/>
              <w:right w:val="nil"/>
            </w:tcBorders>
            <w:tcMar>
              <w:top w:w="128" w:type="dxa"/>
              <w:left w:w="43" w:type="dxa"/>
              <w:bottom w:w="43" w:type="dxa"/>
              <w:right w:w="123" w:type="dxa"/>
            </w:tcMar>
          </w:tcPr>
          <w:p w14:paraId="6CB90B21" w14:textId="77777777" w:rsidR="000A2A2B" w:rsidRPr="007C3060" w:rsidRDefault="000A2A2B" w:rsidP="007C3060">
            <w:r w:rsidRPr="007C3060">
              <w:t>4618</w:t>
            </w:r>
          </w:p>
        </w:tc>
        <w:tc>
          <w:tcPr>
            <w:tcW w:w="680" w:type="dxa"/>
            <w:tcBorders>
              <w:top w:val="nil"/>
              <w:left w:val="nil"/>
              <w:bottom w:val="nil"/>
              <w:right w:val="nil"/>
            </w:tcBorders>
            <w:tcMar>
              <w:top w:w="128" w:type="dxa"/>
              <w:left w:w="43" w:type="dxa"/>
              <w:bottom w:w="43" w:type="dxa"/>
              <w:right w:w="123" w:type="dxa"/>
            </w:tcMar>
            <w:vAlign w:val="bottom"/>
          </w:tcPr>
          <w:p w14:paraId="11ECE3EE"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7F0ED83" w14:textId="77777777" w:rsidR="000A2A2B" w:rsidRPr="007C3060" w:rsidRDefault="000A2A2B" w:rsidP="007C3060">
            <w:r w:rsidRPr="007C3060">
              <w:t>Skatteetaten:</w:t>
            </w:r>
          </w:p>
        </w:tc>
        <w:tc>
          <w:tcPr>
            <w:tcW w:w="1580" w:type="dxa"/>
            <w:tcBorders>
              <w:top w:val="nil"/>
              <w:left w:val="nil"/>
              <w:bottom w:val="nil"/>
              <w:right w:val="nil"/>
            </w:tcBorders>
            <w:tcMar>
              <w:top w:w="128" w:type="dxa"/>
              <w:left w:w="43" w:type="dxa"/>
              <w:bottom w:w="43" w:type="dxa"/>
              <w:right w:w="43" w:type="dxa"/>
            </w:tcMar>
            <w:vAlign w:val="bottom"/>
          </w:tcPr>
          <w:p w14:paraId="00D4A272"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8689972" w14:textId="77777777" w:rsidR="000A2A2B" w:rsidRPr="007C3060" w:rsidRDefault="000A2A2B" w:rsidP="007C3060"/>
        </w:tc>
      </w:tr>
      <w:tr w:rsidR="004B729E" w:rsidRPr="007C3060" w14:paraId="16970965" w14:textId="77777777">
        <w:trPr>
          <w:trHeight w:val="380"/>
        </w:trPr>
        <w:tc>
          <w:tcPr>
            <w:tcW w:w="680" w:type="dxa"/>
            <w:tcBorders>
              <w:top w:val="nil"/>
              <w:left w:val="nil"/>
              <w:bottom w:val="nil"/>
              <w:right w:val="nil"/>
            </w:tcBorders>
            <w:tcMar>
              <w:top w:w="128" w:type="dxa"/>
              <w:left w:w="43" w:type="dxa"/>
              <w:bottom w:w="43" w:type="dxa"/>
              <w:right w:w="123" w:type="dxa"/>
            </w:tcMar>
          </w:tcPr>
          <w:p w14:paraId="55B2B33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391BC97" w14:textId="77777777" w:rsidR="000A2A2B" w:rsidRPr="007C3060" w:rsidRDefault="000A2A2B" w:rsidP="007C3060">
            <w:r w:rsidRPr="007C3060">
              <w:t>3</w:t>
            </w:r>
          </w:p>
        </w:tc>
        <w:tc>
          <w:tcPr>
            <w:tcW w:w="5040" w:type="dxa"/>
            <w:tcBorders>
              <w:top w:val="nil"/>
              <w:left w:val="nil"/>
              <w:bottom w:val="nil"/>
              <w:right w:val="nil"/>
            </w:tcBorders>
            <w:tcMar>
              <w:top w:w="128" w:type="dxa"/>
              <w:left w:w="43" w:type="dxa"/>
              <w:bottom w:w="43" w:type="dxa"/>
              <w:right w:w="43" w:type="dxa"/>
            </w:tcMar>
            <w:vAlign w:val="bottom"/>
          </w:tcPr>
          <w:p w14:paraId="48FCB982" w14:textId="77777777" w:rsidR="000A2A2B" w:rsidRPr="007C3060" w:rsidRDefault="000A2A2B" w:rsidP="007C3060">
            <w:r w:rsidRPr="007C3060">
              <w:t>Andre inntekter, forhøyes med</w:t>
            </w:r>
          </w:p>
        </w:tc>
        <w:tc>
          <w:tcPr>
            <w:tcW w:w="1580" w:type="dxa"/>
            <w:tcBorders>
              <w:top w:val="nil"/>
              <w:left w:val="nil"/>
              <w:bottom w:val="nil"/>
              <w:right w:val="nil"/>
            </w:tcBorders>
            <w:tcMar>
              <w:top w:w="128" w:type="dxa"/>
              <w:left w:w="43" w:type="dxa"/>
              <w:bottom w:w="43" w:type="dxa"/>
              <w:right w:w="43" w:type="dxa"/>
            </w:tcMar>
            <w:vAlign w:val="bottom"/>
          </w:tcPr>
          <w:p w14:paraId="22658319"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B632BE0" w14:textId="77777777" w:rsidR="000A2A2B" w:rsidRPr="007C3060" w:rsidRDefault="000A2A2B" w:rsidP="007C3060">
            <w:r w:rsidRPr="007C3060">
              <w:t>7 000 000</w:t>
            </w:r>
          </w:p>
        </w:tc>
      </w:tr>
      <w:tr w:rsidR="004B729E" w:rsidRPr="007C3060" w14:paraId="718E75EA" w14:textId="77777777">
        <w:trPr>
          <w:trHeight w:val="380"/>
        </w:trPr>
        <w:tc>
          <w:tcPr>
            <w:tcW w:w="680" w:type="dxa"/>
            <w:tcBorders>
              <w:top w:val="nil"/>
              <w:left w:val="nil"/>
              <w:bottom w:val="nil"/>
              <w:right w:val="nil"/>
            </w:tcBorders>
            <w:tcMar>
              <w:top w:w="128" w:type="dxa"/>
              <w:left w:w="43" w:type="dxa"/>
              <w:bottom w:w="43" w:type="dxa"/>
              <w:right w:w="123" w:type="dxa"/>
            </w:tcMar>
          </w:tcPr>
          <w:p w14:paraId="3B50131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9F8A044"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228F472" w14:textId="77777777" w:rsidR="000A2A2B" w:rsidRPr="007C3060" w:rsidRDefault="000A2A2B" w:rsidP="007C3060">
            <w:r w:rsidRPr="007C3060">
              <w:t>fra kr 7 044 000 til kr 14 044 000</w:t>
            </w:r>
          </w:p>
        </w:tc>
        <w:tc>
          <w:tcPr>
            <w:tcW w:w="1580" w:type="dxa"/>
            <w:tcBorders>
              <w:top w:val="nil"/>
              <w:left w:val="nil"/>
              <w:bottom w:val="nil"/>
              <w:right w:val="nil"/>
            </w:tcBorders>
            <w:tcMar>
              <w:top w:w="128" w:type="dxa"/>
              <w:left w:w="43" w:type="dxa"/>
              <w:bottom w:w="43" w:type="dxa"/>
              <w:right w:w="43" w:type="dxa"/>
            </w:tcMar>
            <w:vAlign w:val="bottom"/>
          </w:tcPr>
          <w:p w14:paraId="1836858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EADEDF3" w14:textId="77777777" w:rsidR="000A2A2B" w:rsidRPr="007C3060" w:rsidRDefault="000A2A2B" w:rsidP="007C3060"/>
        </w:tc>
      </w:tr>
      <w:tr w:rsidR="004B729E" w:rsidRPr="007C3060" w14:paraId="5A4F99C1" w14:textId="77777777">
        <w:trPr>
          <w:trHeight w:val="380"/>
        </w:trPr>
        <w:tc>
          <w:tcPr>
            <w:tcW w:w="680" w:type="dxa"/>
            <w:tcBorders>
              <w:top w:val="nil"/>
              <w:left w:val="nil"/>
              <w:bottom w:val="nil"/>
              <w:right w:val="nil"/>
            </w:tcBorders>
            <w:tcMar>
              <w:top w:w="128" w:type="dxa"/>
              <w:left w:w="43" w:type="dxa"/>
              <w:bottom w:w="43" w:type="dxa"/>
              <w:right w:w="123" w:type="dxa"/>
            </w:tcMar>
          </w:tcPr>
          <w:p w14:paraId="014E8EE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DCD790E" w14:textId="77777777" w:rsidR="000A2A2B" w:rsidRPr="007C3060" w:rsidRDefault="000A2A2B" w:rsidP="007C3060">
            <w:r w:rsidRPr="007C3060">
              <w:t>5</w:t>
            </w:r>
          </w:p>
        </w:tc>
        <w:tc>
          <w:tcPr>
            <w:tcW w:w="5040" w:type="dxa"/>
            <w:tcBorders>
              <w:top w:val="nil"/>
              <w:left w:val="nil"/>
              <w:bottom w:val="nil"/>
              <w:right w:val="nil"/>
            </w:tcBorders>
            <w:tcMar>
              <w:top w:w="128" w:type="dxa"/>
              <w:left w:w="43" w:type="dxa"/>
              <w:bottom w:w="43" w:type="dxa"/>
              <w:right w:w="43" w:type="dxa"/>
            </w:tcMar>
            <w:vAlign w:val="bottom"/>
          </w:tcPr>
          <w:p w14:paraId="0EA9E3F5" w14:textId="77777777" w:rsidR="000A2A2B" w:rsidRPr="007C3060" w:rsidRDefault="000A2A2B" w:rsidP="007C3060">
            <w:r w:rsidRPr="007C3060">
              <w:t>Gebyr for utleggsforretninger, forhøyes med</w:t>
            </w:r>
          </w:p>
        </w:tc>
        <w:tc>
          <w:tcPr>
            <w:tcW w:w="1580" w:type="dxa"/>
            <w:tcBorders>
              <w:top w:val="nil"/>
              <w:left w:val="nil"/>
              <w:bottom w:val="nil"/>
              <w:right w:val="nil"/>
            </w:tcBorders>
            <w:tcMar>
              <w:top w:w="128" w:type="dxa"/>
              <w:left w:w="43" w:type="dxa"/>
              <w:bottom w:w="43" w:type="dxa"/>
              <w:right w:w="43" w:type="dxa"/>
            </w:tcMar>
            <w:vAlign w:val="bottom"/>
          </w:tcPr>
          <w:p w14:paraId="269AF317"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16C7EF7" w14:textId="77777777" w:rsidR="000A2A2B" w:rsidRPr="007C3060" w:rsidRDefault="000A2A2B" w:rsidP="007C3060">
            <w:r w:rsidRPr="007C3060">
              <w:t>20 000 000</w:t>
            </w:r>
          </w:p>
        </w:tc>
      </w:tr>
      <w:tr w:rsidR="004B729E" w:rsidRPr="007C3060" w14:paraId="0BD01559" w14:textId="77777777">
        <w:trPr>
          <w:trHeight w:val="380"/>
        </w:trPr>
        <w:tc>
          <w:tcPr>
            <w:tcW w:w="680" w:type="dxa"/>
            <w:tcBorders>
              <w:top w:val="nil"/>
              <w:left w:val="nil"/>
              <w:bottom w:val="nil"/>
              <w:right w:val="nil"/>
            </w:tcBorders>
            <w:tcMar>
              <w:top w:w="128" w:type="dxa"/>
              <w:left w:w="43" w:type="dxa"/>
              <w:bottom w:w="43" w:type="dxa"/>
              <w:right w:w="123" w:type="dxa"/>
            </w:tcMar>
          </w:tcPr>
          <w:p w14:paraId="3ACA5AA7"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00494D6"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ACE72E4" w14:textId="77777777" w:rsidR="000A2A2B" w:rsidRPr="007C3060" w:rsidRDefault="000A2A2B" w:rsidP="007C3060">
            <w:r w:rsidRPr="007C3060">
              <w:t>fra kr 64 000 000 til kr 84 000 000</w:t>
            </w:r>
          </w:p>
        </w:tc>
        <w:tc>
          <w:tcPr>
            <w:tcW w:w="1580" w:type="dxa"/>
            <w:tcBorders>
              <w:top w:val="nil"/>
              <w:left w:val="nil"/>
              <w:bottom w:val="nil"/>
              <w:right w:val="nil"/>
            </w:tcBorders>
            <w:tcMar>
              <w:top w:w="128" w:type="dxa"/>
              <w:left w:w="43" w:type="dxa"/>
              <w:bottom w:w="43" w:type="dxa"/>
              <w:right w:w="43" w:type="dxa"/>
            </w:tcMar>
            <w:vAlign w:val="bottom"/>
          </w:tcPr>
          <w:p w14:paraId="6D1A618E"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81D6C4A" w14:textId="77777777" w:rsidR="000A2A2B" w:rsidRPr="007C3060" w:rsidRDefault="000A2A2B" w:rsidP="007C3060"/>
        </w:tc>
      </w:tr>
      <w:tr w:rsidR="004B729E" w:rsidRPr="007C3060" w14:paraId="1E508620" w14:textId="77777777">
        <w:trPr>
          <w:trHeight w:val="380"/>
        </w:trPr>
        <w:tc>
          <w:tcPr>
            <w:tcW w:w="680" w:type="dxa"/>
            <w:tcBorders>
              <w:top w:val="nil"/>
              <w:left w:val="nil"/>
              <w:bottom w:val="nil"/>
              <w:right w:val="nil"/>
            </w:tcBorders>
            <w:tcMar>
              <w:top w:w="128" w:type="dxa"/>
              <w:left w:w="43" w:type="dxa"/>
              <w:bottom w:w="43" w:type="dxa"/>
              <w:right w:w="123" w:type="dxa"/>
            </w:tcMar>
          </w:tcPr>
          <w:p w14:paraId="48CFAF3A"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282313D" w14:textId="77777777" w:rsidR="000A2A2B" w:rsidRPr="007C3060" w:rsidRDefault="000A2A2B" w:rsidP="007C3060">
            <w:r w:rsidRPr="007C3060">
              <w:t>85</w:t>
            </w:r>
          </w:p>
        </w:tc>
        <w:tc>
          <w:tcPr>
            <w:tcW w:w="5040" w:type="dxa"/>
            <w:tcBorders>
              <w:top w:val="nil"/>
              <w:left w:val="nil"/>
              <w:bottom w:val="nil"/>
              <w:right w:val="nil"/>
            </w:tcBorders>
            <w:tcMar>
              <w:top w:w="128" w:type="dxa"/>
              <w:left w:w="43" w:type="dxa"/>
              <w:bottom w:w="43" w:type="dxa"/>
              <w:right w:w="43" w:type="dxa"/>
            </w:tcMar>
            <w:vAlign w:val="bottom"/>
          </w:tcPr>
          <w:p w14:paraId="37A7E3F3" w14:textId="77777777" w:rsidR="000A2A2B" w:rsidRPr="007C3060" w:rsidRDefault="000A2A2B" w:rsidP="007C3060">
            <w:r w:rsidRPr="007C3060">
              <w:t>Inngått på tapsførte lån mv., nedsettes med</w:t>
            </w:r>
          </w:p>
        </w:tc>
        <w:tc>
          <w:tcPr>
            <w:tcW w:w="1580" w:type="dxa"/>
            <w:tcBorders>
              <w:top w:val="nil"/>
              <w:left w:val="nil"/>
              <w:bottom w:val="nil"/>
              <w:right w:val="nil"/>
            </w:tcBorders>
            <w:tcMar>
              <w:top w:w="128" w:type="dxa"/>
              <w:left w:w="43" w:type="dxa"/>
              <w:bottom w:w="43" w:type="dxa"/>
              <w:right w:w="43" w:type="dxa"/>
            </w:tcMar>
            <w:vAlign w:val="bottom"/>
          </w:tcPr>
          <w:p w14:paraId="3EE0C59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009AD77" w14:textId="77777777" w:rsidR="000A2A2B" w:rsidRPr="007C3060" w:rsidRDefault="000A2A2B" w:rsidP="007C3060">
            <w:r w:rsidRPr="007C3060">
              <w:t>60 000 000</w:t>
            </w:r>
          </w:p>
        </w:tc>
      </w:tr>
      <w:tr w:rsidR="004B729E" w:rsidRPr="007C3060" w14:paraId="197D7974" w14:textId="77777777">
        <w:trPr>
          <w:trHeight w:val="380"/>
        </w:trPr>
        <w:tc>
          <w:tcPr>
            <w:tcW w:w="680" w:type="dxa"/>
            <w:tcBorders>
              <w:top w:val="nil"/>
              <w:left w:val="nil"/>
              <w:bottom w:val="nil"/>
              <w:right w:val="nil"/>
            </w:tcBorders>
            <w:tcMar>
              <w:top w:w="128" w:type="dxa"/>
              <w:left w:w="43" w:type="dxa"/>
              <w:bottom w:w="43" w:type="dxa"/>
              <w:right w:w="123" w:type="dxa"/>
            </w:tcMar>
          </w:tcPr>
          <w:p w14:paraId="12362F9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3CBEBD9"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123CEAF" w14:textId="77777777" w:rsidR="000A2A2B" w:rsidRPr="007C3060" w:rsidRDefault="000A2A2B" w:rsidP="007C3060">
            <w:r w:rsidRPr="007C3060">
              <w:t>fra kr 300 000 000 til kr 240 000 000</w:t>
            </w:r>
          </w:p>
        </w:tc>
        <w:tc>
          <w:tcPr>
            <w:tcW w:w="1580" w:type="dxa"/>
            <w:tcBorders>
              <w:top w:val="nil"/>
              <w:left w:val="nil"/>
              <w:bottom w:val="nil"/>
              <w:right w:val="nil"/>
            </w:tcBorders>
            <w:tcMar>
              <w:top w:w="128" w:type="dxa"/>
              <w:left w:w="43" w:type="dxa"/>
              <w:bottom w:w="43" w:type="dxa"/>
              <w:right w:w="43" w:type="dxa"/>
            </w:tcMar>
            <w:vAlign w:val="bottom"/>
          </w:tcPr>
          <w:p w14:paraId="55BCC3CC"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5B05A1A" w14:textId="77777777" w:rsidR="000A2A2B" w:rsidRPr="007C3060" w:rsidRDefault="000A2A2B" w:rsidP="007C3060"/>
        </w:tc>
      </w:tr>
      <w:tr w:rsidR="004B729E" w:rsidRPr="007C3060" w14:paraId="0A79D99F" w14:textId="77777777">
        <w:trPr>
          <w:trHeight w:val="380"/>
        </w:trPr>
        <w:tc>
          <w:tcPr>
            <w:tcW w:w="680" w:type="dxa"/>
            <w:tcBorders>
              <w:top w:val="nil"/>
              <w:left w:val="nil"/>
              <w:bottom w:val="nil"/>
              <w:right w:val="nil"/>
            </w:tcBorders>
            <w:tcMar>
              <w:top w:w="128" w:type="dxa"/>
              <w:left w:w="43" w:type="dxa"/>
              <w:bottom w:w="43" w:type="dxa"/>
              <w:right w:w="123" w:type="dxa"/>
            </w:tcMar>
          </w:tcPr>
          <w:p w14:paraId="7DA92117"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C677A45" w14:textId="77777777" w:rsidR="000A2A2B" w:rsidRPr="007C3060" w:rsidRDefault="000A2A2B" w:rsidP="007C3060">
            <w:r w:rsidRPr="007C3060">
              <w:t>86</w:t>
            </w:r>
          </w:p>
        </w:tc>
        <w:tc>
          <w:tcPr>
            <w:tcW w:w="5040" w:type="dxa"/>
            <w:tcBorders>
              <w:top w:val="nil"/>
              <w:left w:val="nil"/>
              <w:bottom w:val="nil"/>
              <w:right w:val="nil"/>
            </w:tcBorders>
            <w:tcMar>
              <w:top w:w="128" w:type="dxa"/>
              <w:left w:w="43" w:type="dxa"/>
              <w:bottom w:w="43" w:type="dxa"/>
              <w:right w:w="43" w:type="dxa"/>
            </w:tcMar>
            <w:vAlign w:val="bottom"/>
          </w:tcPr>
          <w:p w14:paraId="08CAA048" w14:textId="77777777" w:rsidR="000A2A2B" w:rsidRPr="007C3060" w:rsidRDefault="000A2A2B" w:rsidP="007C3060">
            <w:r w:rsidRPr="007C3060">
              <w:t>Bøter, inndragninger mv., nedsettes med</w:t>
            </w:r>
          </w:p>
        </w:tc>
        <w:tc>
          <w:tcPr>
            <w:tcW w:w="1580" w:type="dxa"/>
            <w:tcBorders>
              <w:top w:val="nil"/>
              <w:left w:val="nil"/>
              <w:bottom w:val="nil"/>
              <w:right w:val="nil"/>
            </w:tcBorders>
            <w:tcMar>
              <w:top w:w="128" w:type="dxa"/>
              <w:left w:w="43" w:type="dxa"/>
              <w:bottom w:w="43" w:type="dxa"/>
              <w:right w:w="43" w:type="dxa"/>
            </w:tcMar>
            <w:vAlign w:val="bottom"/>
          </w:tcPr>
          <w:p w14:paraId="60739D4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E64C22B" w14:textId="77777777" w:rsidR="000A2A2B" w:rsidRPr="007C3060" w:rsidRDefault="000A2A2B" w:rsidP="007C3060">
            <w:r w:rsidRPr="007C3060">
              <w:t>100 000 000</w:t>
            </w:r>
          </w:p>
        </w:tc>
      </w:tr>
      <w:tr w:rsidR="004B729E" w:rsidRPr="007C3060" w14:paraId="0A25047D" w14:textId="77777777">
        <w:trPr>
          <w:trHeight w:val="380"/>
        </w:trPr>
        <w:tc>
          <w:tcPr>
            <w:tcW w:w="680" w:type="dxa"/>
            <w:tcBorders>
              <w:top w:val="nil"/>
              <w:left w:val="nil"/>
              <w:bottom w:val="nil"/>
              <w:right w:val="nil"/>
            </w:tcBorders>
            <w:tcMar>
              <w:top w:w="128" w:type="dxa"/>
              <w:left w:w="43" w:type="dxa"/>
              <w:bottom w:w="43" w:type="dxa"/>
              <w:right w:w="123" w:type="dxa"/>
            </w:tcMar>
          </w:tcPr>
          <w:p w14:paraId="7F9E4EB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73FF91C"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C448D99" w14:textId="77777777" w:rsidR="000A2A2B" w:rsidRPr="007C3060" w:rsidRDefault="000A2A2B" w:rsidP="007C3060">
            <w:r w:rsidRPr="007C3060">
              <w:t>fra kr 2 000 000 000 til kr 1 900 000 000</w:t>
            </w:r>
          </w:p>
        </w:tc>
        <w:tc>
          <w:tcPr>
            <w:tcW w:w="1580" w:type="dxa"/>
            <w:tcBorders>
              <w:top w:val="nil"/>
              <w:left w:val="nil"/>
              <w:bottom w:val="nil"/>
              <w:right w:val="nil"/>
            </w:tcBorders>
            <w:tcMar>
              <w:top w:w="128" w:type="dxa"/>
              <w:left w:w="43" w:type="dxa"/>
              <w:bottom w:w="43" w:type="dxa"/>
              <w:right w:w="43" w:type="dxa"/>
            </w:tcMar>
            <w:vAlign w:val="bottom"/>
          </w:tcPr>
          <w:p w14:paraId="1CF90C1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9526CCF" w14:textId="77777777" w:rsidR="000A2A2B" w:rsidRPr="007C3060" w:rsidRDefault="000A2A2B" w:rsidP="007C3060"/>
        </w:tc>
      </w:tr>
      <w:tr w:rsidR="004B729E" w:rsidRPr="007C3060" w14:paraId="1C36DDBC" w14:textId="77777777">
        <w:trPr>
          <w:trHeight w:val="380"/>
        </w:trPr>
        <w:tc>
          <w:tcPr>
            <w:tcW w:w="680" w:type="dxa"/>
            <w:tcBorders>
              <w:top w:val="nil"/>
              <w:left w:val="nil"/>
              <w:bottom w:val="nil"/>
              <w:right w:val="nil"/>
            </w:tcBorders>
            <w:tcMar>
              <w:top w:w="128" w:type="dxa"/>
              <w:left w:w="43" w:type="dxa"/>
              <w:bottom w:w="43" w:type="dxa"/>
              <w:right w:w="123" w:type="dxa"/>
            </w:tcMar>
          </w:tcPr>
          <w:p w14:paraId="4929E73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798A8A2" w14:textId="77777777" w:rsidR="000A2A2B" w:rsidRPr="007C3060" w:rsidRDefault="000A2A2B" w:rsidP="007C3060">
            <w:r w:rsidRPr="007C3060">
              <w:t>89</w:t>
            </w:r>
          </w:p>
        </w:tc>
        <w:tc>
          <w:tcPr>
            <w:tcW w:w="5040" w:type="dxa"/>
            <w:tcBorders>
              <w:top w:val="nil"/>
              <w:left w:val="nil"/>
              <w:bottom w:val="nil"/>
              <w:right w:val="nil"/>
            </w:tcBorders>
            <w:tcMar>
              <w:top w:w="128" w:type="dxa"/>
              <w:left w:w="43" w:type="dxa"/>
              <w:bottom w:w="43" w:type="dxa"/>
              <w:right w:w="43" w:type="dxa"/>
            </w:tcMar>
            <w:vAlign w:val="bottom"/>
          </w:tcPr>
          <w:p w14:paraId="668A45C3" w14:textId="77777777" w:rsidR="000A2A2B" w:rsidRPr="007C3060" w:rsidRDefault="000A2A2B" w:rsidP="007C3060">
            <w:r w:rsidRPr="007C3060">
              <w:t>Overtredelsesgebyr og tvangsmulkt, forhøyes med</w:t>
            </w:r>
          </w:p>
        </w:tc>
        <w:tc>
          <w:tcPr>
            <w:tcW w:w="1580" w:type="dxa"/>
            <w:tcBorders>
              <w:top w:val="nil"/>
              <w:left w:val="nil"/>
              <w:bottom w:val="nil"/>
              <w:right w:val="nil"/>
            </w:tcBorders>
            <w:tcMar>
              <w:top w:w="128" w:type="dxa"/>
              <w:left w:w="43" w:type="dxa"/>
              <w:bottom w:w="43" w:type="dxa"/>
              <w:right w:w="43" w:type="dxa"/>
            </w:tcMar>
            <w:vAlign w:val="bottom"/>
          </w:tcPr>
          <w:p w14:paraId="61A32DC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C20AA6C" w14:textId="77777777" w:rsidR="000A2A2B" w:rsidRPr="007C3060" w:rsidRDefault="000A2A2B" w:rsidP="007C3060">
            <w:r w:rsidRPr="007C3060">
              <w:t>25 000 000</w:t>
            </w:r>
          </w:p>
        </w:tc>
      </w:tr>
      <w:tr w:rsidR="004B729E" w:rsidRPr="007C3060" w14:paraId="54D2D3F7" w14:textId="77777777">
        <w:trPr>
          <w:trHeight w:val="380"/>
        </w:trPr>
        <w:tc>
          <w:tcPr>
            <w:tcW w:w="680" w:type="dxa"/>
            <w:tcBorders>
              <w:top w:val="nil"/>
              <w:left w:val="nil"/>
              <w:bottom w:val="nil"/>
              <w:right w:val="nil"/>
            </w:tcBorders>
            <w:tcMar>
              <w:top w:w="128" w:type="dxa"/>
              <w:left w:w="43" w:type="dxa"/>
              <w:bottom w:w="43" w:type="dxa"/>
              <w:right w:w="123" w:type="dxa"/>
            </w:tcMar>
          </w:tcPr>
          <w:p w14:paraId="7FE5295E"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5710492"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BC90D9D" w14:textId="77777777" w:rsidR="000A2A2B" w:rsidRPr="007C3060" w:rsidRDefault="000A2A2B" w:rsidP="007C3060">
            <w:r w:rsidRPr="007C3060">
              <w:t>fra kr 5 000 000 til kr 30 000 000</w:t>
            </w:r>
          </w:p>
        </w:tc>
        <w:tc>
          <w:tcPr>
            <w:tcW w:w="1580" w:type="dxa"/>
            <w:tcBorders>
              <w:top w:val="nil"/>
              <w:left w:val="nil"/>
              <w:bottom w:val="nil"/>
              <w:right w:val="nil"/>
            </w:tcBorders>
            <w:tcMar>
              <w:top w:w="128" w:type="dxa"/>
              <w:left w:w="43" w:type="dxa"/>
              <w:bottom w:w="43" w:type="dxa"/>
              <w:right w:w="43" w:type="dxa"/>
            </w:tcMar>
            <w:vAlign w:val="bottom"/>
          </w:tcPr>
          <w:p w14:paraId="5B1BF8D4"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B25D114" w14:textId="77777777" w:rsidR="000A2A2B" w:rsidRPr="007C3060" w:rsidRDefault="000A2A2B" w:rsidP="007C3060"/>
        </w:tc>
      </w:tr>
      <w:tr w:rsidR="004B729E" w:rsidRPr="007C3060" w14:paraId="17642D76" w14:textId="77777777">
        <w:trPr>
          <w:trHeight w:val="380"/>
        </w:trPr>
        <w:tc>
          <w:tcPr>
            <w:tcW w:w="680" w:type="dxa"/>
            <w:tcBorders>
              <w:top w:val="nil"/>
              <w:left w:val="nil"/>
              <w:bottom w:val="nil"/>
              <w:right w:val="nil"/>
            </w:tcBorders>
            <w:tcMar>
              <w:top w:w="128" w:type="dxa"/>
              <w:left w:w="43" w:type="dxa"/>
              <w:bottom w:w="43" w:type="dxa"/>
              <w:right w:w="123" w:type="dxa"/>
            </w:tcMar>
          </w:tcPr>
          <w:p w14:paraId="371A938E" w14:textId="77777777" w:rsidR="000A2A2B" w:rsidRPr="007C3060" w:rsidRDefault="000A2A2B" w:rsidP="007C3060">
            <w:r w:rsidRPr="007C3060">
              <w:t>4700</w:t>
            </w:r>
          </w:p>
        </w:tc>
        <w:tc>
          <w:tcPr>
            <w:tcW w:w="680" w:type="dxa"/>
            <w:tcBorders>
              <w:top w:val="nil"/>
              <w:left w:val="nil"/>
              <w:bottom w:val="nil"/>
              <w:right w:val="nil"/>
            </w:tcBorders>
            <w:tcMar>
              <w:top w:w="128" w:type="dxa"/>
              <w:left w:w="43" w:type="dxa"/>
              <w:bottom w:w="43" w:type="dxa"/>
              <w:right w:w="123" w:type="dxa"/>
            </w:tcMar>
            <w:vAlign w:val="bottom"/>
          </w:tcPr>
          <w:p w14:paraId="119B8CD9"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77727A4" w14:textId="77777777" w:rsidR="000A2A2B" w:rsidRPr="007C3060" w:rsidRDefault="000A2A2B" w:rsidP="007C3060">
            <w:r w:rsidRPr="007C3060">
              <w:t>Forsvarsdepartementet:</w:t>
            </w:r>
          </w:p>
        </w:tc>
        <w:tc>
          <w:tcPr>
            <w:tcW w:w="1580" w:type="dxa"/>
            <w:tcBorders>
              <w:top w:val="nil"/>
              <w:left w:val="nil"/>
              <w:bottom w:val="nil"/>
              <w:right w:val="nil"/>
            </w:tcBorders>
            <w:tcMar>
              <w:top w:w="128" w:type="dxa"/>
              <w:left w:w="43" w:type="dxa"/>
              <w:bottom w:w="43" w:type="dxa"/>
              <w:right w:w="43" w:type="dxa"/>
            </w:tcMar>
            <w:vAlign w:val="bottom"/>
          </w:tcPr>
          <w:p w14:paraId="51388B0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13989B2" w14:textId="77777777" w:rsidR="000A2A2B" w:rsidRPr="007C3060" w:rsidRDefault="000A2A2B" w:rsidP="007C3060"/>
        </w:tc>
      </w:tr>
      <w:tr w:rsidR="004B729E" w:rsidRPr="007C3060" w14:paraId="67928525" w14:textId="77777777">
        <w:trPr>
          <w:trHeight w:val="380"/>
        </w:trPr>
        <w:tc>
          <w:tcPr>
            <w:tcW w:w="680" w:type="dxa"/>
            <w:tcBorders>
              <w:top w:val="nil"/>
              <w:left w:val="nil"/>
              <w:bottom w:val="nil"/>
              <w:right w:val="nil"/>
            </w:tcBorders>
            <w:tcMar>
              <w:top w:w="128" w:type="dxa"/>
              <w:left w:w="43" w:type="dxa"/>
              <w:bottom w:w="43" w:type="dxa"/>
              <w:right w:w="123" w:type="dxa"/>
            </w:tcMar>
          </w:tcPr>
          <w:p w14:paraId="7930B965"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D453F81"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44A217FF" w14:textId="77777777" w:rsidR="000A2A2B" w:rsidRPr="007C3060" w:rsidRDefault="000A2A2B" w:rsidP="007C3060">
            <w:r w:rsidRPr="007C3060">
              <w:t>Driftsinntekter, forhøyes med</w:t>
            </w:r>
          </w:p>
        </w:tc>
        <w:tc>
          <w:tcPr>
            <w:tcW w:w="1580" w:type="dxa"/>
            <w:tcBorders>
              <w:top w:val="nil"/>
              <w:left w:val="nil"/>
              <w:bottom w:val="nil"/>
              <w:right w:val="nil"/>
            </w:tcBorders>
            <w:tcMar>
              <w:top w:w="128" w:type="dxa"/>
              <w:left w:w="43" w:type="dxa"/>
              <w:bottom w:w="43" w:type="dxa"/>
              <w:right w:w="43" w:type="dxa"/>
            </w:tcMar>
            <w:vAlign w:val="bottom"/>
          </w:tcPr>
          <w:p w14:paraId="197F6D34"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88D1604" w14:textId="77777777" w:rsidR="000A2A2B" w:rsidRPr="007C3060" w:rsidRDefault="000A2A2B" w:rsidP="007C3060">
            <w:r w:rsidRPr="007C3060">
              <w:t>1 300 000</w:t>
            </w:r>
          </w:p>
        </w:tc>
      </w:tr>
      <w:tr w:rsidR="004B729E" w:rsidRPr="007C3060" w14:paraId="543791E8" w14:textId="77777777">
        <w:trPr>
          <w:trHeight w:val="380"/>
        </w:trPr>
        <w:tc>
          <w:tcPr>
            <w:tcW w:w="680" w:type="dxa"/>
            <w:tcBorders>
              <w:top w:val="nil"/>
              <w:left w:val="nil"/>
              <w:bottom w:val="nil"/>
              <w:right w:val="nil"/>
            </w:tcBorders>
            <w:tcMar>
              <w:top w:w="128" w:type="dxa"/>
              <w:left w:w="43" w:type="dxa"/>
              <w:bottom w:w="43" w:type="dxa"/>
              <w:right w:w="123" w:type="dxa"/>
            </w:tcMar>
          </w:tcPr>
          <w:p w14:paraId="7B0AD9A5"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A4C7CC9"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35C0FF3" w14:textId="77777777" w:rsidR="000A2A2B" w:rsidRPr="007C3060" w:rsidRDefault="000A2A2B" w:rsidP="007C3060">
            <w:r w:rsidRPr="007C3060">
              <w:t>fra kr 13 245 000 til kr 14 545 000</w:t>
            </w:r>
          </w:p>
        </w:tc>
        <w:tc>
          <w:tcPr>
            <w:tcW w:w="1580" w:type="dxa"/>
            <w:tcBorders>
              <w:top w:val="nil"/>
              <w:left w:val="nil"/>
              <w:bottom w:val="nil"/>
              <w:right w:val="nil"/>
            </w:tcBorders>
            <w:tcMar>
              <w:top w:w="128" w:type="dxa"/>
              <w:left w:w="43" w:type="dxa"/>
              <w:bottom w:w="43" w:type="dxa"/>
              <w:right w:w="43" w:type="dxa"/>
            </w:tcMar>
            <w:vAlign w:val="bottom"/>
          </w:tcPr>
          <w:p w14:paraId="4DDCAA74"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584016E" w14:textId="77777777" w:rsidR="000A2A2B" w:rsidRPr="007C3060" w:rsidRDefault="000A2A2B" w:rsidP="007C3060"/>
        </w:tc>
      </w:tr>
      <w:tr w:rsidR="004B729E" w:rsidRPr="007C3060" w14:paraId="5D0E2ADD" w14:textId="77777777">
        <w:trPr>
          <w:trHeight w:val="380"/>
        </w:trPr>
        <w:tc>
          <w:tcPr>
            <w:tcW w:w="680" w:type="dxa"/>
            <w:tcBorders>
              <w:top w:val="nil"/>
              <w:left w:val="nil"/>
              <w:bottom w:val="nil"/>
              <w:right w:val="nil"/>
            </w:tcBorders>
            <w:tcMar>
              <w:top w:w="128" w:type="dxa"/>
              <w:left w:w="43" w:type="dxa"/>
              <w:bottom w:w="43" w:type="dxa"/>
              <w:right w:w="123" w:type="dxa"/>
            </w:tcMar>
          </w:tcPr>
          <w:p w14:paraId="72E54CEA" w14:textId="77777777" w:rsidR="000A2A2B" w:rsidRPr="007C3060" w:rsidRDefault="000A2A2B" w:rsidP="007C3060">
            <w:r w:rsidRPr="007C3060">
              <w:t>(NY)</w:t>
            </w:r>
          </w:p>
        </w:tc>
        <w:tc>
          <w:tcPr>
            <w:tcW w:w="680" w:type="dxa"/>
            <w:tcBorders>
              <w:top w:val="nil"/>
              <w:left w:val="nil"/>
              <w:bottom w:val="nil"/>
              <w:right w:val="nil"/>
            </w:tcBorders>
            <w:tcMar>
              <w:top w:w="128" w:type="dxa"/>
              <w:left w:w="43" w:type="dxa"/>
              <w:bottom w:w="43" w:type="dxa"/>
              <w:right w:w="123" w:type="dxa"/>
            </w:tcMar>
            <w:vAlign w:val="bottom"/>
          </w:tcPr>
          <w:p w14:paraId="61C4B2D4" w14:textId="77777777" w:rsidR="000A2A2B" w:rsidRPr="007C3060" w:rsidRDefault="000A2A2B" w:rsidP="007C3060">
            <w:r w:rsidRPr="007C3060">
              <w:t>85</w:t>
            </w:r>
          </w:p>
        </w:tc>
        <w:tc>
          <w:tcPr>
            <w:tcW w:w="5040" w:type="dxa"/>
            <w:tcBorders>
              <w:top w:val="nil"/>
              <w:left w:val="nil"/>
              <w:bottom w:val="nil"/>
              <w:right w:val="nil"/>
            </w:tcBorders>
            <w:tcMar>
              <w:top w:w="128" w:type="dxa"/>
              <w:left w:w="43" w:type="dxa"/>
              <w:bottom w:w="43" w:type="dxa"/>
              <w:right w:w="43" w:type="dxa"/>
            </w:tcMar>
            <w:vAlign w:val="bottom"/>
          </w:tcPr>
          <w:p w14:paraId="520D58BD" w14:textId="77777777" w:rsidR="000A2A2B" w:rsidRPr="007C3060" w:rsidRDefault="000A2A2B" w:rsidP="007C3060">
            <w:r w:rsidRPr="007C3060">
              <w:t>Aksjeutbytte, bevilges med</w:t>
            </w:r>
          </w:p>
        </w:tc>
        <w:tc>
          <w:tcPr>
            <w:tcW w:w="1580" w:type="dxa"/>
            <w:tcBorders>
              <w:top w:val="nil"/>
              <w:left w:val="nil"/>
              <w:bottom w:val="nil"/>
              <w:right w:val="nil"/>
            </w:tcBorders>
            <w:tcMar>
              <w:top w:w="128" w:type="dxa"/>
              <w:left w:w="43" w:type="dxa"/>
              <w:bottom w:w="43" w:type="dxa"/>
              <w:right w:w="43" w:type="dxa"/>
            </w:tcMar>
            <w:vAlign w:val="bottom"/>
          </w:tcPr>
          <w:p w14:paraId="65122FD0"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5C120A6" w14:textId="77777777" w:rsidR="000A2A2B" w:rsidRPr="007C3060" w:rsidRDefault="000A2A2B" w:rsidP="007C3060">
            <w:r w:rsidRPr="007C3060">
              <w:t>15 000 000</w:t>
            </w:r>
          </w:p>
        </w:tc>
      </w:tr>
      <w:tr w:rsidR="004B729E" w:rsidRPr="007C3060" w14:paraId="5C8B4465" w14:textId="77777777">
        <w:trPr>
          <w:trHeight w:val="380"/>
        </w:trPr>
        <w:tc>
          <w:tcPr>
            <w:tcW w:w="680" w:type="dxa"/>
            <w:tcBorders>
              <w:top w:val="nil"/>
              <w:left w:val="nil"/>
              <w:bottom w:val="nil"/>
              <w:right w:val="nil"/>
            </w:tcBorders>
            <w:tcMar>
              <w:top w:w="128" w:type="dxa"/>
              <w:left w:w="43" w:type="dxa"/>
              <w:bottom w:w="43" w:type="dxa"/>
              <w:right w:w="123" w:type="dxa"/>
            </w:tcMar>
          </w:tcPr>
          <w:p w14:paraId="038F40B9" w14:textId="77777777" w:rsidR="000A2A2B" w:rsidRPr="007C3060" w:rsidRDefault="000A2A2B" w:rsidP="007C3060">
            <w:r w:rsidRPr="007C3060">
              <w:t>4710</w:t>
            </w:r>
          </w:p>
        </w:tc>
        <w:tc>
          <w:tcPr>
            <w:tcW w:w="680" w:type="dxa"/>
            <w:tcBorders>
              <w:top w:val="nil"/>
              <w:left w:val="nil"/>
              <w:bottom w:val="nil"/>
              <w:right w:val="nil"/>
            </w:tcBorders>
            <w:tcMar>
              <w:top w:w="128" w:type="dxa"/>
              <w:left w:w="43" w:type="dxa"/>
              <w:bottom w:w="43" w:type="dxa"/>
              <w:right w:w="123" w:type="dxa"/>
            </w:tcMar>
            <w:vAlign w:val="bottom"/>
          </w:tcPr>
          <w:p w14:paraId="29B2A3EB"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5473661" w14:textId="77777777" w:rsidR="000A2A2B" w:rsidRPr="007C3060" w:rsidRDefault="000A2A2B" w:rsidP="007C3060">
            <w:r w:rsidRPr="007C3060">
              <w:t>Forsvarsbygg og nybygg og nyanlegg:</w:t>
            </w:r>
          </w:p>
        </w:tc>
        <w:tc>
          <w:tcPr>
            <w:tcW w:w="1580" w:type="dxa"/>
            <w:tcBorders>
              <w:top w:val="nil"/>
              <w:left w:val="nil"/>
              <w:bottom w:val="nil"/>
              <w:right w:val="nil"/>
            </w:tcBorders>
            <w:tcMar>
              <w:top w:w="128" w:type="dxa"/>
              <w:left w:w="43" w:type="dxa"/>
              <w:bottom w:w="43" w:type="dxa"/>
              <w:right w:w="43" w:type="dxa"/>
            </w:tcMar>
            <w:vAlign w:val="bottom"/>
          </w:tcPr>
          <w:p w14:paraId="57FDF01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3EFAB4B" w14:textId="77777777" w:rsidR="000A2A2B" w:rsidRPr="007C3060" w:rsidRDefault="000A2A2B" w:rsidP="007C3060"/>
        </w:tc>
      </w:tr>
      <w:tr w:rsidR="004B729E" w:rsidRPr="007C3060" w14:paraId="474C4DA3" w14:textId="77777777">
        <w:trPr>
          <w:trHeight w:val="380"/>
        </w:trPr>
        <w:tc>
          <w:tcPr>
            <w:tcW w:w="680" w:type="dxa"/>
            <w:tcBorders>
              <w:top w:val="nil"/>
              <w:left w:val="nil"/>
              <w:bottom w:val="nil"/>
              <w:right w:val="nil"/>
            </w:tcBorders>
            <w:tcMar>
              <w:top w:w="128" w:type="dxa"/>
              <w:left w:w="43" w:type="dxa"/>
              <w:bottom w:w="43" w:type="dxa"/>
              <w:right w:w="123" w:type="dxa"/>
            </w:tcMar>
          </w:tcPr>
          <w:p w14:paraId="65CBC2F6"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5034343"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793850C1" w14:textId="77777777" w:rsidR="000A2A2B" w:rsidRPr="007C3060" w:rsidRDefault="000A2A2B" w:rsidP="007C3060">
            <w:r w:rsidRPr="007C3060">
              <w:t>Driftsinntekter, forhøyes med</w:t>
            </w:r>
          </w:p>
        </w:tc>
        <w:tc>
          <w:tcPr>
            <w:tcW w:w="1580" w:type="dxa"/>
            <w:tcBorders>
              <w:top w:val="nil"/>
              <w:left w:val="nil"/>
              <w:bottom w:val="nil"/>
              <w:right w:val="nil"/>
            </w:tcBorders>
            <w:tcMar>
              <w:top w:w="128" w:type="dxa"/>
              <w:left w:w="43" w:type="dxa"/>
              <w:bottom w:w="43" w:type="dxa"/>
              <w:right w:w="43" w:type="dxa"/>
            </w:tcMar>
            <w:vAlign w:val="bottom"/>
          </w:tcPr>
          <w:p w14:paraId="007F0024"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3351AA7" w14:textId="77777777" w:rsidR="000A2A2B" w:rsidRPr="007C3060" w:rsidRDefault="000A2A2B" w:rsidP="007C3060">
            <w:r w:rsidRPr="007C3060">
              <w:t>224 274 000</w:t>
            </w:r>
          </w:p>
        </w:tc>
      </w:tr>
      <w:tr w:rsidR="004B729E" w:rsidRPr="007C3060" w14:paraId="473776B9" w14:textId="77777777">
        <w:trPr>
          <w:trHeight w:val="380"/>
        </w:trPr>
        <w:tc>
          <w:tcPr>
            <w:tcW w:w="680" w:type="dxa"/>
            <w:tcBorders>
              <w:top w:val="nil"/>
              <w:left w:val="nil"/>
              <w:bottom w:val="nil"/>
              <w:right w:val="nil"/>
            </w:tcBorders>
            <w:tcMar>
              <w:top w:w="128" w:type="dxa"/>
              <w:left w:w="43" w:type="dxa"/>
              <w:bottom w:w="43" w:type="dxa"/>
              <w:right w:w="123" w:type="dxa"/>
            </w:tcMar>
          </w:tcPr>
          <w:p w14:paraId="554B4ACE"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481A83D"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3D1FF91D" w14:textId="77777777" w:rsidR="000A2A2B" w:rsidRPr="007C3060" w:rsidRDefault="000A2A2B" w:rsidP="007C3060">
            <w:r w:rsidRPr="007C3060">
              <w:t>fra kr 6 246 013 000 til kr 6 470 287 000</w:t>
            </w:r>
          </w:p>
        </w:tc>
        <w:tc>
          <w:tcPr>
            <w:tcW w:w="1580" w:type="dxa"/>
            <w:tcBorders>
              <w:top w:val="nil"/>
              <w:left w:val="nil"/>
              <w:bottom w:val="nil"/>
              <w:right w:val="nil"/>
            </w:tcBorders>
            <w:tcMar>
              <w:top w:w="128" w:type="dxa"/>
              <w:left w:w="43" w:type="dxa"/>
              <w:bottom w:w="43" w:type="dxa"/>
              <w:right w:w="43" w:type="dxa"/>
            </w:tcMar>
            <w:vAlign w:val="bottom"/>
          </w:tcPr>
          <w:p w14:paraId="0EA495E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B181DAE" w14:textId="77777777" w:rsidR="000A2A2B" w:rsidRPr="007C3060" w:rsidRDefault="000A2A2B" w:rsidP="007C3060"/>
        </w:tc>
      </w:tr>
      <w:tr w:rsidR="004B729E" w:rsidRPr="007C3060" w14:paraId="34A3E0E8" w14:textId="77777777">
        <w:trPr>
          <w:trHeight w:val="380"/>
        </w:trPr>
        <w:tc>
          <w:tcPr>
            <w:tcW w:w="680" w:type="dxa"/>
            <w:tcBorders>
              <w:top w:val="nil"/>
              <w:left w:val="nil"/>
              <w:bottom w:val="nil"/>
              <w:right w:val="nil"/>
            </w:tcBorders>
            <w:tcMar>
              <w:top w:w="128" w:type="dxa"/>
              <w:left w:w="43" w:type="dxa"/>
              <w:bottom w:w="43" w:type="dxa"/>
              <w:right w:w="123" w:type="dxa"/>
            </w:tcMar>
          </w:tcPr>
          <w:p w14:paraId="35D2813B" w14:textId="77777777" w:rsidR="000A2A2B" w:rsidRPr="007C3060" w:rsidRDefault="000A2A2B" w:rsidP="007C3060">
            <w:r w:rsidRPr="007C3060">
              <w:t>4720</w:t>
            </w:r>
          </w:p>
        </w:tc>
        <w:tc>
          <w:tcPr>
            <w:tcW w:w="680" w:type="dxa"/>
            <w:tcBorders>
              <w:top w:val="nil"/>
              <w:left w:val="nil"/>
              <w:bottom w:val="nil"/>
              <w:right w:val="nil"/>
            </w:tcBorders>
            <w:tcMar>
              <w:top w:w="128" w:type="dxa"/>
              <w:left w:w="43" w:type="dxa"/>
              <w:bottom w:w="43" w:type="dxa"/>
              <w:right w:w="123" w:type="dxa"/>
            </w:tcMar>
            <w:vAlign w:val="bottom"/>
          </w:tcPr>
          <w:p w14:paraId="67B48F18"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4E283AF" w14:textId="77777777" w:rsidR="000A2A2B" w:rsidRPr="007C3060" w:rsidRDefault="000A2A2B" w:rsidP="007C3060">
            <w:r w:rsidRPr="007C3060">
              <w:t>Forsvaret:</w:t>
            </w:r>
          </w:p>
        </w:tc>
        <w:tc>
          <w:tcPr>
            <w:tcW w:w="1580" w:type="dxa"/>
            <w:tcBorders>
              <w:top w:val="nil"/>
              <w:left w:val="nil"/>
              <w:bottom w:val="nil"/>
              <w:right w:val="nil"/>
            </w:tcBorders>
            <w:tcMar>
              <w:top w:w="128" w:type="dxa"/>
              <w:left w:w="43" w:type="dxa"/>
              <w:bottom w:w="43" w:type="dxa"/>
              <w:right w:w="43" w:type="dxa"/>
            </w:tcMar>
            <w:vAlign w:val="bottom"/>
          </w:tcPr>
          <w:p w14:paraId="50E27CA2"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BD42533" w14:textId="77777777" w:rsidR="000A2A2B" w:rsidRPr="007C3060" w:rsidRDefault="000A2A2B" w:rsidP="007C3060"/>
        </w:tc>
      </w:tr>
      <w:tr w:rsidR="004B729E" w:rsidRPr="007C3060" w14:paraId="69C954A7" w14:textId="77777777">
        <w:trPr>
          <w:trHeight w:val="380"/>
        </w:trPr>
        <w:tc>
          <w:tcPr>
            <w:tcW w:w="680" w:type="dxa"/>
            <w:tcBorders>
              <w:top w:val="nil"/>
              <w:left w:val="nil"/>
              <w:bottom w:val="nil"/>
              <w:right w:val="nil"/>
            </w:tcBorders>
            <w:tcMar>
              <w:top w:w="128" w:type="dxa"/>
              <w:left w:w="43" w:type="dxa"/>
              <w:bottom w:w="43" w:type="dxa"/>
              <w:right w:w="123" w:type="dxa"/>
            </w:tcMar>
          </w:tcPr>
          <w:p w14:paraId="0DF7F3C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C500EC7"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2653E14E" w14:textId="77777777" w:rsidR="000A2A2B" w:rsidRPr="007C3060" w:rsidRDefault="000A2A2B" w:rsidP="007C3060">
            <w:r w:rsidRPr="007C3060">
              <w:t>Driftsinntekter, forhøyes med</w:t>
            </w:r>
          </w:p>
        </w:tc>
        <w:tc>
          <w:tcPr>
            <w:tcW w:w="1580" w:type="dxa"/>
            <w:tcBorders>
              <w:top w:val="nil"/>
              <w:left w:val="nil"/>
              <w:bottom w:val="nil"/>
              <w:right w:val="nil"/>
            </w:tcBorders>
            <w:tcMar>
              <w:top w:w="128" w:type="dxa"/>
              <w:left w:w="43" w:type="dxa"/>
              <w:bottom w:w="43" w:type="dxa"/>
              <w:right w:w="43" w:type="dxa"/>
            </w:tcMar>
            <w:vAlign w:val="bottom"/>
          </w:tcPr>
          <w:p w14:paraId="7AF72E4C"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7B805F4" w14:textId="77777777" w:rsidR="000A2A2B" w:rsidRPr="007C3060" w:rsidRDefault="000A2A2B" w:rsidP="007C3060">
            <w:r w:rsidRPr="007C3060">
              <w:t>12 405 000</w:t>
            </w:r>
          </w:p>
        </w:tc>
      </w:tr>
      <w:tr w:rsidR="004B729E" w:rsidRPr="007C3060" w14:paraId="3436485C" w14:textId="77777777">
        <w:trPr>
          <w:trHeight w:val="380"/>
        </w:trPr>
        <w:tc>
          <w:tcPr>
            <w:tcW w:w="680" w:type="dxa"/>
            <w:tcBorders>
              <w:top w:val="nil"/>
              <w:left w:val="nil"/>
              <w:bottom w:val="nil"/>
              <w:right w:val="nil"/>
            </w:tcBorders>
            <w:tcMar>
              <w:top w:w="128" w:type="dxa"/>
              <w:left w:w="43" w:type="dxa"/>
              <w:bottom w:w="43" w:type="dxa"/>
              <w:right w:w="123" w:type="dxa"/>
            </w:tcMar>
          </w:tcPr>
          <w:p w14:paraId="6BC183F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9F0EA94"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A642B2D" w14:textId="77777777" w:rsidR="000A2A2B" w:rsidRPr="007C3060" w:rsidRDefault="000A2A2B" w:rsidP="007C3060">
            <w:r w:rsidRPr="007C3060">
              <w:t>fra kr 1 042 384 000 til kr 1 054 789 000</w:t>
            </w:r>
          </w:p>
        </w:tc>
        <w:tc>
          <w:tcPr>
            <w:tcW w:w="1580" w:type="dxa"/>
            <w:tcBorders>
              <w:top w:val="nil"/>
              <w:left w:val="nil"/>
              <w:bottom w:val="nil"/>
              <w:right w:val="nil"/>
            </w:tcBorders>
            <w:tcMar>
              <w:top w:w="128" w:type="dxa"/>
              <w:left w:w="43" w:type="dxa"/>
              <w:bottom w:w="43" w:type="dxa"/>
              <w:right w:w="43" w:type="dxa"/>
            </w:tcMar>
            <w:vAlign w:val="bottom"/>
          </w:tcPr>
          <w:p w14:paraId="5FD9171E"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658B576" w14:textId="77777777" w:rsidR="000A2A2B" w:rsidRPr="007C3060" w:rsidRDefault="000A2A2B" w:rsidP="007C3060"/>
        </w:tc>
      </w:tr>
      <w:tr w:rsidR="004B729E" w:rsidRPr="007C3060" w14:paraId="08946942" w14:textId="77777777">
        <w:trPr>
          <w:trHeight w:val="380"/>
        </w:trPr>
        <w:tc>
          <w:tcPr>
            <w:tcW w:w="680" w:type="dxa"/>
            <w:tcBorders>
              <w:top w:val="nil"/>
              <w:left w:val="nil"/>
              <w:bottom w:val="nil"/>
              <w:right w:val="nil"/>
            </w:tcBorders>
            <w:tcMar>
              <w:top w:w="128" w:type="dxa"/>
              <w:left w:w="43" w:type="dxa"/>
              <w:bottom w:w="43" w:type="dxa"/>
              <w:right w:w="123" w:type="dxa"/>
            </w:tcMar>
          </w:tcPr>
          <w:p w14:paraId="2182B8C1" w14:textId="77777777" w:rsidR="000A2A2B" w:rsidRPr="007C3060" w:rsidRDefault="000A2A2B" w:rsidP="007C3060">
            <w:r w:rsidRPr="007C3060">
              <w:t>4760</w:t>
            </w:r>
          </w:p>
        </w:tc>
        <w:tc>
          <w:tcPr>
            <w:tcW w:w="680" w:type="dxa"/>
            <w:tcBorders>
              <w:top w:val="nil"/>
              <w:left w:val="nil"/>
              <w:bottom w:val="nil"/>
              <w:right w:val="nil"/>
            </w:tcBorders>
            <w:tcMar>
              <w:top w:w="128" w:type="dxa"/>
              <w:left w:w="43" w:type="dxa"/>
              <w:bottom w:w="43" w:type="dxa"/>
              <w:right w:w="123" w:type="dxa"/>
            </w:tcMar>
            <w:vAlign w:val="bottom"/>
          </w:tcPr>
          <w:p w14:paraId="2EF69AF5" w14:textId="77777777" w:rsidR="000A2A2B" w:rsidRPr="007C3060" w:rsidRDefault="000A2A2B" w:rsidP="007C3060"/>
        </w:tc>
        <w:tc>
          <w:tcPr>
            <w:tcW w:w="6620" w:type="dxa"/>
            <w:gridSpan w:val="2"/>
            <w:tcBorders>
              <w:top w:val="nil"/>
              <w:left w:val="nil"/>
              <w:bottom w:val="nil"/>
              <w:right w:val="nil"/>
            </w:tcBorders>
            <w:tcMar>
              <w:top w:w="128" w:type="dxa"/>
              <w:left w:w="43" w:type="dxa"/>
              <w:bottom w:w="43" w:type="dxa"/>
              <w:right w:w="43" w:type="dxa"/>
            </w:tcMar>
            <w:vAlign w:val="bottom"/>
          </w:tcPr>
          <w:p w14:paraId="45A3707C" w14:textId="77777777" w:rsidR="000A2A2B" w:rsidRPr="007C3060" w:rsidRDefault="000A2A2B" w:rsidP="007C3060">
            <w:r w:rsidRPr="007C3060">
              <w:t>Forsvarsmateriell og større anskaffelser og vedlikehold:</w:t>
            </w:r>
          </w:p>
        </w:tc>
        <w:tc>
          <w:tcPr>
            <w:tcW w:w="1580" w:type="dxa"/>
            <w:tcBorders>
              <w:top w:val="nil"/>
              <w:left w:val="nil"/>
              <w:bottom w:val="nil"/>
              <w:right w:val="nil"/>
            </w:tcBorders>
            <w:tcMar>
              <w:top w:w="128" w:type="dxa"/>
              <w:left w:w="43" w:type="dxa"/>
              <w:bottom w:w="43" w:type="dxa"/>
              <w:right w:w="43" w:type="dxa"/>
            </w:tcMar>
            <w:vAlign w:val="bottom"/>
          </w:tcPr>
          <w:p w14:paraId="2A1F29D4" w14:textId="77777777" w:rsidR="000A2A2B" w:rsidRPr="007C3060" w:rsidRDefault="000A2A2B" w:rsidP="007C3060"/>
        </w:tc>
      </w:tr>
      <w:tr w:rsidR="004B729E" w:rsidRPr="007C3060" w14:paraId="72BCCBB0" w14:textId="77777777">
        <w:trPr>
          <w:trHeight w:val="380"/>
        </w:trPr>
        <w:tc>
          <w:tcPr>
            <w:tcW w:w="680" w:type="dxa"/>
            <w:tcBorders>
              <w:top w:val="nil"/>
              <w:left w:val="nil"/>
              <w:bottom w:val="nil"/>
              <w:right w:val="nil"/>
            </w:tcBorders>
            <w:tcMar>
              <w:top w:w="128" w:type="dxa"/>
              <w:left w:w="43" w:type="dxa"/>
              <w:bottom w:w="43" w:type="dxa"/>
              <w:right w:w="123" w:type="dxa"/>
            </w:tcMar>
          </w:tcPr>
          <w:p w14:paraId="4096C82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388EBA3" w14:textId="77777777" w:rsidR="000A2A2B" w:rsidRPr="007C3060" w:rsidRDefault="000A2A2B" w:rsidP="007C3060">
            <w:r w:rsidRPr="007C3060">
              <w:t>1</w:t>
            </w:r>
          </w:p>
        </w:tc>
        <w:tc>
          <w:tcPr>
            <w:tcW w:w="5040" w:type="dxa"/>
            <w:tcBorders>
              <w:top w:val="nil"/>
              <w:left w:val="nil"/>
              <w:bottom w:val="nil"/>
              <w:right w:val="nil"/>
            </w:tcBorders>
            <w:tcMar>
              <w:top w:w="128" w:type="dxa"/>
              <w:left w:w="43" w:type="dxa"/>
              <w:bottom w:w="43" w:type="dxa"/>
              <w:right w:w="43" w:type="dxa"/>
            </w:tcMar>
            <w:vAlign w:val="bottom"/>
          </w:tcPr>
          <w:p w14:paraId="66C4AEE5" w14:textId="77777777" w:rsidR="000A2A2B" w:rsidRPr="007C3060" w:rsidRDefault="000A2A2B" w:rsidP="007C3060">
            <w:r w:rsidRPr="007C3060">
              <w:t>Driftsinntekter, forhøyes med</w:t>
            </w:r>
          </w:p>
        </w:tc>
        <w:tc>
          <w:tcPr>
            <w:tcW w:w="1580" w:type="dxa"/>
            <w:tcBorders>
              <w:top w:val="nil"/>
              <w:left w:val="nil"/>
              <w:bottom w:val="nil"/>
              <w:right w:val="nil"/>
            </w:tcBorders>
            <w:tcMar>
              <w:top w:w="128" w:type="dxa"/>
              <w:left w:w="43" w:type="dxa"/>
              <w:bottom w:w="43" w:type="dxa"/>
              <w:right w:w="43" w:type="dxa"/>
            </w:tcMar>
            <w:vAlign w:val="bottom"/>
          </w:tcPr>
          <w:p w14:paraId="2276699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3BCF2D6" w14:textId="77777777" w:rsidR="000A2A2B" w:rsidRPr="007C3060" w:rsidRDefault="000A2A2B" w:rsidP="007C3060">
            <w:r w:rsidRPr="007C3060">
              <w:t>17 000 000</w:t>
            </w:r>
          </w:p>
        </w:tc>
      </w:tr>
      <w:tr w:rsidR="004B729E" w:rsidRPr="007C3060" w14:paraId="16C76E05" w14:textId="77777777">
        <w:trPr>
          <w:trHeight w:val="380"/>
        </w:trPr>
        <w:tc>
          <w:tcPr>
            <w:tcW w:w="680" w:type="dxa"/>
            <w:tcBorders>
              <w:top w:val="nil"/>
              <w:left w:val="nil"/>
              <w:bottom w:val="nil"/>
              <w:right w:val="nil"/>
            </w:tcBorders>
            <w:tcMar>
              <w:top w:w="128" w:type="dxa"/>
              <w:left w:w="43" w:type="dxa"/>
              <w:bottom w:w="43" w:type="dxa"/>
              <w:right w:w="123" w:type="dxa"/>
            </w:tcMar>
          </w:tcPr>
          <w:p w14:paraId="4FDF17D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CA3A672"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D35347C" w14:textId="77777777" w:rsidR="000A2A2B" w:rsidRPr="007C3060" w:rsidRDefault="000A2A2B" w:rsidP="007C3060">
            <w:r w:rsidRPr="007C3060">
              <w:t>fra kr 36 324 000 til kr 53 324 000</w:t>
            </w:r>
          </w:p>
        </w:tc>
        <w:tc>
          <w:tcPr>
            <w:tcW w:w="1580" w:type="dxa"/>
            <w:tcBorders>
              <w:top w:val="nil"/>
              <w:left w:val="nil"/>
              <w:bottom w:val="nil"/>
              <w:right w:val="nil"/>
            </w:tcBorders>
            <w:tcMar>
              <w:top w:w="128" w:type="dxa"/>
              <w:left w:w="43" w:type="dxa"/>
              <w:bottom w:w="43" w:type="dxa"/>
              <w:right w:w="43" w:type="dxa"/>
            </w:tcMar>
            <w:vAlign w:val="bottom"/>
          </w:tcPr>
          <w:p w14:paraId="2D2B676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52B3CC6" w14:textId="77777777" w:rsidR="000A2A2B" w:rsidRPr="007C3060" w:rsidRDefault="000A2A2B" w:rsidP="007C3060"/>
        </w:tc>
      </w:tr>
      <w:tr w:rsidR="004B729E" w:rsidRPr="007C3060" w14:paraId="67FAB00A" w14:textId="77777777">
        <w:trPr>
          <w:trHeight w:val="380"/>
        </w:trPr>
        <w:tc>
          <w:tcPr>
            <w:tcW w:w="680" w:type="dxa"/>
            <w:tcBorders>
              <w:top w:val="nil"/>
              <w:left w:val="nil"/>
              <w:bottom w:val="nil"/>
              <w:right w:val="nil"/>
            </w:tcBorders>
            <w:tcMar>
              <w:top w:w="128" w:type="dxa"/>
              <w:left w:w="43" w:type="dxa"/>
              <w:bottom w:w="43" w:type="dxa"/>
              <w:right w:w="123" w:type="dxa"/>
            </w:tcMar>
          </w:tcPr>
          <w:p w14:paraId="7BD4737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05F2255" w14:textId="77777777" w:rsidR="000A2A2B" w:rsidRPr="007C3060" w:rsidRDefault="000A2A2B" w:rsidP="007C3060">
            <w:r w:rsidRPr="007C3060">
              <w:t>48</w:t>
            </w:r>
          </w:p>
        </w:tc>
        <w:tc>
          <w:tcPr>
            <w:tcW w:w="6620" w:type="dxa"/>
            <w:gridSpan w:val="2"/>
            <w:tcBorders>
              <w:top w:val="nil"/>
              <w:left w:val="nil"/>
              <w:bottom w:val="nil"/>
              <w:right w:val="nil"/>
            </w:tcBorders>
            <w:tcMar>
              <w:top w:w="128" w:type="dxa"/>
              <w:left w:w="43" w:type="dxa"/>
              <w:bottom w:w="43" w:type="dxa"/>
              <w:right w:w="43" w:type="dxa"/>
            </w:tcMar>
            <w:vAlign w:val="bottom"/>
          </w:tcPr>
          <w:p w14:paraId="7CB4D90A" w14:textId="77777777" w:rsidR="000A2A2B" w:rsidRPr="007C3060" w:rsidRDefault="000A2A2B" w:rsidP="007C3060">
            <w:r w:rsidRPr="007C3060">
              <w:t>Fellesfinansierte investeringer, inntekter, nedsettes med</w:t>
            </w:r>
          </w:p>
        </w:tc>
        <w:tc>
          <w:tcPr>
            <w:tcW w:w="1580" w:type="dxa"/>
            <w:tcBorders>
              <w:top w:val="nil"/>
              <w:left w:val="nil"/>
              <w:bottom w:val="nil"/>
              <w:right w:val="nil"/>
            </w:tcBorders>
            <w:tcMar>
              <w:top w:w="128" w:type="dxa"/>
              <w:left w:w="43" w:type="dxa"/>
              <w:bottom w:w="43" w:type="dxa"/>
              <w:right w:w="43" w:type="dxa"/>
            </w:tcMar>
            <w:vAlign w:val="bottom"/>
          </w:tcPr>
          <w:p w14:paraId="40F73D62" w14:textId="77777777" w:rsidR="000A2A2B" w:rsidRPr="007C3060" w:rsidRDefault="000A2A2B" w:rsidP="007C3060">
            <w:r w:rsidRPr="007C3060">
              <w:t>120 000 000</w:t>
            </w:r>
          </w:p>
        </w:tc>
      </w:tr>
      <w:tr w:rsidR="004B729E" w:rsidRPr="007C3060" w14:paraId="62674056" w14:textId="77777777">
        <w:trPr>
          <w:trHeight w:val="380"/>
        </w:trPr>
        <w:tc>
          <w:tcPr>
            <w:tcW w:w="680" w:type="dxa"/>
            <w:tcBorders>
              <w:top w:val="nil"/>
              <w:left w:val="nil"/>
              <w:bottom w:val="nil"/>
              <w:right w:val="nil"/>
            </w:tcBorders>
            <w:tcMar>
              <w:top w:w="128" w:type="dxa"/>
              <w:left w:w="43" w:type="dxa"/>
              <w:bottom w:w="43" w:type="dxa"/>
              <w:right w:w="123" w:type="dxa"/>
            </w:tcMar>
          </w:tcPr>
          <w:p w14:paraId="17406EDD"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DE9D819"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F13F952" w14:textId="77777777" w:rsidR="000A2A2B" w:rsidRPr="007C3060" w:rsidRDefault="000A2A2B" w:rsidP="007C3060">
            <w:r w:rsidRPr="007C3060">
              <w:t>fra kr 650 000 000 til kr 530 000 000</w:t>
            </w:r>
          </w:p>
        </w:tc>
        <w:tc>
          <w:tcPr>
            <w:tcW w:w="1580" w:type="dxa"/>
            <w:tcBorders>
              <w:top w:val="nil"/>
              <w:left w:val="nil"/>
              <w:bottom w:val="nil"/>
              <w:right w:val="nil"/>
            </w:tcBorders>
            <w:tcMar>
              <w:top w:w="128" w:type="dxa"/>
              <w:left w:w="43" w:type="dxa"/>
              <w:bottom w:w="43" w:type="dxa"/>
              <w:right w:w="43" w:type="dxa"/>
            </w:tcMar>
            <w:vAlign w:val="bottom"/>
          </w:tcPr>
          <w:p w14:paraId="2C508825"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883C69D" w14:textId="77777777" w:rsidR="000A2A2B" w:rsidRPr="007C3060" w:rsidRDefault="000A2A2B" w:rsidP="007C3060"/>
        </w:tc>
      </w:tr>
      <w:tr w:rsidR="004B729E" w:rsidRPr="007C3060" w14:paraId="6CA8FE06" w14:textId="77777777">
        <w:trPr>
          <w:trHeight w:val="380"/>
        </w:trPr>
        <w:tc>
          <w:tcPr>
            <w:tcW w:w="680" w:type="dxa"/>
            <w:tcBorders>
              <w:top w:val="nil"/>
              <w:left w:val="nil"/>
              <w:bottom w:val="nil"/>
              <w:right w:val="nil"/>
            </w:tcBorders>
            <w:tcMar>
              <w:top w:w="128" w:type="dxa"/>
              <w:left w:w="43" w:type="dxa"/>
              <w:bottom w:w="43" w:type="dxa"/>
              <w:right w:w="123" w:type="dxa"/>
            </w:tcMar>
          </w:tcPr>
          <w:p w14:paraId="2E1C1223" w14:textId="77777777" w:rsidR="000A2A2B" w:rsidRPr="007C3060" w:rsidRDefault="000A2A2B" w:rsidP="007C3060">
            <w:r w:rsidRPr="007C3060">
              <w:t>5310</w:t>
            </w:r>
          </w:p>
        </w:tc>
        <w:tc>
          <w:tcPr>
            <w:tcW w:w="680" w:type="dxa"/>
            <w:tcBorders>
              <w:top w:val="nil"/>
              <w:left w:val="nil"/>
              <w:bottom w:val="nil"/>
              <w:right w:val="nil"/>
            </w:tcBorders>
            <w:tcMar>
              <w:top w:w="128" w:type="dxa"/>
              <w:left w:w="43" w:type="dxa"/>
              <w:bottom w:w="43" w:type="dxa"/>
              <w:right w:w="123" w:type="dxa"/>
            </w:tcMar>
            <w:vAlign w:val="bottom"/>
          </w:tcPr>
          <w:p w14:paraId="05F09BF7"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A9BFEA3" w14:textId="77777777" w:rsidR="000A2A2B" w:rsidRPr="007C3060" w:rsidRDefault="000A2A2B" w:rsidP="007C3060">
            <w:r w:rsidRPr="007C3060">
              <w:t>Statens lånekasse for utdanning:</w:t>
            </w:r>
          </w:p>
        </w:tc>
        <w:tc>
          <w:tcPr>
            <w:tcW w:w="1580" w:type="dxa"/>
            <w:tcBorders>
              <w:top w:val="nil"/>
              <w:left w:val="nil"/>
              <w:bottom w:val="nil"/>
              <w:right w:val="nil"/>
            </w:tcBorders>
            <w:tcMar>
              <w:top w:w="128" w:type="dxa"/>
              <w:left w:w="43" w:type="dxa"/>
              <w:bottom w:w="43" w:type="dxa"/>
              <w:right w:w="43" w:type="dxa"/>
            </w:tcMar>
            <w:vAlign w:val="bottom"/>
          </w:tcPr>
          <w:p w14:paraId="4D849DF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3ADC69A" w14:textId="77777777" w:rsidR="000A2A2B" w:rsidRPr="007C3060" w:rsidRDefault="000A2A2B" w:rsidP="007C3060"/>
        </w:tc>
      </w:tr>
      <w:tr w:rsidR="004B729E" w:rsidRPr="007C3060" w14:paraId="14FCACD5" w14:textId="77777777">
        <w:trPr>
          <w:trHeight w:val="380"/>
        </w:trPr>
        <w:tc>
          <w:tcPr>
            <w:tcW w:w="680" w:type="dxa"/>
            <w:tcBorders>
              <w:top w:val="nil"/>
              <w:left w:val="nil"/>
              <w:bottom w:val="nil"/>
              <w:right w:val="nil"/>
            </w:tcBorders>
            <w:tcMar>
              <w:top w:w="128" w:type="dxa"/>
              <w:left w:w="43" w:type="dxa"/>
              <w:bottom w:w="43" w:type="dxa"/>
              <w:right w:w="123" w:type="dxa"/>
            </w:tcMar>
          </w:tcPr>
          <w:p w14:paraId="2A262497"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4568ACD" w14:textId="77777777" w:rsidR="000A2A2B" w:rsidRPr="007C3060" w:rsidRDefault="000A2A2B" w:rsidP="007C3060">
            <w:r w:rsidRPr="007C3060">
              <w:t>4</w:t>
            </w:r>
          </w:p>
        </w:tc>
        <w:tc>
          <w:tcPr>
            <w:tcW w:w="5040" w:type="dxa"/>
            <w:tcBorders>
              <w:top w:val="nil"/>
              <w:left w:val="nil"/>
              <w:bottom w:val="nil"/>
              <w:right w:val="nil"/>
            </w:tcBorders>
            <w:tcMar>
              <w:top w:w="128" w:type="dxa"/>
              <w:left w:w="43" w:type="dxa"/>
              <w:bottom w:w="43" w:type="dxa"/>
              <w:right w:w="43" w:type="dxa"/>
            </w:tcMar>
            <w:vAlign w:val="bottom"/>
          </w:tcPr>
          <w:p w14:paraId="57179B0F" w14:textId="77777777" w:rsidR="000A2A2B" w:rsidRPr="007C3060" w:rsidRDefault="000A2A2B" w:rsidP="007C3060">
            <w:r w:rsidRPr="007C3060">
              <w:t>Refusjon av ODA-godkjente utgifter, forhøyes med</w:t>
            </w:r>
          </w:p>
        </w:tc>
        <w:tc>
          <w:tcPr>
            <w:tcW w:w="1580" w:type="dxa"/>
            <w:tcBorders>
              <w:top w:val="nil"/>
              <w:left w:val="nil"/>
              <w:bottom w:val="nil"/>
              <w:right w:val="nil"/>
            </w:tcBorders>
            <w:tcMar>
              <w:top w:w="128" w:type="dxa"/>
              <w:left w:w="43" w:type="dxa"/>
              <w:bottom w:w="43" w:type="dxa"/>
              <w:right w:w="43" w:type="dxa"/>
            </w:tcMar>
            <w:vAlign w:val="bottom"/>
          </w:tcPr>
          <w:p w14:paraId="3FA47E5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48ECA89" w14:textId="77777777" w:rsidR="000A2A2B" w:rsidRPr="007C3060" w:rsidRDefault="000A2A2B" w:rsidP="007C3060">
            <w:r w:rsidRPr="007C3060">
              <w:t>500 000</w:t>
            </w:r>
          </w:p>
        </w:tc>
      </w:tr>
      <w:tr w:rsidR="004B729E" w:rsidRPr="007C3060" w14:paraId="5ED8B3AC" w14:textId="77777777">
        <w:trPr>
          <w:trHeight w:val="380"/>
        </w:trPr>
        <w:tc>
          <w:tcPr>
            <w:tcW w:w="680" w:type="dxa"/>
            <w:tcBorders>
              <w:top w:val="nil"/>
              <w:left w:val="nil"/>
              <w:bottom w:val="nil"/>
              <w:right w:val="nil"/>
            </w:tcBorders>
            <w:tcMar>
              <w:top w:w="128" w:type="dxa"/>
              <w:left w:w="43" w:type="dxa"/>
              <w:bottom w:w="43" w:type="dxa"/>
              <w:right w:w="123" w:type="dxa"/>
            </w:tcMar>
          </w:tcPr>
          <w:p w14:paraId="3C7F30A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67A8F98"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6E3B001" w14:textId="77777777" w:rsidR="000A2A2B" w:rsidRPr="007C3060" w:rsidRDefault="000A2A2B" w:rsidP="007C3060">
            <w:r w:rsidRPr="007C3060">
              <w:t>fra kr 2 000 000 til kr 2 500 000</w:t>
            </w:r>
          </w:p>
        </w:tc>
        <w:tc>
          <w:tcPr>
            <w:tcW w:w="1580" w:type="dxa"/>
            <w:tcBorders>
              <w:top w:val="nil"/>
              <w:left w:val="nil"/>
              <w:bottom w:val="nil"/>
              <w:right w:val="nil"/>
            </w:tcBorders>
            <w:tcMar>
              <w:top w:w="128" w:type="dxa"/>
              <w:left w:w="43" w:type="dxa"/>
              <w:bottom w:w="43" w:type="dxa"/>
              <w:right w:w="43" w:type="dxa"/>
            </w:tcMar>
            <w:vAlign w:val="bottom"/>
          </w:tcPr>
          <w:p w14:paraId="77E404E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19C28DF" w14:textId="77777777" w:rsidR="000A2A2B" w:rsidRPr="007C3060" w:rsidRDefault="000A2A2B" w:rsidP="007C3060"/>
        </w:tc>
      </w:tr>
      <w:tr w:rsidR="004B729E" w:rsidRPr="007C3060" w14:paraId="2596AD2C" w14:textId="77777777">
        <w:trPr>
          <w:trHeight w:val="380"/>
        </w:trPr>
        <w:tc>
          <w:tcPr>
            <w:tcW w:w="680" w:type="dxa"/>
            <w:tcBorders>
              <w:top w:val="nil"/>
              <w:left w:val="nil"/>
              <w:bottom w:val="nil"/>
              <w:right w:val="nil"/>
            </w:tcBorders>
            <w:tcMar>
              <w:top w:w="128" w:type="dxa"/>
              <w:left w:w="43" w:type="dxa"/>
              <w:bottom w:w="43" w:type="dxa"/>
              <w:right w:w="123" w:type="dxa"/>
            </w:tcMar>
          </w:tcPr>
          <w:p w14:paraId="3A71C45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985663D" w14:textId="77777777" w:rsidR="000A2A2B" w:rsidRPr="007C3060" w:rsidRDefault="000A2A2B" w:rsidP="007C3060">
            <w:r w:rsidRPr="007C3060">
              <w:t>29</w:t>
            </w:r>
          </w:p>
        </w:tc>
        <w:tc>
          <w:tcPr>
            <w:tcW w:w="5040" w:type="dxa"/>
            <w:tcBorders>
              <w:top w:val="nil"/>
              <w:left w:val="nil"/>
              <w:bottom w:val="nil"/>
              <w:right w:val="nil"/>
            </w:tcBorders>
            <w:tcMar>
              <w:top w:w="128" w:type="dxa"/>
              <w:left w:w="43" w:type="dxa"/>
              <w:bottom w:w="43" w:type="dxa"/>
              <w:right w:w="43" w:type="dxa"/>
            </w:tcMar>
            <w:vAlign w:val="bottom"/>
          </w:tcPr>
          <w:p w14:paraId="4DB013F1" w14:textId="77777777" w:rsidR="000A2A2B" w:rsidRPr="007C3060" w:rsidRDefault="000A2A2B" w:rsidP="007C3060">
            <w:r w:rsidRPr="007C3060">
              <w:t>Termingebyrer, nedsettes med</w:t>
            </w:r>
          </w:p>
        </w:tc>
        <w:tc>
          <w:tcPr>
            <w:tcW w:w="1580" w:type="dxa"/>
            <w:tcBorders>
              <w:top w:val="nil"/>
              <w:left w:val="nil"/>
              <w:bottom w:val="nil"/>
              <w:right w:val="nil"/>
            </w:tcBorders>
            <w:tcMar>
              <w:top w:w="128" w:type="dxa"/>
              <w:left w:w="43" w:type="dxa"/>
              <w:bottom w:w="43" w:type="dxa"/>
              <w:right w:w="43" w:type="dxa"/>
            </w:tcMar>
            <w:vAlign w:val="bottom"/>
          </w:tcPr>
          <w:p w14:paraId="76F9DFF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B11D148" w14:textId="77777777" w:rsidR="000A2A2B" w:rsidRPr="007C3060" w:rsidRDefault="000A2A2B" w:rsidP="007C3060">
            <w:r w:rsidRPr="007C3060">
              <w:t>170 000</w:t>
            </w:r>
          </w:p>
        </w:tc>
      </w:tr>
      <w:tr w:rsidR="004B729E" w:rsidRPr="007C3060" w14:paraId="44B1DE21" w14:textId="77777777">
        <w:trPr>
          <w:trHeight w:val="380"/>
        </w:trPr>
        <w:tc>
          <w:tcPr>
            <w:tcW w:w="680" w:type="dxa"/>
            <w:tcBorders>
              <w:top w:val="nil"/>
              <w:left w:val="nil"/>
              <w:bottom w:val="nil"/>
              <w:right w:val="nil"/>
            </w:tcBorders>
            <w:tcMar>
              <w:top w:w="128" w:type="dxa"/>
              <w:left w:w="43" w:type="dxa"/>
              <w:bottom w:w="43" w:type="dxa"/>
              <w:right w:w="123" w:type="dxa"/>
            </w:tcMar>
          </w:tcPr>
          <w:p w14:paraId="207E27C2"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2C80EDA"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FEE7EB5" w14:textId="77777777" w:rsidR="000A2A2B" w:rsidRPr="007C3060" w:rsidRDefault="000A2A2B" w:rsidP="007C3060">
            <w:r w:rsidRPr="007C3060">
              <w:t>fra kr 1 870 000 til kr 1 700 000</w:t>
            </w:r>
          </w:p>
        </w:tc>
        <w:tc>
          <w:tcPr>
            <w:tcW w:w="1580" w:type="dxa"/>
            <w:tcBorders>
              <w:top w:val="nil"/>
              <w:left w:val="nil"/>
              <w:bottom w:val="nil"/>
              <w:right w:val="nil"/>
            </w:tcBorders>
            <w:tcMar>
              <w:top w:w="128" w:type="dxa"/>
              <w:left w:w="43" w:type="dxa"/>
              <w:bottom w:w="43" w:type="dxa"/>
              <w:right w:w="43" w:type="dxa"/>
            </w:tcMar>
            <w:vAlign w:val="bottom"/>
          </w:tcPr>
          <w:p w14:paraId="2B7FEAD4"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5609145" w14:textId="77777777" w:rsidR="000A2A2B" w:rsidRPr="007C3060" w:rsidRDefault="000A2A2B" w:rsidP="007C3060"/>
        </w:tc>
      </w:tr>
      <w:tr w:rsidR="004B729E" w:rsidRPr="007C3060" w14:paraId="6E8DBE20" w14:textId="77777777">
        <w:trPr>
          <w:trHeight w:val="380"/>
        </w:trPr>
        <w:tc>
          <w:tcPr>
            <w:tcW w:w="680" w:type="dxa"/>
            <w:tcBorders>
              <w:top w:val="nil"/>
              <w:left w:val="nil"/>
              <w:bottom w:val="nil"/>
              <w:right w:val="nil"/>
            </w:tcBorders>
            <w:tcMar>
              <w:top w:w="128" w:type="dxa"/>
              <w:left w:w="43" w:type="dxa"/>
              <w:bottom w:w="43" w:type="dxa"/>
              <w:right w:w="123" w:type="dxa"/>
            </w:tcMar>
          </w:tcPr>
          <w:p w14:paraId="76A37E9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93B4DB3" w14:textId="77777777" w:rsidR="000A2A2B" w:rsidRPr="007C3060" w:rsidRDefault="000A2A2B" w:rsidP="007C3060">
            <w:r w:rsidRPr="007C3060">
              <w:t>89</w:t>
            </w:r>
          </w:p>
        </w:tc>
        <w:tc>
          <w:tcPr>
            <w:tcW w:w="5040" w:type="dxa"/>
            <w:tcBorders>
              <w:top w:val="nil"/>
              <w:left w:val="nil"/>
              <w:bottom w:val="nil"/>
              <w:right w:val="nil"/>
            </w:tcBorders>
            <w:tcMar>
              <w:top w:w="128" w:type="dxa"/>
              <w:left w:w="43" w:type="dxa"/>
              <w:bottom w:w="43" w:type="dxa"/>
              <w:right w:w="43" w:type="dxa"/>
            </w:tcMar>
            <w:vAlign w:val="bottom"/>
          </w:tcPr>
          <w:p w14:paraId="7320C1BD" w14:textId="77777777" w:rsidR="000A2A2B" w:rsidRPr="007C3060" w:rsidRDefault="000A2A2B" w:rsidP="007C3060">
            <w:r w:rsidRPr="007C3060">
              <w:t>Purregebyrer, forhøyes med</w:t>
            </w:r>
          </w:p>
        </w:tc>
        <w:tc>
          <w:tcPr>
            <w:tcW w:w="1580" w:type="dxa"/>
            <w:tcBorders>
              <w:top w:val="nil"/>
              <w:left w:val="nil"/>
              <w:bottom w:val="nil"/>
              <w:right w:val="nil"/>
            </w:tcBorders>
            <w:tcMar>
              <w:top w:w="128" w:type="dxa"/>
              <w:left w:w="43" w:type="dxa"/>
              <w:bottom w:w="43" w:type="dxa"/>
              <w:right w:w="43" w:type="dxa"/>
            </w:tcMar>
            <w:vAlign w:val="bottom"/>
          </w:tcPr>
          <w:p w14:paraId="4AB55749"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9E26D74" w14:textId="77777777" w:rsidR="000A2A2B" w:rsidRPr="007C3060" w:rsidRDefault="000A2A2B" w:rsidP="007C3060">
            <w:r w:rsidRPr="007C3060">
              <w:t>7 569 000</w:t>
            </w:r>
          </w:p>
        </w:tc>
      </w:tr>
      <w:tr w:rsidR="004B729E" w:rsidRPr="007C3060" w14:paraId="4207AD04" w14:textId="77777777">
        <w:trPr>
          <w:trHeight w:val="380"/>
        </w:trPr>
        <w:tc>
          <w:tcPr>
            <w:tcW w:w="680" w:type="dxa"/>
            <w:tcBorders>
              <w:top w:val="nil"/>
              <w:left w:val="nil"/>
              <w:bottom w:val="nil"/>
              <w:right w:val="nil"/>
            </w:tcBorders>
            <w:tcMar>
              <w:top w:w="128" w:type="dxa"/>
              <w:left w:w="43" w:type="dxa"/>
              <w:bottom w:w="43" w:type="dxa"/>
              <w:right w:w="123" w:type="dxa"/>
            </w:tcMar>
          </w:tcPr>
          <w:p w14:paraId="4EC3BA4D"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5CEEC5F"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E4ECE88" w14:textId="77777777" w:rsidR="000A2A2B" w:rsidRPr="007C3060" w:rsidRDefault="000A2A2B" w:rsidP="007C3060">
            <w:r w:rsidRPr="007C3060">
              <w:t>fra kr 109 229 000 til kr 116 798 000</w:t>
            </w:r>
          </w:p>
        </w:tc>
        <w:tc>
          <w:tcPr>
            <w:tcW w:w="1580" w:type="dxa"/>
            <w:tcBorders>
              <w:top w:val="nil"/>
              <w:left w:val="nil"/>
              <w:bottom w:val="nil"/>
              <w:right w:val="nil"/>
            </w:tcBorders>
            <w:tcMar>
              <w:top w:w="128" w:type="dxa"/>
              <w:left w:w="43" w:type="dxa"/>
              <w:bottom w:w="43" w:type="dxa"/>
              <w:right w:w="43" w:type="dxa"/>
            </w:tcMar>
            <w:vAlign w:val="bottom"/>
          </w:tcPr>
          <w:p w14:paraId="2055FEF7"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E230F1E" w14:textId="77777777" w:rsidR="000A2A2B" w:rsidRPr="007C3060" w:rsidRDefault="000A2A2B" w:rsidP="007C3060"/>
        </w:tc>
      </w:tr>
      <w:tr w:rsidR="004B729E" w:rsidRPr="007C3060" w14:paraId="4A14BE60" w14:textId="77777777">
        <w:trPr>
          <w:trHeight w:val="380"/>
        </w:trPr>
        <w:tc>
          <w:tcPr>
            <w:tcW w:w="680" w:type="dxa"/>
            <w:tcBorders>
              <w:top w:val="nil"/>
              <w:left w:val="nil"/>
              <w:bottom w:val="nil"/>
              <w:right w:val="nil"/>
            </w:tcBorders>
            <w:tcMar>
              <w:top w:w="128" w:type="dxa"/>
              <w:left w:w="43" w:type="dxa"/>
              <w:bottom w:w="43" w:type="dxa"/>
              <w:right w:w="123" w:type="dxa"/>
            </w:tcMar>
          </w:tcPr>
          <w:p w14:paraId="3B85585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59B761A" w14:textId="77777777" w:rsidR="000A2A2B" w:rsidRPr="007C3060" w:rsidRDefault="000A2A2B" w:rsidP="007C3060">
            <w:r w:rsidRPr="007C3060">
              <w:t>90</w:t>
            </w:r>
          </w:p>
        </w:tc>
        <w:tc>
          <w:tcPr>
            <w:tcW w:w="5040" w:type="dxa"/>
            <w:tcBorders>
              <w:top w:val="nil"/>
              <w:left w:val="nil"/>
              <w:bottom w:val="nil"/>
              <w:right w:val="nil"/>
            </w:tcBorders>
            <w:tcMar>
              <w:top w:w="128" w:type="dxa"/>
              <w:left w:w="43" w:type="dxa"/>
              <w:bottom w:w="43" w:type="dxa"/>
              <w:right w:w="43" w:type="dxa"/>
            </w:tcMar>
            <w:vAlign w:val="bottom"/>
          </w:tcPr>
          <w:p w14:paraId="380E6B28" w14:textId="77777777" w:rsidR="000A2A2B" w:rsidRPr="007C3060" w:rsidRDefault="000A2A2B" w:rsidP="007C3060">
            <w:r w:rsidRPr="007C3060">
              <w:t>Redusert lån og rentegjeld, nedsettes med</w:t>
            </w:r>
          </w:p>
        </w:tc>
        <w:tc>
          <w:tcPr>
            <w:tcW w:w="1580" w:type="dxa"/>
            <w:tcBorders>
              <w:top w:val="nil"/>
              <w:left w:val="nil"/>
              <w:bottom w:val="nil"/>
              <w:right w:val="nil"/>
            </w:tcBorders>
            <w:tcMar>
              <w:top w:w="128" w:type="dxa"/>
              <w:left w:w="43" w:type="dxa"/>
              <w:bottom w:w="43" w:type="dxa"/>
              <w:right w:w="43" w:type="dxa"/>
            </w:tcMar>
            <w:vAlign w:val="bottom"/>
          </w:tcPr>
          <w:p w14:paraId="1C31C1B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BE13756" w14:textId="77777777" w:rsidR="000A2A2B" w:rsidRPr="007C3060" w:rsidRDefault="000A2A2B" w:rsidP="007C3060">
            <w:r w:rsidRPr="007C3060">
              <w:t>468 188 000</w:t>
            </w:r>
          </w:p>
        </w:tc>
      </w:tr>
      <w:tr w:rsidR="004B729E" w:rsidRPr="007C3060" w14:paraId="5B167FAB" w14:textId="77777777">
        <w:trPr>
          <w:trHeight w:val="380"/>
        </w:trPr>
        <w:tc>
          <w:tcPr>
            <w:tcW w:w="680" w:type="dxa"/>
            <w:tcBorders>
              <w:top w:val="nil"/>
              <w:left w:val="nil"/>
              <w:bottom w:val="nil"/>
              <w:right w:val="nil"/>
            </w:tcBorders>
            <w:tcMar>
              <w:top w:w="128" w:type="dxa"/>
              <w:left w:w="43" w:type="dxa"/>
              <w:bottom w:w="43" w:type="dxa"/>
              <w:right w:w="123" w:type="dxa"/>
            </w:tcMar>
          </w:tcPr>
          <w:p w14:paraId="18D8447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2BE8D0B"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335B5D7" w14:textId="77777777" w:rsidR="000A2A2B" w:rsidRPr="007C3060" w:rsidRDefault="000A2A2B" w:rsidP="007C3060">
            <w:r w:rsidRPr="007C3060">
              <w:t>fra kr 14 754 325 000 til kr 14 286 137 000</w:t>
            </w:r>
          </w:p>
        </w:tc>
        <w:tc>
          <w:tcPr>
            <w:tcW w:w="1580" w:type="dxa"/>
            <w:tcBorders>
              <w:top w:val="nil"/>
              <w:left w:val="nil"/>
              <w:bottom w:val="nil"/>
              <w:right w:val="nil"/>
            </w:tcBorders>
            <w:tcMar>
              <w:top w:w="128" w:type="dxa"/>
              <w:left w:w="43" w:type="dxa"/>
              <w:bottom w:w="43" w:type="dxa"/>
              <w:right w:w="43" w:type="dxa"/>
            </w:tcMar>
            <w:vAlign w:val="bottom"/>
          </w:tcPr>
          <w:p w14:paraId="5E8DC09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F221F44" w14:textId="77777777" w:rsidR="000A2A2B" w:rsidRPr="007C3060" w:rsidRDefault="000A2A2B" w:rsidP="007C3060"/>
        </w:tc>
      </w:tr>
      <w:tr w:rsidR="004B729E" w:rsidRPr="007C3060" w14:paraId="44AAAB19" w14:textId="77777777">
        <w:trPr>
          <w:trHeight w:val="380"/>
        </w:trPr>
        <w:tc>
          <w:tcPr>
            <w:tcW w:w="680" w:type="dxa"/>
            <w:tcBorders>
              <w:top w:val="nil"/>
              <w:left w:val="nil"/>
              <w:bottom w:val="nil"/>
              <w:right w:val="nil"/>
            </w:tcBorders>
            <w:tcMar>
              <w:top w:w="128" w:type="dxa"/>
              <w:left w:w="43" w:type="dxa"/>
              <w:bottom w:w="43" w:type="dxa"/>
              <w:right w:w="123" w:type="dxa"/>
            </w:tcMar>
          </w:tcPr>
          <w:p w14:paraId="092CA8A7"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14EC6DE" w14:textId="77777777" w:rsidR="000A2A2B" w:rsidRPr="007C3060" w:rsidRDefault="000A2A2B" w:rsidP="007C3060">
            <w:r w:rsidRPr="007C3060">
              <w:t>93</w:t>
            </w:r>
          </w:p>
        </w:tc>
        <w:tc>
          <w:tcPr>
            <w:tcW w:w="6620" w:type="dxa"/>
            <w:gridSpan w:val="2"/>
            <w:tcBorders>
              <w:top w:val="nil"/>
              <w:left w:val="nil"/>
              <w:bottom w:val="nil"/>
              <w:right w:val="nil"/>
            </w:tcBorders>
            <w:tcMar>
              <w:top w:w="128" w:type="dxa"/>
              <w:left w:w="43" w:type="dxa"/>
              <w:bottom w:w="43" w:type="dxa"/>
              <w:right w:w="43" w:type="dxa"/>
            </w:tcMar>
            <w:vAlign w:val="bottom"/>
          </w:tcPr>
          <w:p w14:paraId="162FEEF8" w14:textId="77777777" w:rsidR="000A2A2B" w:rsidRPr="007C3060" w:rsidRDefault="000A2A2B" w:rsidP="007C3060">
            <w:r w:rsidRPr="007C3060">
              <w:t>Omgjøring av utdanningslån til stipend, nedsettes med</w:t>
            </w:r>
          </w:p>
        </w:tc>
        <w:tc>
          <w:tcPr>
            <w:tcW w:w="1580" w:type="dxa"/>
            <w:tcBorders>
              <w:top w:val="nil"/>
              <w:left w:val="nil"/>
              <w:bottom w:val="nil"/>
              <w:right w:val="nil"/>
            </w:tcBorders>
            <w:tcMar>
              <w:top w:w="128" w:type="dxa"/>
              <w:left w:w="43" w:type="dxa"/>
              <w:bottom w:w="43" w:type="dxa"/>
              <w:right w:w="43" w:type="dxa"/>
            </w:tcMar>
            <w:vAlign w:val="bottom"/>
          </w:tcPr>
          <w:p w14:paraId="47EF5C09" w14:textId="77777777" w:rsidR="000A2A2B" w:rsidRPr="007C3060" w:rsidRDefault="000A2A2B" w:rsidP="007C3060">
            <w:r w:rsidRPr="007C3060">
              <w:t>255 494 000</w:t>
            </w:r>
          </w:p>
        </w:tc>
      </w:tr>
      <w:tr w:rsidR="004B729E" w:rsidRPr="007C3060" w14:paraId="684A4A90" w14:textId="77777777">
        <w:trPr>
          <w:trHeight w:val="380"/>
        </w:trPr>
        <w:tc>
          <w:tcPr>
            <w:tcW w:w="680" w:type="dxa"/>
            <w:tcBorders>
              <w:top w:val="nil"/>
              <w:left w:val="nil"/>
              <w:bottom w:val="nil"/>
              <w:right w:val="nil"/>
            </w:tcBorders>
            <w:tcMar>
              <w:top w:w="128" w:type="dxa"/>
              <w:left w:w="43" w:type="dxa"/>
              <w:bottom w:w="43" w:type="dxa"/>
              <w:right w:w="123" w:type="dxa"/>
            </w:tcMar>
          </w:tcPr>
          <w:p w14:paraId="6272B226"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529545D"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D965796" w14:textId="77777777" w:rsidR="000A2A2B" w:rsidRPr="007C3060" w:rsidRDefault="000A2A2B" w:rsidP="007C3060">
            <w:r w:rsidRPr="007C3060">
              <w:t>fra kr 8 651 746 000 til kr 8 396 252 000</w:t>
            </w:r>
          </w:p>
        </w:tc>
        <w:tc>
          <w:tcPr>
            <w:tcW w:w="1580" w:type="dxa"/>
            <w:tcBorders>
              <w:top w:val="nil"/>
              <w:left w:val="nil"/>
              <w:bottom w:val="nil"/>
              <w:right w:val="nil"/>
            </w:tcBorders>
            <w:tcMar>
              <w:top w:w="128" w:type="dxa"/>
              <w:left w:w="43" w:type="dxa"/>
              <w:bottom w:w="43" w:type="dxa"/>
              <w:right w:w="43" w:type="dxa"/>
            </w:tcMar>
            <w:vAlign w:val="bottom"/>
          </w:tcPr>
          <w:p w14:paraId="0BAB139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D1BA308" w14:textId="77777777" w:rsidR="000A2A2B" w:rsidRPr="007C3060" w:rsidRDefault="000A2A2B" w:rsidP="007C3060"/>
        </w:tc>
      </w:tr>
      <w:tr w:rsidR="004B729E" w:rsidRPr="007C3060" w14:paraId="58BA23F4" w14:textId="77777777">
        <w:trPr>
          <w:trHeight w:val="380"/>
        </w:trPr>
        <w:tc>
          <w:tcPr>
            <w:tcW w:w="680" w:type="dxa"/>
            <w:tcBorders>
              <w:top w:val="nil"/>
              <w:left w:val="nil"/>
              <w:bottom w:val="nil"/>
              <w:right w:val="nil"/>
            </w:tcBorders>
            <w:tcMar>
              <w:top w:w="128" w:type="dxa"/>
              <w:left w:w="43" w:type="dxa"/>
              <w:bottom w:w="43" w:type="dxa"/>
              <w:right w:w="123" w:type="dxa"/>
            </w:tcMar>
          </w:tcPr>
          <w:p w14:paraId="051B5C4B" w14:textId="77777777" w:rsidR="000A2A2B" w:rsidRPr="007C3060" w:rsidRDefault="000A2A2B" w:rsidP="007C3060">
            <w:r w:rsidRPr="007C3060">
              <w:t>5312</w:t>
            </w:r>
          </w:p>
        </w:tc>
        <w:tc>
          <w:tcPr>
            <w:tcW w:w="680" w:type="dxa"/>
            <w:tcBorders>
              <w:top w:val="nil"/>
              <w:left w:val="nil"/>
              <w:bottom w:val="nil"/>
              <w:right w:val="nil"/>
            </w:tcBorders>
            <w:tcMar>
              <w:top w:w="128" w:type="dxa"/>
              <w:left w:w="43" w:type="dxa"/>
              <w:bottom w:w="43" w:type="dxa"/>
              <w:right w:w="123" w:type="dxa"/>
            </w:tcMar>
            <w:vAlign w:val="bottom"/>
          </w:tcPr>
          <w:p w14:paraId="05B064E5"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B1B48C8" w14:textId="77777777" w:rsidR="000A2A2B" w:rsidRPr="007C3060" w:rsidRDefault="000A2A2B" w:rsidP="007C3060">
            <w:r w:rsidRPr="007C3060">
              <w:t>Husbanken:</w:t>
            </w:r>
          </w:p>
        </w:tc>
        <w:tc>
          <w:tcPr>
            <w:tcW w:w="1580" w:type="dxa"/>
            <w:tcBorders>
              <w:top w:val="nil"/>
              <w:left w:val="nil"/>
              <w:bottom w:val="nil"/>
              <w:right w:val="nil"/>
            </w:tcBorders>
            <w:tcMar>
              <w:top w:w="128" w:type="dxa"/>
              <w:left w:w="43" w:type="dxa"/>
              <w:bottom w:w="43" w:type="dxa"/>
              <w:right w:w="43" w:type="dxa"/>
            </w:tcMar>
            <w:vAlign w:val="bottom"/>
          </w:tcPr>
          <w:p w14:paraId="40C4053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B08B951" w14:textId="77777777" w:rsidR="000A2A2B" w:rsidRPr="007C3060" w:rsidRDefault="000A2A2B" w:rsidP="007C3060"/>
        </w:tc>
      </w:tr>
      <w:tr w:rsidR="004B729E" w:rsidRPr="007C3060" w14:paraId="1E4A73CB" w14:textId="77777777">
        <w:trPr>
          <w:trHeight w:val="380"/>
        </w:trPr>
        <w:tc>
          <w:tcPr>
            <w:tcW w:w="680" w:type="dxa"/>
            <w:tcBorders>
              <w:top w:val="nil"/>
              <w:left w:val="nil"/>
              <w:bottom w:val="nil"/>
              <w:right w:val="nil"/>
            </w:tcBorders>
            <w:tcMar>
              <w:top w:w="128" w:type="dxa"/>
              <w:left w:w="43" w:type="dxa"/>
              <w:bottom w:w="43" w:type="dxa"/>
              <w:right w:w="123" w:type="dxa"/>
            </w:tcMar>
          </w:tcPr>
          <w:p w14:paraId="7802251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5553727" w14:textId="77777777" w:rsidR="000A2A2B" w:rsidRPr="007C3060" w:rsidRDefault="000A2A2B" w:rsidP="007C3060">
            <w:r w:rsidRPr="007C3060">
              <w:t>90</w:t>
            </w:r>
          </w:p>
        </w:tc>
        <w:tc>
          <w:tcPr>
            <w:tcW w:w="5040" w:type="dxa"/>
            <w:tcBorders>
              <w:top w:val="nil"/>
              <w:left w:val="nil"/>
              <w:bottom w:val="nil"/>
              <w:right w:val="nil"/>
            </w:tcBorders>
            <w:tcMar>
              <w:top w:w="128" w:type="dxa"/>
              <w:left w:w="43" w:type="dxa"/>
              <w:bottom w:w="43" w:type="dxa"/>
              <w:right w:w="43" w:type="dxa"/>
            </w:tcMar>
            <w:vAlign w:val="bottom"/>
          </w:tcPr>
          <w:p w14:paraId="3131805A" w14:textId="77777777" w:rsidR="000A2A2B" w:rsidRPr="007C3060" w:rsidRDefault="000A2A2B" w:rsidP="007C3060">
            <w:r w:rsidRPr="007C3060">
              <w:t>Avdrag, nedsettes med</w:t>
            </w:r>
          </w:p>
        </w:tc>
        <w:tc>
          <w:tcPr>
            <w:tcW w:w="1580" w:type="dxa"/>
            <w:tcBorders>
              <w:top w:val="nil"/>
              <w:left w:val="nil"/>
              <w:bottom w:val="nil"/>
              <w:right w:val="nil"/>
            </w:tcBorders>
            <w:tcMar>
              <w:top w:w="128" w:type="dxa"/>
              <w:left w:w="43" w:type="dxa"/>
              <w:bottom w:w="43" w:type="dxa"/>
              <w:right w:w="43" w:type="dxa"/>
            </w:tcMar>
            <w:vAlign w:val="bottom"/>
          </w:tcPr>
          <w:p w14:paraId="5315C47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51F569D" w14:textId="77777777" w:rsidR="000A2A2B" w:rsidRPr="007C3060" w:rsidRDefault="000A2A2B" w:rsidP="007C3060">
            <w:r w:rsidRPr="007C3060">
              <w:t>1 819 600 000</w:t>
            </w:r>
          </w:p>
        </w:tc>
      </w:tr>
      <w:tr w:rsidR="004B729E" w:rsidRPr="007C3060" w14:paraId="473D5D33" w14:textId="77777777">
        <w:trPr>
          <w:trHeight w:val="380"/>
        </w:trPr>
        <w:tc>
          <w:tcPr>
            <w:tcW w:w="680" w:type="dxa"/>
            <w:tcBorders>
              <w:top w:val="nil"/>
              <w:left w:val="nil"/>
              <w:bottom w:val="nil"/>
              <w:right w:val="nil"/>
            </w:tcBorders>
            <w:tcMar>
              <w:top w:w="128" w:type="dxa"/>
              <w:left w:w="43" w:type="dxa"/>
              <w:bottom w:w="43" w:type="dxa"/>
              <w:right w:w="123" w:type="dxa"/>
            </w:tcMar>
          </w:tcPr>
          <w:p w14:paraId="2948F36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EAED39D"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3F93162" w14:textId="77777777" w:rsidR="000A2A2B" w:rsidRPr="007C3060" w:rsidRDefault="000A2A2B" w:rsidP="007C3060">
            <w:r w:rsidRPr="007C3060">
              <w:t>fra kr 15 113 000 000 til kr 13 293 400 000</w:t>
            </w:r>
          </w:p>
        </w:tc>
        <w:tc>
          <w:tcPr>
            <w:tcW w:w="1580" w:type="dxa"/>
            <w:tcBorders>
              <w:top w:val="nil"/>
              <w:left w:val="nil"/>
              <w:bottom w:val="nil"/>
              <w:right w:val="nil"/>
            </w:tcBorders>
            <w:tcMar>
              <w:top w:w="128" w:type="dxa"/>
              <w:left w:w="43" w:type="dxa"/>
              <w:bottom w:w="43" w:type="dxa"/>
              <w:right w:w="43" w:type="dxa"/>
            </w:tcMar>
            <w:vAlign w:val="bottom"/>
          </w:tcPr>
          <w:p w14:paraId="49E8667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3B0230B" w14:textId="77777777" w:rsidR="000A2A2B" w:rsidRPr="007C3060" w:rsidRDefault="000A2A2B" w:rsidP="007C3060"/>
        </w:tc>
      </w:tr>
      <w:tr w:rsidR="004B729E" w:rsidRPr="007C3060" w14:paraId="546FD522" w14:textId="77777777">
        <w:trPr>
          <w:trHeight w:val="380"/>
        </w:trPr>
        <w:tc>
          <w:tcPr>
            <w:tcW w:w="680" w:type="dxa"/>
            <w:tcBorders>
              <w:top w:val="nil"/>
              <w:left w:val="nil"/>
              <w:bottom w:val="nil"/>
              <w:right w:val="nil"/>
            </w:tcBorders>
            <w:tcMar>
              <w:top w:w="128" w:type="dxa"/>
              <w:left w:w="43" w:type="dxa"/>
              <w:bottom w:w="43" w:type="dxa"/>
              <w:right w:w="123" w:type="dxa"/>
            </w:tcMar>
          </w:tcPr>
          <w:p w14:paraId="182D3F47" w14:textId="77777777" w:rsidR="000A2A2B" w:rsidRPr="007C3060" w:rsidRDefault="000A2A2B" w:rsidP="007C3060">
            <w:r w:rsidRPr="007C3060">
              <w:t>5325</w:t>
            </w:r>
          </w:p>
        </w:tc>
        <w:tc>
          <w:tcPr>
            <w:tcW w:w="680" w:type="dxa"/>
            <w:tcBorders>
              <w:top w:val="nil"/>
              <w:left w:val="nil"/>
              <w:bottom w:val="nil"/>
              <w:right w:val="nil"/>
            </w:tcBorders>
            <w:tcMar>
              <w:top w:w="128" w:type="dxa"/>
              <w:left w:w="43" w:type="dxa"/>
              <w:bottom w:w="43" w:type="dxa"/>
              <w:right w:w="123" w:type="dxa"/>
            </w:tcMar>
            <w:vAlign w:val="bottom"/>
          </w:tcPr>
          <w:p w14:paraId="1AE140CA"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E7F4F7D" w14:textId="77777777" w:rsidR="000A2A2B" w:rsidRPr="007C3060" w:rsidRDefault="000A2A2B" w:rsidP="007C3060">
            <w:r w:rsidRPr="007C3060">
              <w:t>Innovasjon Norge:</w:t>
            </w:r>
          </w:p>
        </w:tc>
        <w:tc>
          <w:tcPr>
            <w:tcW w:w="1580" w:type="dxa"/>
            <w:tcBorders>
              <w:top w:val="nil"/>
              <w:left w:val="nil"/>
              <w:bottom w:val="nil"/>
              <w:right w:val="nil"/>
            </w:tcBorders>
            <w:tcMar>
              <w:top w:w="128" w:type="dxa"/>
              <w:left w:w="43" w:type="dxa"/>
              <w:bottom w:w="43" w:type="dxa"/>
              <w:right w:w="43" w:type="dxa"/>
            </w:tcMar>
            <w:vAlign w:val="bottom"/>
          </w:tcPr>
          <w:p w14:paraId="05193A8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3E78897" w14:textId="77777777" w:rsidR="000A2A2B" w:rsidRPr="007C3060" w:rsidRDefault="000A2A2B" w:rsidP="007C3060"/>
        </w:tc>
      </w:tr>
      <w:tr w:rsidR="004B729E" w:rsidRPr="007C3060" w14:paraId="4A1A3DBA" w14:textId="77777777">
        <w:trPr>
          <w:trHeight w:val="380"/>
        </w:trPr>
        <w:tc>
          <w:tcPr>
            <w:tcW w:w="680" w:type="dxa"/>
            <w:tcBorders>
              <w:top w:val="nil"/>
              <w:left w:val="nil"/>
              <w:bottom w:val="nil"/>
              <w:right w:val="nil"/>
            </w:tcBorders>
            <w:tcMar>
              <w:top w:w="128" w:type="dxa"/>
              <w:left w:w="43" w:type="dxa"/>
              <w:bottom w:w="43" w:type="dxa"/>
              <w:right w:w="123" w:type="dxa"/>
            </w:tcMar>
          </w:tcPr>
          <w:p w14:paraId="61504FBE" w14:textId="77777777" w:rsidR="000A2A2B" w:rsidRPr="007C3060" w:rsidRDefault="000A2A2B" w:rsidP="007C3060">
            <w:r w:rsidRPr="007C3060">
              <w:t>(NY)</w:t>
            </w:r>
          </w:p>
        </w:tc>
        <w:tc>
          <w:tcPr>
            <w:tcW w:w="680" w:type="dxa"/>
            <w:tcBorders>
              <w:top w:val="nil"/>
              <w:left w:val="nil"/>
              <w:bottom w:val="nil"/>
              <w:right w:val="nil"/>
            </w:tcBorders>
            <w:tcMar>
              <w:top w:w="128" w:type="dxa"/>
              <w:left w:w="43" w:type="dxa"/>
              <w:bottom w:w="43" w:type="dxa"/>
              <w:right w:w="123" w:type="dxa"/>
            </w:tcMar>
            <w:vAlign w:val="bottom"/>
          </w:tcPr>
          <w:p w14:paraId="6110166B" w14:textId="77777777" w:rsidR="000A2A2B" w:rsidRPr="007C3060" w:rsidRDefault="000A2A2B" w:rsidP="007C3060">
            <w:r w:rsidRPr="007C3060">
              <w:t>53</w:t>
            </w:r>
          </w:p>
        </w:tc>
        <w:tc>
          <w:tcPr>
            <w:tcW w:w="6620" w:type="dxa"/>
            <w:gridSpan w:val="2"/>
            <w:tcBorders>
              <w:top w:val="nil"/>
              <w:left w:val="nil"/>
              <w:bottom w:val="nil"/>
              <w:right w:val="nil"/>
            </w:tcBorders>
            <w:tcMar>
              <w:top w:w="128" w:type="dxa"/>
              <w:left w:w="43" w:type="dxa"/>
              <w:bottom w:w="43" w:type="dxa"/>
              <w:right w:w="43" w:type="dxa"/>
            </w:tcMar>
            <w:vAlign w:val="bottom"/>
          </w:tcPr>
          <w:p w14:paraId="41390460" w14:textId="77777777" w:rsidR="000A2A2B" w:rsidRPr="007C3060" w:rsidRDefault="000A2A2B" w:rsidP="007C3060">
            <w:r w:rsidRPr="007C3060">
              <w:t>Tilbakeføring av ubrukte tiltakspakkemidler, bevilges med</w:t>
            </w:r>
          </w:p>
        </w:tc>
        <w:tc>
          <w:tcPr>
            <w:tcW w:w="1580" w:type="dxa"/>
            <w:tcBorders>
              <w:top w:val="nil"/>
              <w:left w:val="nil"/>
              <w:bottom w:val="nil"/>
              <w:right w:val="nil"/>
            </w:tcBorders>
            <w:tcMar>
              <w:top w:w="128" w:type="dxa"/>
              <w:left w:w="43" w:type="dxa"/>
              <w:bottom w:w="43" w:type="dxa"/>
              <w:right w:w="43" w:type="dxa"/>
            </w:tcMar>
            <w:vAlign w:val="bottom"/>
          </w:tcPr>
          <w:p w14:paraId="4369BA3B" w14:textId="77777777" w:rsidR="000A2A2B" w:rsidRPr="007C3060" w:rsidRDefault="000A2A2B" w:rsidP="007C3060">
            <w:r w:rsidRPr="007C3060">
              <w:t>73 850 000</w:t>
            </w:r>
          </w:p>
        </w:tc>
      </w:tr>
      <w:tr w:rsidR="004B729E" w:rsidRPr="007C3060" w14:paraId="69B73EDA" w14:textId="77777777">
        <w:trPr>
          <w:trHeight w:val="380"/>
        </w:trPr>
        <w:tc>
          <w:tcPr>
            <w:tcW w:w="680" w:type="dxa"/>
            <w:tcBorders>
              <w:top w:val="nil"/>
              <w:left w:val="nil"/>
              <w:bottom w:val="nil"/>
              <w:right w:val="nil"/>
            </w:tcBorders>
            <w:tcMar>
              <w:top w:w="128" w:type="dxa"/>
              <w:left w:w="43" w:type="dxa"/>
              <w:bottom w:w="43" w:type="dxa"/>
              <w:right w:w="123" w:type="dxa"/>
            </w:tcMar>
          </w:tcPr>
          <w:p w14:paraId="6BBEEFA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6FD70EE" w14:textId="77777777" w:rsidR="000A2A2B" w:rsidRPr="007C3060" w:rsidRDefault="000A2A2B" w:rsidP="007C3060">
            <w:r w:rsidRPr="007C3060">
              <w:t>70</w:t>
            </w:r>
          </w:p>
        </w:tc>
        <w:tc>
          <w:tcPr>
            <w:tcW w:w="5040" w:type="dxa"/>
            <w:tcBorders>
              <w:top w:val="nil"/>
              <w:left w:val="nil"/>
              <w:bottom w:val="nil"/>
              <w:right w:val="nil"/>
            </w:tcBorders>
            <w:tcMar>
              <w:top w:w="128" w:type="dxa"/>
              <w:left w:w="43" w:type="dxa"/>
              <w:bottom w:w="43" w:type="dxa"/>
              <w:right w:w="43" w:type="dxa"/>
            </w:tcMar>
            <w:vAlign w:val="bottom"/>
          </w:tcPr>
          <w:p w14:paraId="13E20D0A" w14:textId="77777777" w:rsidR="000A2A2B" w:rsidRPr="007C3060" w:rsidRDefault="000A2A2B" w:rsidP="007C3060">
            <w:r w:rsidRPr="007C3060">
              <w:t>Låneprovisjoner, nedsettes med</w:t>
            </w:r>
          </w:p>
        </w:tc>
        <w:tc>
          <w:tcPr>
            <w:tcW w:w="1580" w:type="dxa"/>
            <w:tcBorders>
              <w:top w:val="nil"/>
              <w:left w:val="nil"/>
              <w:bottom w:val="nil"/>
              <w:right w:val="nil"/>
            </w:tcBorders>
            <w:tcMar>
              <w:top w:w="128" w:type="dxa"/>
              <w:left w:w="43" w:type="dxa"/>
              <w:bottom w:w="43" w:type="dxa"/>
              <w:right w:w="43" w:type="dxa"/>
            </w:tcMar>
            <w:vAlign w:val="bottom"/>
          </w:tcPr>
          <w:p w14:paraId="621B0369"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15EB7A0" w14:textId="77777777" w:rsidR="000A2A2B" w:rsidRPr="007C3060" w:rsidRDefault="000A2A2B" w:rsidP="007C3060">
            <w:r w:rsidRPr="007C3060">
              <w:t>2 700 000</w:t>
            </w:r>
          </w:p>
        </w:tc>
      </w:tr>
      <w:tr w:rsidR="004B729E" w:rsidRPr="007C3060" w14:paraId="6AC818A8" w14:textId="77777777">
        <w:trPr>
          <w:trHeight w:val="380"/>
        </w:trPr>
        <w:tc>
          <w:tcPr>
            <w:tcW w:w="680" w:type="dxa"/>
            <w:tcBorders>
              <w:top w:val="nil"/>
              <w:left w:val="nil"/>
              <w:bottom w:val="nil"/>
              <w:right w:val="nil"/>
            </w:tcBorders>
            <w:tcMar>
              <w:top w:w="128" w:type="dxa"/>
              <w:left w:w="43" w:type="dxa"/>
              <w:bottom w:w="43" w:type="dxa"/>
              <w:right w:w="123" w:type="dxa"/>
            </w:tcMar>
          </w:tcPr>
          <w:p w14:paraId="35F32735"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C33F950"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0F062D5" w14:textId="77777777" w:rsidR="000A2A2B" w:rsidRPr="007C3060" w:rsidRDefault="000A2A2B" w:rsidP="007C3060">
            <w:r w:rsidRPr="007C3060">
              <w:t>fra kr 70 000 000 til kr 67 300 000</w:t>
            </w:r>
          </w:p>
        </w:tc>
        <w:tc>
          <w:tcPr>
            <w:tcW w:w="1580" w:type="dxa"/>
            <w:tcBorders>
              <w:top w:val="nil"/>
              <w:left w:val="nil"/>
              <w:bottom w:val="nil"/>
              <w:right w:val="nil"/>
            </w:tcBorders>
            <w:tcMar>
              <w:top w:w="128" w:type="dxa"/>
              <w:left w:w="43" w:type="dxa"/>
              <w:bottom w:w="43" w:type="dxa"/>
              <w:right w:w="43" w:type="dxa"/>
            </w:tcMar>
            <w:vAlign w:val="bottom"/>
          </w:tcPr>
          <w:p w14:paraId="210C4705"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F0D42C9" w14:textId="77777777" w:rsidR="000A2A2B" w:rsidRPr="007C3060" w:rsidRDefault="000A2A2B" w:rsidP="007C3060"/>
        </w:tc>
      </w:tr>
      <w:tr w:rsidR="004B729E" w:rsidRPr="007C3060" w14:paraId="4431267A" w14:textId="77777777">
        <w:trPr>
          <w:trHeight w:val="380"/>
        </w:trPr>
        <w:tc>
          <w:tcPr>
            <w:tcW w:w="680" w:type="dxa"/>
            <w:tcBorders>
              <w:top w:val="nil"/>
              <w:left w:val="nil"/>
              <w:bottom w:val="nil"/>
              <w:right w:val="nil"/>
            </w:tcBorders>
            <w:tcMar>
              <w:top w:w="128" w:type="dxa"/>
              <w:left w:w="43" w:type="dxa"/>
              <w:bottom w:w="43" w:type="dxa"/>
              <w:right w:w="123" w:type="dxa"/>
            </w:tcMar>
          </w:tcPr>
          <w:p w14:paraId="1966E264" w14:textId="77777777" w:rsidR="000A2A2B" w:rsidRPr="007C3060" w:rsidRDefault="000A2A2B" w:rsidP="007C3060">
            <w:r w:rsidRPr="007C3060">
              <w:t>5351</w:t>
            </w:r>
          </w:p>
        </w:tc>
        <w:tc>
          <w:tcPr>
            <w:tcW w:w="680" w:type="dxa"/>
            <w:tcBorders>
              <w:top w:val="nil"/>
              <w:left w:val="nil"/>
              <w:bottom w:val="nil"/>
              <w:right w:val="nil"/>
            </w:tcBorders>
            <w:tcMar>
              <w:top w:w="128" w:type="dxa"/>
              <w:left w:w="43" w:type="dxa"/>
              <w:bottom w:w="43" w:type="dxa"/>
              <w:right w:w="123" w:type="dxa"/>
            </w:tcMar>
            <w:vAlign w:val="bottom"/>
          </w:tcPr>
          <w:p w14:paraId="1B07C576"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42EFD03" w14:textId="77777777" w:rsidR="000A2A2B" w:rsidRPr="007C3060" w:rsidRDefault="000A2A2B" w:rsidP="007C3060">
            <w:r w:rsidRPr="007C3060">
              <w:t>Overføring fra Norges Bank:</w:t>
            </w:r>
          </w:p>
        </w:tc>
        <w:tc>
          <w:tcPr>
            <w:tcW w:w="1580" w:type="dxa"/>
            <w:tcBorders>
              <w:top w:val="nil"/>
              <w:left w:val="nil"/>
              <w:bottom w:val="nil"/>
              <w:right w:val="nil"/>
            </w:tcBorders>
            <w:tcMar>
              <w:top w:w="128" w:type="dxa"/>
              <w:left w:w="43" w:type="dxa"/>
              <w:bottom w:w="43" w:type="dxa"/>
              <w:right w:w="43" w:type="dxa"/>
            </w:tcMar>
            <w:vAlign w:val="bottom"/>
          </w:tcPr>
          <w:p w14:paraId="69AD17F5"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07CF0DD" w14:textId="77777777" w:rsidR="000A2A2B" w:rsidRPr="007C3060" w:rsidRDefault="000A2A2B" w:rsidP="007C3060"/>
        </w:tc>
      </w:tr>
      <w:tr w:rsidR="004B729E" w:rsidRPr="007C3060" w14:paraId="0A116FFA" w14:textId="77777777">
        <w:trPr>
          <w:trHeight w:val="380"/>
        </w:trPr>
        <w:tc>
          <w:tcPr>
            <w:tcW w:w="680" w:type="dxa"/>
            <w:tcBorders>
              <w:top w:val="nil"/>
              <w:left w:val="nil"/>
              <w:bottom w:val="nil"/>
              <w:right w:val="nil"/>
            </w:tcBorders>
            <w:tcMar>
              <w:top w:w="128" w:type="dxa"/>
              <w:left w:w="43" w:type="dxa"/>
              <w:bottom w:w="43" w:type="dxa"/>
              <w:right w:w="123" w:type="dxa"/>
            </w:tcMar>
          </w:tcPr>
          <w:p w14:paraId="2C9DE825"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0DF9468" w14:textId="77777777" w:rsidR="000A2A2B" w:rsidRPr="007C3060" w:rsidRDefault="000A2A2B" w:rsidP="007C3060">
            <w:r w:rsidRPr="007C3060">
              <w:t>85</w:t>
            </w:r>
          </w:p>
        </w:tc>
        <w:tc>
          <w:tcPr>
            <w:tcW w:w="5040" w:type="dxa"/>
            <w:tcBorders>
              <w:top w:val="nil"/>
              <w:left w:val="nil"/>
              <w:bottom w:val="nil"/>
              <w:right w:val="nil"/>
            </w:tcBorders>
            <w:tcMar>
              <w:top w:w="128" w:type="dxa"/>
              <w:left w:w="43" w:type="dxa"/>
              <w:bottom w:w="43" w:type="dxa"/>
              <w:right w:w="43" w:type="dxa"/>
            </w:tcMar>
            <w:vAlign w:val="bottom"/>
          </w:tcPr>
          <w:p w14:paraId="5C4D1FC3" w14:textId="77777777" w:rsidR="000A2A2B" w:rsidRPr="007C3060" w:rsidRDefault="000A2A2B" w:rsidP="007C3060">
            <w:r w:rsidRPr="007C3060">
              <w:t xml:space="preserve">Overføring, forhøyes med </w:t>
            </w:r>
          </w:p>
        </w:tc>
        <w:tc>
          <w:tcPr>
            <w:tcW w:w="1580" w:type="dxa"/>
            <w:tcBorders>
              <w:top w:val="nil"/>
              <w:left w:val="nil"/>
              <w:bottom w:val="nil"/>
              <w:right w:val="nil"/>
            </w:tcBorders>
            <w:tcMar>
              <w:top w:w="128" w:type="dxa"/>
              <w:left w:w="43" w:type="dxa"/>
              <w:bottom w:w="43" w:type="dxa"/>
              <w:right w:w="43" w:type="dxa"/>
            </w:tcMar>
            <w:vAlign w:val="bottom"/>
          </w:tcPr>
          <w:p w14:paraId="15C86EB5"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54BDAB0" w14:textId="77777777" w:rsidR="000A2A2B" w:rsidRPr="007C3060" w:rsidRDefault="000A2A2B" w:rsidP="007C3060">
            <w:r w:rsidRPr="007C3060">
              <w:t>11 128 800 000</w:t>
            </w:r>
          </w:p>
        </w:tc>
      </w:tr>
      <w:tr w:rsidR="004B729E" w:rsidRPr="007C3060" w14:paraId="4E054754" w14:textId="77777777">
        <w:trPr>
          <w:trHeight w:val="380"/>
        </w:trPr>
        <w:tc>
          <w:tcPr>
            <w:tcW w:w="680" w:type="dxa"/>
            <w:tcBorders>
              <w:top w:val="nil"/>
              <w:left w:val="nil"/>
              <w:bottom w:val="nil"/>
              <w:right w:val="nil"/>
            </w:tcBorders>
            <w:tcMar>
              <w:top w:w="128" w:type="dxa"/>
              <w:left w:w="43" w:type="dxa"/>
              <w:bottom w:w="43" w:type="dxa"/>
              <w:right w:w="123" w:type="dxa"/>
            </w:tcMar>
          </w:tcPr>
          <w:p w14:paraId="5A017BB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5F44100"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66E59D8" w14:textId="77777777" w:rsidR="000A2A2B" w:rsidRPr="007C3060" w:rsidRDefault="000A2A2B" w:rsidP="007C3060">
            <w:r w:rsidRPr="007C3060">
              <w:t>fra kr 18 974 000 000 til kr 30 102 800 000</w:t>
            </w:r>
          </w:p>
        </w:tc>
        <w:tc>
          <w:tcPr>
            <w:tcW w:w="1580" w:type="dxa"/>
            <w:tcBorders>
              <w:top w:val="nil"/>
              <w:left w:val="nil"/>
              <w:bottom w:val="nil"/>
              <w:right w:val="nil"/>
            </w:tcBorders>
            <w:tcMar>
              <w:top w:w="128" w:type="dxa"/>
              <w:left w:w="43" w:type="dxa"/>
              <w:bottom w:w="43" w:type="dxa"/>
              <w:right w:w="43" w:type="dxa"/>
            </w:tcMar>
            <w:vAlign w:val="bottom"/>
          </w:tcPr>
          <w:p w14:paraId="527979D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9438300" w14:textId="77777777" w:rsidR="000A2A2B" w:rsidRPr="007C3060" w:rsidRDefault="000A2A2B" w:rsidP="007C3060"/>
        </w:tc>
      </w:tr>
      <w:tr w:rsidR="004B729E" w:rsidRPr="007C3060" w14:paraId="5979DCCD" w14:textId="77777777">
        <w:trPr>
          <w:trHeight w:val="380"/>
        </w:trPr>
        <w:tc>
          <w:tcPr>
            <w:tcW w:w="680" w:type="dxa"/>
            <w:tcBorders>
              <w:top w:val="nil"/>
              <w:left w:val="nil"/>
              <w:bottom w:val="nil"/>
              <w:right w:val="nil"/>
            </w:tcBorders>
            <w:tcMar>
              <w:top w:w="128" w:type="dxa"/>
              <w:left w:w="43" w:type="dxa"/>
              <w:bottom w:w="43" w:type="dxa"/>
              <w:right w:w="123" w:type="dxa"/>
            </w:tcMar>
          </w:tcPr>
          <w:p w14:paraId="3B8E416D" w14:textId="77777777" w:rsidR="000A2A2B" w:rsidRPr="007C3060" w:rsidRDefault="000A2A2B" w:rsidP="007C3060">
            <w:r w:rsidRPr="007C3060">
              <w:t>5440</w:t>
            </w:r>
          </w:p>
        </w:tc>
        <w:tc>
          <w:tcPr>
            <w:tcW w:w="680" w:type="dxa"/>
            <w:tcBorders>
              <w:top w:val="nil"/>
              <w:left w:val="nil"/>
              <w:bottom w:val="nil"/>
              <w:right w:val="nil"/>
            </w:tcBorders>
            <w:tcMar>
              <w:top w:w="128" w:type="dxa"/>
              <w:left w:w="43" w:type="dxa"/>
              <w:bottom w:w="43" w:type="dxa"/>
              <w:right w:w="123" w:type="dxa"/>
            </w:tcMar>
            <w:vAlign w:val="bottom"/>
          </w:tcPr>
          <w:p w14:paraId="5B70B941" w14:textId="77777777" w:rsidR="000A2A2B" w:rsidRPr="007C3060" w:rsidRDefault="000A2A2B" w:rsidP="007C3060"/>
        </w:tc>
        <w:tc>
          <w:tcPr>
            <w:tcW w:w="8200" w:type="dxa"/>
            <w:gridSpan w:val="3"/>
            <w:tcBorders>
              <w:top w:val="nil"/>
              <w:left w:val="nil"/>
              <w:bottom w:val="nil"/>
              <w:right w:val="nil"/>
            </w:tcBorders>
            <w:tcMar>
              <w:top w:w="128" w:type="dxa"/>
              <w:left w:w="43" w:type="dxa"/>
              <w:bottom w:w="43" w:type="dxa"/>
              <w:right w:w="43" w:type="dxa"/>
            </w:tcMar>
            <w:vAlign w:val="bottom"/>
          </w:tcPr>
          <w:p w14:paraId="0E7FD778" w14:textId="77777777" w:rsidR="000A2A2B" w:rsidRPr="007C3060" w:rsidRDefault="000A2A2B" w:rsidP="007C3060">
            <w:r w:rsidRPr="007C3060">
              <w:t>Statens direkte økonomiske engasjement i petroleumsvirksomheten:</w:t>
            </w:r>
          </w:p>
        </w:tc>
      </w:tr>
      <w:tr w:rsidR="004B729E" w:rsidRPr="007C3060" w14:paraId="62840A9E" w14:textId="77777777">
        <w:trPr>
          <w:trHeight w:val="380"/>
        </w:trPr>
        <w:tc>
          <w:tcPr>
            <w:tcW w:w="680" w:type="dxa"/>
            <w:tcBorders>
              <w:top w:val="nil"/>
              <w:left w:val="nil"/>
              <w:bottom w:val="nil"/>
              <w:right w:val="nil"/>
            </w:tcBorders>
            <w:tcMar>
              <w:top w:w="128" w:type="dxa"/>
              <w:left w:w="43" w:type="dxa"/>
              <w:bottom w:w="43" w:type="dxa"/>
              <w:right w:w="123" w:type="dxa"/>
            </w:tcMar>
          </w:tcPr>
          <w:p w14:paraId="331885E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ED4E7AC" w14:textId="77777777" w:rsidR="000A2A2B" w:rsidRPr="007C3060" w:rsidRDefault="000A2A2B" w:rsidP="007C3060">
            <w:r w:rsidRPr="007C3060">
              <w:t>24</w:t>
            </w:r>
          </w:p>
        </w:tc>
        <w:tc>
          <w:tcPr>
            <w:tcW w:w="5040" w:type="dxa"/>
            <w:tcBorders>
              <w:top w:val="nil"/>
              <w:left w:val="nil"/>
              <w:bottom w:val="nil"/>
              <w:right w:val="nil"/>
            </w:tcBorders>
            <w:tcMar>
              <w:top w:w="128" w:type="dxa"/>
              <w:left w:w="43" w:type="dxa"/>
              <w:bottom w:w="43" w:type="dxa"/>
              <w:right w:w="43" w:type="dxa"/>
            </w:tcMar>
            <w:vAlign w:val="bottom"/>
          </w:tcPr>
          <w:p w14:paraId="58C890A4" w14:textId="77777777" w:rsidR="000A2A2B" w:rsidRPr="007C3060" w:rsidRDefault="000A2A2B" w:rsidP="007C3060">
            <w:r w:rsidRPr="007C3060">
              <w:t>Driftsresultat:</w:t>
            </w:r>
          </w:p>
        </w:tc>
        <w:tc>
          <w:tcPr>
            <w:tcW w:w="1580" w:type="dxa"/>
            <w:tcBorders>
              <w:top w:val="nil"/>
              <w:left w:val="nil"/>
              <w:bottom w:val="nil"/>
              <w:right w:val="nil"/>
            </w:tcBorders>
            <w:tcMar>
              <w:top w:w="128" w:type="dxa"/>
              <w:left w:w="43" w:type="dxa"/>
              <w:bottom w:w="43" w:type="dxa"/>
              <w:right w:w="43" w:type="dxa"/>
            </w:tcMar>
            <w:vAlign w:val="bottom"/>
          </w:tcPr>
          <w:p w14:paraId="2161D7A5"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19A9647" w14:textId="77777777" w:rsidR="000A2A2B" w:rsidRPr="007C3060" w:rsidRDefault="000A2A2B" w:rsidP="007C3060"/>
        </w:tc>
      </w:tr>
      <w:tr w:rsidR="004B729E" w:rsidRPr="007C3060" w14:paraId="05D6AA2A" w14:textId="77777777">
        <w:trPr>
          <w:trHeight w:val="380"/>
        </w:trPr>
        <w:tc>
          <w:tcPr>
            <w:tcW w:w="680" w:type="dxa"/>
            <w:tcBorders>
              <w:top w:val="nil"/>
              <w:left w:val="nil"/>
              <w:bottom w:val="nil"/>
              <w:right w:val="nil"/>
            </w:tcBorders>
            <w:tcMar>
              <w:top w:w="128" w:type="dxa"/>
              <w:left w:w="43" w:type="dxa"/>
              <w:bottom w:w="43" w:type="dxa"/>
              <w:right w:w="123" w:type="dxa"/>
            </w:tcMar>
          </w:tcPr>
          <w:p w14:paraId="7E982DA8"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F1C7334"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17C5E64" w14:textId="77777777" w:rsidR="000A2A2B" w:rsidRPr="007C3060" w:rsidRDefault="000A2A2B" w:rsidP="007C3060">
            <w:r w:rsidRPr="007C3060">
              <w:t>1 Driftsinntekter</w:t>
            </w:r>
          </w:p>
        </w:tc>
        <w:tc>
          <w:tcPr>
            <w:tcW w:w="1580" w:type="dxa"/>
            <w:tcBorders>
              <w:top w:val="nil"/>
              <w:left w:val="nil"/>
              <w:bottom w:val="nil"/>
              <w:right w:val="nil"/>
            </w:tcBorders>
            <w:tcMar>
              <w:top w:w="128" w:type="dxa"/>
              <w:left w:w="43" w:type="dxa"/>
              <w:bottom w:w="43" w:type="dxa"/>
              <w:right w:w="43" w:type="dxa"/>
            </w:tcMar>
            <w:vAlign w:val="bottom"/>
          </w:tcPr>
          <w:p w14:paraId="4B3E0DA0" w14:textId="77777777" w:rsidR="000A2A2B" w:rsidRPr="007C3060" w:rsidRDefault="000A2A2B" w:rsidP="007C3060">
            <w:r w:rsidRPr="007C3060">
              <w:t>332 900 000 000</w:t>
            </w:r>
          </w:p>
        </w:tc>
        <w:tc>
          <w:tcPr>
            <w:tcW w:w="1580" w:type="dxa"/>
            <w:tcBorders>
              <w:top w:val="nil"/>
              <w:left w:val="nil"/>
              <w:bottom w:val="nil"/>
              <w:right w:val="nil"/>
            </w:tcBorders>
            <w:tcMar>
              <w:top w:w="128" w:type="dxa"/>
              <w:left w:w="43" w:type="dxa"/>
              <w:bottom w:w="43" w:type="dxa"/>
              <w:right w:w="43" w:type="dxa"/>
            </w:tcMar>
            <w:vAlign w:val="bottom"/>
          </w:tcPr>
          <w:p w14:paraId="269D9129" w14:textId="77777777" w:rsidR="000A2A2B" w:rsidRPr="007C3060" w:rsidRDefault="000A2A2B" w:rsidP="007C3060"/>
        </w:tc>
      </w:tr>
      <w:tr w:rsidR="004B729E" w:rsidRPr="007C3060" w14:paraId="194ACA5D" w14:textId="77777777">
        <w:trPr>
          <w:trHeight w:val="380"/>
        </w:trPr>
        <w:tc>
          <w:tcPr>
            <w:tcW w:w="680" w:type="dxa"/>
            <w:tcBorders>
              <w:top w:val="nil"/>
              <w:left w:val="nil"/>
              <w:bottom w:val="nil"/>
              <w:right w:val="nil"/>
            </w:tcBorders>
            <w:tcMar>
              <w:top w:w="128" w:type="dxa"/>
              <w:left w:w="43" w:type="dxa"/>
              <w:bottom w:w="43" w:type="dxa"/>
              <w:right w:w="123" w:type="dxa"/>
            </w:tcMar>
          </w:tcPr>
          <w:p w14:paraId="174ABFB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9A87FC8"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03AE204" w14:textId="77777777" w:rsidR="000A2A2B" w:rsidRPr="007C3060" w:rsidRDefault="000A2A2B" w:rsidP="007C3060">
            <w:r w:rsidRPr="007C3060">
              <w:t>2 Driftsutgifter</w:t>
            </w:r>
          </w:p>
        </w:tc>
        <w:tc>
          <w:tcPr>
            <w:tcW w:w="1580" w:type="dxa"/>
            <w:tcBorders>
              <w:top w:val="nil"/>
              <w:left w:val="nil"/>
              <w:bottom w:val="nil"/>
              <w:right w:val="nil"/>
            </w:tcBorders>
            <w:tcMar>
              <w:top w:w="128" w:type="dxa"/>
              <w:left w:w="43" w:type="dxa"/>
              <w:bottom w:w="43" w:type="dxa"/>
              <w:right w:w="43" w:type="dxa"/>
            </w:tcMar>
            <w:vAlign w:val="bottom"/>
          </w:tcPr>
          <w:p w14:paraId="2DFD7C6F" w14:textId="77777777" w:rsidR="000A2A2B" w:rsidRPr="007C3060" w:rsidRDefault="000A2A2B" w:rsidP="007C3060">
            <w:r w:rsidRPr="007C3060">
              <w:t>-43 200 000 000</w:t>
            </w:r>
          </w:p>
        </w:tc>
        <w:tc>
          <w:tcPr>
            <w:tcW w:w="1580" w:type="dxa"/>
            <w:tcBorders>
              <w:top w:val="nil"/>
              <w:left w:val="nil"/>
              <w:bottom w:val="nil"/>
              <w:right w:val="nil"/>
            </w:tcBorders>
            <w:tcMar>
              <w:top w:w="128" w:type="dxa"/>
              <w:left w:w="43" w:type="dxa"/>
              <w:bottom w:w="43" w:type="dxa"/>
              <w:right w:w="43" w:type="dxa"/>
            </w:tcMar>
            <w:vAlign w:val="bottom"/>
          </w:tcPr>
          <w:p w14:paraId="709B8503" w14:textId="77777777" w:rsidR="000A2A2B" w:rsidRPr="007C3060" w:rsidRDefault="000A2A2B" w:rsidP="007C3060"/>
        </w:tc>
      </w:tr>
      <w:tr w:rsidR="004B729E" w:rsidRPr="007C3060" w14:paraId="1424F015" w14:textId="77777777">
        <w:trPr>
          <w:trHeight w:val="380"/>
        </w:trPr>
        <w:tc>
          <w:tcPr>
            <w:tcW w:w="680" w:type="dxa"/>
            <w:tcBorders>
              <w:top w:val="nil"/>
              <w:left w:val="nil"/>
              <w:bottom w:val="nil"/>
              <w:right w:val="nil"/>
            </w:tcBorders>
            <w:tcMar>
              <w:top w:w="128" w:type="dxa"/>
              <w:left w:w="43" w:type="dxa"/>
              <w:bottom w:w="43" w:type="dxa"/>
              <w:right w:w="123" w:type="dxa"/>
            </w:tcMar>
          </w:tcPr>
          <w:p w14:paraId="6542187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3B08BE8"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6F4097E" w14:textId="77777777" w:rsidR="000A2A2B" w:rsidRPr="007C3060" w:rsidRDefault="000A2A2B" w:rsidP="007C3060">
            <w:r w:rsidRPr="007C3060">
              <w:t>3 Lete- og feltutviklingsutgifter</w:t>
            </w:r>
          </w:p>
        </w:tc>
        <w:tc>
          <w:tcPr>
            <w:tcW w:w="1580" w:type="dxa"/>
            <w:tcBorders>
              <w:top w:val="nil"/>
              <w:left w:val="nil"/>
              <w:bottom w:val="nil"/>
              <w:right w:val="nil"/>
            </w:tcBorders>
            <w:tcMar>
              <w:top w:w="128" w:type="dxa"/>
              <w:left w:w="43" w:type="dxa"/>
              <w:bottom w:w="43" w:type="dxa"/>
              <w:right w:w="43" w:type="dxa"/>
            </w:tcMar>
            <w:vAlign w:val="bottom"/>
          </w:tcPr>
          <w:p w14:paraId="2B1CE1D2" w14:textId="77777777" w:rsidR="000A2A2B" w:rsidRPr="007C3060" w:rsidRDefault="000A2A2B" w:rsidP="007C3060">
            <w:r w:rsidRPr="007C3060">
              <w:t>-2 100 000 000</w:t>
            </w:r>
          </w:p>
        </w:tc>
        <w:tc>
          <w:tcPr>
            <w:tcW w:w="1580" w:type="dxa"/>
            <w:tcBorders>
              <w:top w:val="nil"/>
              <w:left w:val="nil"/>
              <w:bottom w:val="nil"/>
              <w:right w:val="nil"/>
            </w:tcBorders>
            <w:tcMar>
              <w:top w:w="128" w:type="dxa"/>
              <w:left w:w="43" w:type="dxa"/>
              <w:bottom w:w="43" w:type="dxa"/>
              <w:right w:w="43" w:type="dxa"/>
            </w:tcMar>
            <w:vAlign w:val="bottom"/>
          </w:tcPr>
          <w:p w14:paraId="0E0FEDDD" w14:textId="77777777" w:rsidR="000A2A2B" w:rsidRPr="007C3060" w:rsidRDefault="000A2A2B" w:rsidP="007C3060"/>
        </w:tc>
      </w:tr>
      <w:tr w:rsidR="004B729E" w:rsidRPr="007C3060" w14:paraId="0E831A26" w14:textId="77777777">
        <w:trPr>
          <w:trHeight w:val="380"/>
        </w:trPr>
        <w:tc>
          <w:tcPr>
            <w:tcW w:w="680" w:type="dxa"/>
            <w:tcBorders>
              <w:top w:val="nil"/>
              <w:left w:val="nil"/>
              <w:bottom w:val="nil"/>
              <w:right w:val="nil"/>
            </w:tcBorders>
            <w:tcMar>
              <w:top w:w="128" w:type="dxa"/>
              <w:left w:w="43" w:type="dxa"/>
              <w:bottom w:w="43" w:type="dxa"/>
              <w:right w:w="123" w:type="dxa"/>
            </w:tcMar>
          </w:tcPr>
          <w:p w14:paraId="681B235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4273537"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F3167CF" w14:textId="77777777" w:rsidR="000A2A2B" w:rsidRPr="007C3060" w:rsidRDefault="000A2A2B" w:rsidP="007C3060">
            <w:r w:rsidRPr="007C3060">
              <w:t>4 Avskrivninger</w:t>
            </w:r>
          </w:p>
        </w:tc>
        <w:tc>
          <w:tcPr>
            <w:tcW w:w="1580" w:type="dxa"/>
            <w:tcBorders>
              <w:top w:val="nil"/>
              <w:left w:val="nil"/>
              <w:bottom w:val="nil"/>
              <w:right w:val="nil"/>
            </w:tcBorders>
            <w:tcMar>
              <w:top w:w="128" w:type="dxa"/>
              <w:left w:w="43" w:type="dxa"/>
              <w:bottom w:w="43" w:type="dxa"/>
              <w:right w:w="43" w:type="dxa"/>
            </w:tcMar>
            <w:vAlign w:val="bottom"/>
          </w:tcPr>
          <w:p w14:paraId="4568282C" w14:textId="77777777" w:rsidR="000A2A2B" w:rsidRPr="007C3060" w:rsidRDefault="000A2A2B" w:rsidP="007C3060">
            <w:r w:rsidRPr="007C3060">
              <w:t>-33 500 000 000</w:t>
            </w:r>
          </w:p>
        </w:tc>
        <w:tc>
          <w:tcPr>
            <w:tcW w:w="1580" w:type="dxa"/>
            <w:tcBorders>
              <w:top w:val="nil"/>
              <w:left w:val="nil"/>
              <w:bottom w:val="nil"/>
              <w:right w:val="nil"/>
            </w:tcBorders>
            <w:tcMar>
              <w:top w:w="128" w:type="dxa"/>
              <w:left w:w="43" w:type="dxa"/>
              <w:bottom w:w="43" w:type="dxa"/>
              <w:right w:w="43" w:type="dxa"/>
            </w:tcMar>
            <w:vAlign w:val="bottom"/>
          </w:tcPr>
          <w:p w14:paraId="47D9EDC3" w14:textId="77777777" w:rsidR="000A2A2B" w:rsidRPr="007C3060" w:rsidRDefault="000A2A2B" w:rsidP="007C3060"/>
        </w:tc>
      </w:tr>
      <w:tr w:rsidR="004B729E" w:rsidRPr="007C3060" w14:paraId="028E0819" w14:textId="77777777">
        <w:trPr>
          <w:trHeight w:val="380"/>
        </w:trPr>
        <w:tc>
          <w:tcPr>
            <w:tcW w:w="680" w:type="dxa"/>
            <w:tcBorders>
              <w:top w:val="nil"/>
              <w:left w:val="nil"/>
              <w:bottom w:val="nil"/>
              <w:right w:val="nil"/>
            </w:tcBorders>
            <w:tcMar>
              <w:top w:w="128" w:type="dxa"/>
              <w:left w:w="43" w:type="dxa"/>
              <w:bottom w:w="43" w:type="dxa"/>
              <w:right w:w="123" w:type="dxa"/>
            </w:tcMar>
          </w:tcPr>
          <w:p w14:paraId="568EE225"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2868413"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3D85B68D" w14:textId="77777777" w:rsidR="000A2A2B" w:rsidRPr="007C3060" w:rsidRDefault="000A2A2B" w:rsidP="007C3060">
            <w:r w:rsidRPr="007C3060">
              <w:t>5 Renter av statens kapital</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DB91D68" w14:textId="77777777" w:rsidR="000A2A2B" w:rsidRPr="007C3060" w:rsidRDefault="000A2A2B" w:rsidP="007C3060">
            <w:r w:rsidRPr="007C3060">
              <w:t>-5 000 000 000</w:t>
            </w:r>
          </w:p>
        </w:tc>
        <w:tc>
          <w:tcPr>
            <w:tcW w:w="1580" w:type="dxa"/>
            <w:tcBorders>
              <w:top w:val="nil"/>
              <w:left w:val="nil"/>
              <w:bottom w:val="nil"/>
              <w:right w:val="nil"/>
            </w:tcBorders>
            <w:tcMar>
              <w:top w:w="128" w:type="dxa"/>
              <w:left w:w="43" w:type="dxa"/>
              <w:bottom w:w="43" w:type="dxa"/>
              <w:right w:w="43" w:type="dxa"/>
            </w:tcMar>
            <w:vAlign w:val="bottom"/>
          </w:tcPr>
          <w:p w14:paraId="51AA04FC" w14:textId="77777777" w:rsidR="000A2A2B" w:rsidRPr="007C3060" w:rsidRDefault="000A2A2B" w:rsidP="007C3060"/>
        </w:tc>
      </w:tr>
      <w:tr w:rsidR="004B729E" w:rsidRPr="007C3060" w14:paraId="1CB94603" w14:textId="77777777">
        <w:trPr>
          <w:trHeight w:val="380"/>
        </w:trPr>
        <w:tc>
          <w:tcPr>
            <w:tcW w:w="680" w:type="dxa"/>
            <w:tcBorders>
              <w:top w:val="nil"/>
              <w:left w:val="nil"/>
              <w:bottom w:val="nil"/>
              <w:right w:val="nil"/>
            </w:tcBorders>
            <w:tcMar>
              <w:top w:w="128" w:type="dxa"/>
              <w:left w:w="43" w:type="dxa"/>
              <w:bottom w:w="43" w:type="dxa"/>
              <w:right w:w="123" w:type="dxa"/>
            </w:tcMar>
          </w:tcPr>
          <w:p w14:paraId="1DD964AD"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7F8002A"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02B2865" w14:textId="77777777" w:rsidR="000A2A2B" w:rsidRPr="007C3060" w:rsidRDefault="000A2A2B" w:rsidP="007C3060"/>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2B97C10" w14:textId="77777777" w:rsidR="000A2A2B" w:rsidRPr="007C3060" w:rsidRDefault="000A2A2B" w:rsidP="007C3060">
            <w:r w:rsidRPr="007C3060">
              <w:t>249 100 000 000</w:t>
            </w:r>
          </w:p>
        </w:tc>
        <w:tc>
          <w:tcPr>
            <w:tcW w:w="1580" w:type="dxa"/>
            <w:tcBorders>
              <w:top w:val="nil"/>
              <w:left w:val="nil"/>
              <w:bottom w:val="nil"/>
              <w:right w:val="nil"/>
            </w:tcBorders>
            <w:tcMar>
              <w:top w:w="128" w:type="dxa"/>
              <w:left w:w="43" w:type="dxa"/>
              <w:bottom w:w="43" w:type="dxa"/>
              <w:right w:w="43" w:type="dxa"/>
            </w:tcMar>
            <w:vAlign w:val="bottom"/>
          </w:tcPr>
          <w:p w14:paraId="30D955B1" w14:textId="77777777" w:rsidR="000A2A2B" w:rsidRPr="007C3060" w:rsidRDefault="000A2A2B" w:rsidP="007C3060"/>
        </w:tc>
      </w:tr>
      <w:tr w:rsidR="004B729E" w:rsidRPr="007C3060" w14:paraId="3516D8B1" w14:textId="77777777">
        <w:trPr>
          <w:trHeight w:val="380"/>
        </w:trPr>
        <w:tc>
          <w:tcPr>
            <w:tcW w:w="680" w:type="dxa"/>
            <w:tcBorders>
              <w:top w:val="nil"/>
              <w:left w:val="nil"/>
              <w:bottom w:val="nil"/>
              <w:right w:val="nil"/>
            </w:tcBorders>
            <w:tcMar>
              <w:top w:w="128" w:type="dxa"/>
              <w:left w:w="43" w:type="dxa"/>
              <w:bottom w:w="43" w:type="dxa"/>
              <w:right w:w="123" w:type="dxa"/>
            </w:tcMar>
          </w:tcPr>
          <w:p w14:paraId="0ABFAB5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61D2908" w14:textId="77777777" w:rsidR="000A2A2B" w:rsidRPr="007C3060" w:rsidRDefault="000A2A2B" w:rsidP="007C3060">
            <w:r w:rsidRPr="007C3060">
              <w:t>30</w:t>
            </w:r>
          </w:p>
        </w:tc>
        <w:tc>
          <w:tcPr>
            <w:tcW w:w="5040" w:type="dxa"/>
            <w:tcBorders>
              <w:top w:val="nil"/>
              <w:left w:val="nil"/>
              <w:bottom w:val="nil"/>
              <w:right w:val="nil"/>
            </w:tcBorders>
            <w:tcMar>
              <w:top w:w="128" w:type="dxa"/>
              <w:left w:w="43" w:type="dxa"/>
              <w:bottom w:w="43" w:type="dxa"/>
              <w:right w:w="43" w:type="dxa"/>
            </w:tcMar>
            <w:vAlign w:val="bottom"/>
          </w:tcPr>
          <w:p w14:paraId="57BBFE7B" w14:textId="77777777" w:rsidR="000A2A2B" w:rsidRPr="007C3060" w:rsidRDefault="000A2A2B" w:rsidP="007C3060">
            <w:r w:rsidRPr="007C3060">
              <w:t>Avskrivninger, forhøyes med</w:t>
            </w:r>
          </w:p>
        </w:tc>
        <w:tc>
          <w:tcPr>
            <w:tcW w:w="1580" w:type="dxa"/>
            <w:tcBorders>
              <w:top w:val="nil"/>
              <w:left w:val="nil"/>
              <w:bottom w:val="nil"/>
              <w:right w:val="nil"/>
            </w:tcBorders>
            <w:tcMar>
              <w:top w:w="128" w:type="dxa"/>
              <w:left w:w="43" w:type="dxa"/>
              <w:bottom w:w="43" w:type="dxa"/>
              <w:right w:w="43" w:type="dxa"/>
            </w:tcMar>
            <w:vAlign w:val="bottom"/>
          </w:tcPr>
          <w:p w14:paraId="621EA825"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D25901F" w14:textId="77777777" w:rsidR="000A2A2B" w:rsidRPr="007C3060" w:rsidRDefault="000A2A2B" w:rsidP="007C3060">
            <w:r w:rsidRPr="007C3060">
              <w:t>1 400 000 000</w:t>
            </w:r>
          </w:p>
        </w:tc>
      </w:tr>
      <w:tr w:rsidR="004B729E" w:rsidRPr="007C3060" w14:paraId="3E34758E" w14:textId="77777777">
        <w:trPr>
          <w:trHeight w:val="380"/>
        </w:trPr>
        <w:tc>
          <w:tcPr>
            <w:tcW w:w="680" w:type="dxa"/>
            <w:tcBorders>
              <w:top w:val="nil"/>
              <w:left w:val="nil"/>
              <w:bottom w:val="nil"/>
              <w:right w:val="nil"/>
            </w:tcBorders>
            <w:tcMar>
              <w:top w:w="128" w:type="dxa"/>
              <w:left w:w="43" w:type="dxa"/>
              <w:bottom w:w="43" w:type="dxa"/>
              <w:right w:w="123" w:type="dxa"/>
            </w:tcMar>
          </w:tcPr>
          <w:p w14:paraId="4883D99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53E4C4C"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201B110" w14:textId="77777777" w:rsidR="000A2A2B" w:rsidRPr="007C3060" w:rsidRDefault="000A2A2B" w:rsidP="007C3060">
            <w:r w:rsidRPr="007C3060">
              <w:t>fra kr 32 100 000 000 til kr 33 500 000 000</w:t>
            </w:r>
          </w:p>
        </w:tc>
        <w:tc>
          <w:tcPr>
            <w:tcW w:w="1580" w:type="dxa"/>
            <w:tcBorders>
              <w:top w:val="nil"/>
              <w:left w:val="nil"/>
              <w:bottom w:val="nil"/>
              <w:right w:val="nil"/>
            </w:tcBorders>
            <w:tcMar>
              <w:top w:w="128" w:type="dxa"/>
              <w:left w:w="43" w:type="dxa"/>
              <w:bottom w:w="43" w:type="dxa"/>
              <w:right w:w="43" w:type="dxa"/>
            </w:tcMar>
            <w:vAlign w:val="bottom"/>
          </w:tcPr>
          <w:p w14:paraId="55F2882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45E3C19" w14:textId="77777777" w:rsidR="000A2A2B" w:rsidRPr="007C3060" w:rsidRDefault="000A2A2B" w:rsidP="007C3060"/>
        </w:tc>
      </w:tr>
      <w:tr w:rsidR="004B729E" w:rsidRPr="007C3060" w14:paraId="0ED795DD" w14:textId="77777777">
        <w:trPr>
          <w:trHeight w:val="380"/>
        </w:trPr>
        <w:tc>
          <w:tcPr>
            <w:tcW w:w="680" w:type="dxa"/>
            <w:tcBorders>
              <w:top w:val="nil"/>
              <w:left w:val="nil"/>
              <w:bottom w:val="nil"/>
              <w:right w:val="nil"/>
            </w:tcBorders>
            <w:tcMar>
              <w:top w:w="128" w:type="dxa"/>
              <w:left w:w="43" w:type="dxa"/>
              <w:bottom w:w="43" w:type="dxa"/>
              <w:right w:w="123" w:type="dxa"/>
            </w:tcMar>
          </w:tcPr>
          <w:p w14:paraId="7D8EA6B1" w14:textId="77777777" w:rsidR="000A2A2B" w:rsidRPr="007C3060" w:rsidRDefault="000A2A2B" w:rsidP="007C3060">
            <w:r w:rsidRPr="007C3060">
              <w:t>5460</w:t>
            </w:r>
          </w:p>
        </w:tc>
        <w:tc>
          <w:tcPr>
            <w:tcW w:w="680" w:type="dxa"/>
            <w:tcBorders>
              <w:top w:val="nil"/>
              <w:left w:val="nil"/>
              <w:bottom w:val="nil"/>
              <w:right w:val="nil"/>
            </w:tcBorders>
            <w:tcMar>
              <w:top w:w="128" w:type="dxa"/>
              <w:left w:w="43" w:type="dxa"/>
              <w:bottom w:w="43" w:type="dxa"/>
              <w:right w:w="123" w:type="dxa"/>
            </w:tcMar>
            <w:vAlign w:val="bottom"/>
          </w:tcPr>
          <w:p w14:paraId="649DD9E5"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6BD214D" w14:textId="77777777" w:rsidR="000A2A2B" w:rsidRPr="007C3060" w:rsidRDefault="000A2A2B" w:rsidP="007C3060">
            <w:r w:rsidRPr="007C3060">
              <w:t>Eksportfinansiering Norge:</w:t>
            </w:r>
          </w:p>
        </w:tc>
        <w:tc>
          <w:tcPr>
            <w:tcW w:w="1580" w:type="dxa"/>
            <w:tcBorders>
              <w:top w:val="nil"/>
              <w:left w:val="nil"/>
              <w:bottom w:val="nil"/>
              <w:right w:val="nil"/>
            </w:tcBorders>
            <w:tcMar>
              <w:top w:w="128" w:type="dxa"/>
              <w:left w:w="43" w:type="dxa"/>
              <w:bottom w:w="43" w:type="dxa"/>
              <w:right w:w="43" w:type="dxa"/>
            </w:tcMar>
            <w:vAlign w:val="bottom"/>
          </w:tcPr>
          <w:p w14:paraId="70B34B2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957229C" w14:textId="77777777" w:rsidR="000A2A2B" w:rsidRPr="007C3060" w:rsidRDefault="000A2A2B" w:rsidP="007C3060"/>
        </w:tc>
      </w:tr>
      <w:tr w:rsidR="004B729E" w:rsidRPr="007C3060" w14:paraId="2581C47E" w14:textId="77777777">
        <w:trPr>
          <w:trHeight w:val="380"/>
        </w:trPr>
        <w:tc>
          <w:tcPr>
            <w:tcW w:w="680" w:type="dxa"/>
            <w:tcBorders>
              <w:top w:val="nil"/>
              <w:left w:val="nil"/>
              <w:bottom w:val="nil"/>
              <w:right w:val="nil"/>
            </w:tcBorders>
            <w:tcMar>
              <w:top w:w="128" w:type="dxa"/>
              <w:left w:w="43" w:type="dxa"/>
              <w:bottom w:w="43" w:type="dxa"/>
              <w:right w:w="123" w:type="dxa"/>
            </w:tcMar>
          </w:tcPr>
          <w:p w14:paraId="7F9CF4EE"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36D50C3" w14:textId="77777777" w:rsidR="000A2A2B" w:rsidRPr="007C3060" w:rsidRDefault="000A2A2B" w:rsidP="007C3060">
            <w:r w:rsidRPr="007C3060">
              <w:t>71</w:t>
            </w:r>
          </w:p>
        </w:tc>
        <w:tc>
          <w:tcPr>
            <w:tcW w:w="6620" w:type="dxa"/>
            <w:gridSpan w:val="2"/>
            <w:tcBorders>
              <w:top w:val="nil"/>
              <w:left w:val="nil"/>
              <w:bottom w:val="nil"/>
              <w:right w:val="nil"/>
            </w:tcBorders>
            <w:tcMar>
              <w:top w:w="128" w:type="dxa"/>
              <w:left w:w="43" w:type="dxa"/>
              <w:bottom w:w="43" w:type="dxa"/>
              <w:right w:w="43" w:type="dxa"/>
            </w:tcMar>
            <w:vAlign w:val="bottom"/>
          </w:tcPr>
          <w:p w14:paraId="53C01DE2" w14:textId="77777777" w:rsidR="000A2A2B" w:rsidRPr="007C3060" w:rsidRDefault="000A2A2B" w:rsidP="007C3060">
            <w:r w:rsidRPr="007C3060">
              <w:t>Tilbakeføring fra avviklede garantiordninger, forhøyes med</w:t>
            </w:r>
          </w:p>
        </w:tc>
        <w:tc>
          <w:tcPr>
            <w:tcW w:w="1580" w:type="dxa"/>
            <w:tcBorders>
              <w:top w:val="nil"/>
              <w:left w:val="nil"/>
              <w:bottom w:val="nil"/>
              <w:right w:val="nil"/>
            </w:tcBorders>
            <w:tcMar>
              <w:top w:w="128" w:type="dxa"/>
              <w:left w:w="43" w:type="dxa"/>
              <w:bottom w:w="43" w:type="dxa"/>
              <w:right w:w="43" w:type="dxa"/>
            </w:tcMar>
            <w:vAlign w:val="bottom"/>
          </w:tcPr>
          <w:p w14:paraId="0C47472A" w14:textId="77777777" w:rsidR="000A2A2B" w:rsidRPr="007C3060" w:rsidRDefault="000A2A2B" w:rsidP="007C3060">
            <w:r w:rsidRPr="007C3060">
              <w:t>25 000 000</w:t>
            </w:r>
          </w:p>
        </w:tc>
      </w:tr>
      <w:tr w:rsidR="004B729E" w:rsidRPr="007C3060" w14:paraId="43B440FF" w14:textId="77777777">
        <w:trPr>
          <w:trHeight w:val="380"/>
        </w:trPr>
        <w:tc>
          <w:tcPr>
            <w:tcW w:w="680" w:type="dxa"/>
            <w:tcBorders>
              <w:top w:val="nil"/>
              <w:left w:val="nil"/>
              <w:bottom w:val="nil"/>
              <w:right w:val="nil"/>
            </w:tcBorders>
            <w:tcMar>
              <w:top w:w="128" w:type="dxa"/>
              <w:left w:w="43" w:type="dxa"/>
              <w:bottom w:w="43" w:type="dxa"/>
              <w:right w:w="123" w:type="dxa"/>
            </w:tcMar>
          </w:tcPr>
          <w:p w14:paraId="7E5BCC05"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2AEC924"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6671E28" w14:textId="77777777" w:rsidR="000A2A2B" w:rsidRPr="007C3060" w:rsidRDefault="000A2A2B" w:rsidP="007C3060">
            <w:r w:rsidRPr="007C3060">
              <w:t>fra kr 28 800 000 til kr 53 800 000</w:t>
            </w:r>
          </w:p>
        </w:tc>
        <w:tc>
          <w:tcPr>
            <w:tcW w:w="1580" w:type="dxa"/>
            <w:tcBorders>
              <w:top w:val="nil"/>
              <w:left w:val="nil"/>
              <w:bottom w:val="nil"/>
              <w:right w:val="nil"/>
            </w:tcBorders>
            <w:tcMar>
              <w:top w:w="128" w:type="dxa"/>
              <w:left w:w="43" w:type="dxa"/>
              <w:bottom w:w="43" w:type="dxa"/>
              <w:right w:w="43" w:type="dxa"/>
            </w:tcMar>
            <w:vAlign w:val="bottom"/>
          </w:tcPr>
          <w:p w14:paraId="5CFCA139"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2C1E67D" w14:textId="77777777" w:rsidR="000A2A2B" w:rsidRPr="007C3060" w:rsidRDefault="000A2A2B" w:rsidP="007C3060"/>
        </w:tc>
      </w:tr>
      <w:tr w:rsidR="004B729E" w:rsidRPr="007C3060" w14:paraId="2DA62CE5" w14:textId="77777777">
        <w:trPr>
          <w:trHeight w:val="380"/>
        </w:trPr>
        <w:tc>
          <w:tcPr>
            <w:tcW w:w="680" w:type="dxa"/>
            <w:tcBorders>
              <w:top w:val="nil"/>
              <w:left w:val="nil"/>
              <w:bottom w:val="nil"/>
              <w:right w:val="nil"/>
            </w:tcBorders>
            <w:tcMar>
              <w:top w:w="128" w:type="dxa"/>
              <w:left w:w="43" w:type="dxa"/>
              <w:bottom w:w="43" w:type="dxa"/>
              <w:right w:w="123" w:type="dxa"/>
            </w:tcMar>
          </w:tcPr>
          <w:p w14:paraId="752E4C9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C3CB0B8" w14:textId="77777777" w:rsidR="000A2A2B" w:rsidRPr="007C3060" w:rsidRDefault="000A2A2B" w:rsidP="007C3060">
            <w:r w:rsidRPr="007C3060">
              <w:t>85</w:t>
            </w:r>
          </w:p>
        </w:tc>
        <w:tc>
          <w:tcPr>
            <w:tcW w:w="6620" w:type="dxa"/>
            <w:gridSpan w:val="2"/>
            <w:tcBorders>
              <w:top w:val="nil"/>
              <w:left w:val="nil"/>
              <w:bottom w:val="nil"/>
              <w:right w:val="nil"/>
            </w:tcBorders>
            <w:tcMar>
              <w:top w:w="128" w:type="dxa"/>
              <w:left w:w="43" w:type="dxa"/>
              <w:bottom w:w="43" w:type="dxa"/>
              <w:right w:w="43" w:type="dxa"/>
            </w:tcMar>
            <w:vAlign w:val="bottom"/>
          </w:tcPr>
          <w:p w14:paraId="0F544C80" w14:textId="77777777" w:rsidR="000A2A2B" w:rsidRPr="007C3060" w:rsidRDefault="000A2A2B" w:rsidP="007C3060">
            <w:r w:rsidRPr="007C3060">
              <w:t>Inntekter fra avviklede midlertidige ordninger, forhøyes med</w:t>
            </w:r>
          </w:p>
        </w:tc>
        <w:tc>
          <w:tcPr>
            <w:tcW w:w="1580" w:type="dxa"/>
            <w:tcBorders>
              <w:top w:val="nil"/>
              <w:left w:val="nil"/>
              <w:bottom w:val="nil"/>
              <w:right w:val="nil"/>
            </w:tcBorders>
            <w:tcMar>
              <w:top w:w="128" w:type="dxa"/>
              <w:left w:w="43" w:type="dxa"/>
              <w:bottom w:w="43" w:type="dxa"/>
              <w:right w:w="43" w:type="dxa"/>
            </w:tcMar>
            <w:vAlign w:val="bottom"/>
          </w:tcPr>
          <w:p w14:paraId="3007932F" w14:textId="77777777" w:rsidR="000A2A2B" w:rsidRPr="007C3060" w:rsidRDefault="000A2A2B" w:rsidP="007C3060">
            <w:r w:rsidRPr="007C3060">
              <w:t>463 200 000</w:t>
            </w:r>
          </w:p>
        </w:tc>
      </w:tr>
      <w:tr w:rsidR="004B729E" w:rsidRPr="007C3060" w14:paraId="1BC1D228" w14:textId="77777777">
        <w:trPr>
          <w:trHeight w:val="380"/>
        </w:trPr>
        <w:tc>
          <w:tcPr>
            <w:tcW w:w="680" w:type="dxa"/>
            <w:tcBorders>
              <w:top w:val="nil"/>
              <w:left w:val="nil"/>
              <w:bottom w:val="nil"/>
              <w:right w:val="nil"/>
            </w:tcBorders>
            <w:tcMar>
              <w:top w:w="128" w:type="dxa"/>
              <w:left w:w="43" w:type="dxa"/>
              <w:bottom w:w="43" w:type="dxa"/>
              <w:right w:w="123" w:type="dxa"/>
            </w:tcMar>
          </w:tcPr>
          <w:p w14:paraId="5B151738"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328AADD"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A2FD339" w14:textId="77777777" w:rsidR="000A2A2B" w:rsidRPr="007C3060" w:rsidRDefault="000A2A2B" w:rsidP="007C3060">
            <w:r w:rsidRPr="007C3060">
              <w:t>fra kr 21 650 000 til kr 484 850 000</w:t>
            </w:r>
          </w:p>
        </w:tc>
        <w:tc>
          <w:tcPr>
            <w:tcW w:w="1580" w:type="dxa"/>
            <w:tcBorders>
              <w:top w:val="nil"/>
              <w:left w:val="nil"/>
              <w:bottom w:val="nil"/>
              <w:right w:val="nil"/>
            </w:tcBorders>
            <w:tcMar>
              <w:top w:w="128" w:type="dxa"/>
              <w:left w:w="43" w:type="dxa"/>
              <w:bottom w:w="43" w:type="dxa"/>
              <w:right w:w="43" w:type="dxa"/>
            </w:tcMar>
            <w:vAlign w:val="bottom"/>
          </w:tcPr>
          <w:p w14:paraId="77C723F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DBBE15F" w14:textId="77777777" w:rsidR="000A2A2B" w:rsidRPr="007C3060" w:rsidRDefault="000A2A2B" w:rsidP="007C3060"/>
        </w:tc>
      </w:tr>
      <w:tr w:rsidR="004B729E" w:rsidRPr="007C3060" w14:paraId="353C19C4" w14:textId="77777777">
        <w:trPr>
          <w:trHeight w:val="380"/>
        </w:trPr>
        <w:tc>
          <w:tcPr>
            <w:tcW w:w="680" w:type="dxa"/>
            <w:tcBorders>
              <w:top w:val="nil"/>
              <w:left w:val="nil"/>
              <w:bottom w:val="nil"/>
              <w:right w:val="nil"/>
            </w:tcBorders>
            <w:tcMar>
              <w:top w:w="128" w:type="dxa"/>
              <w:left w:w="43" w:type="dxa"/>
              <w:bottom w:w="43" w:type="dxa"/>
              <w:right w:w="123" w:type="dxa"/>
            </w:tcMar>
          </w:tcPr>
          <w:p w14:paraId="75A7F76F" w14:textId="77777777" w:rsidR="000A2A2B" w:rsidRPr="007C3060" w:rsidRDefault="000A2A2B" w:rsidP="007C3060">
            <w:r w:rsidRPr="007C3060">
              <w:t>5470</w:t>
            </w:r>
          </w:p>
        </w:tc>
        <w:tc>
          <w:tcPr>
            <w:tcW w:w="680" w:type="dxa"/>
            <w:tcBorders>
              <w:top w:val="nil"/>
              <w:left w:val="nil"/>
              <w:bottom w:val="nil"/>
              <w:right w:val="nil"/>
            </w:tcBorders>
            <w:tcMar>
              <w:top w:w="128" w:type="dxa"/>
              <w:left w:w="43" w:type="dxa"/>
              <w:bottom w:w="43" w:type="dxa"/>
              <w:right w:w="123" w:type="dxa"/>
            </w:tcMar>
            <w:vAlign w:val="bottom"/>
          </w:tcPr>
          <w:p w14:paraId="47CC524A"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47DA931" w14:textId="77777777" w:rsidR="000A2A2B" w:rsidRPr="007C3060" w:rsidRDefault="000A2A2B" w:rsidP="007C3060">
            <w:r w:rsidRPr="007C3060">
              <w:t>Statens pensjonskasse:</w:t>
            </w:r>
          </w:p>
        </w:tc>
        <w:tc>
          <w:tcPr>
            <w:tcW w:w="1580" w:type="dxa"/>
            <w:tcBorders>
              <w:top w:val="nil"/>
              <w:left w:val="nil"/>
              <w:bottom w:val="nil"/>
              <w:right w:val="nil"/>
            </w:tcBorders>
            <w:tcMar>
              <w:top w:w="128" w:type="dxa"/>
              <w:left w:w="43" w:type="dxa"/>
              <w:bottom w:w="43" w:type="dxa"/>
              <w:right w:w="43" w:type="dxa"/>
            </w:tcMar>
            <w:vAlign w:val="bottom"/>
          </w:tcPr>
          <w:p w14:paraId="63D07B24"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010F2B6" w14:textId="77777777" w:rsidR="000A2A2B" w:rsidRPr="007C3060" w:rsidRDefault="000A2A2B" w:rsidP="007C3060"/>
        </w:tc>
      </w:tr>
      <w:tr w:rsidR="004B729E" w:rsidRPr="007C3060" w14:paraId="012A71C4" w14:textId="77777777">
        <w:trPr>
          <w:trHeight w:val="380"/>
        </w:trPr>
        <w:tc>
          <w:tcPr>
            <w:tcW w:w="680" w:type="dxa"/>
            <w:tcBorders>
              <w:top w:val="nil"/>
              <w:left w:val="nil"/>
              <w:bottom w:val="nil"/>
              <w:right w:val="nil"/>
            </w:tcBorders>
            <w:tcMar>
              <w:top w:w="128" w:type="dxa"/>
              <w:left w:w="43" w:type="dxa"/>
              <w:bottom w:w="43" w:type="dxa"/>
              <w:right w:w="123" w:type="dxa"/>
            </w:tcMar>
          </w:tcPr>
          <w:p w14:paraId="5DB5526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026862C" w14:textId="77777777" w:rsidR="000A2A2B" w:rsidRPr="007C3060" w:rsidRDefault="000A2A2B" w:rsidP="007C3060">
            <w:r w:rsidRPr="007C3060">
              <w:t>30</w:t>
            </w:r>
          </w:p>
        </w:tc>
        <w:tc>
          <w:tcPr>
            <w:tcW w:w="5040" w:type="dxa"/>
            <w:tcBorders>
              <w:top w:val="nil"/>
              <w:left w:val="nil"/>
              <w:bottom w:val="nil"/>
              <w:right w:val="nil"/>
            </w:tcBorders>
            <w:tcMar>
              <w:top w:w="128" w:type="dxa"/>
              <w:left w:w="43" w:type="dxa"/>
              <w:bottom w:w="43" w:type="dxa"/>
              <w:right w:w="43" w:type="dxa"/>
            </w:tcMar>
            <w:vAlign w:val="bottom"/>
          </w:tcPr>
          <w:p w14:paraId="30F5F02C" w14:textId="77777777" w:rsidR="000A2A2B" w:rsidRPr="007C3060" w:rsidRDefault="000A2A2B" w:rsidP="007C3060">
            <w:r w:rsidRPr="007C3060">
              <w:t>Avsetning til investeringsformål, forhøyes med</w:t>
            </w:r>
          </w:p>
        </w:tc>
        <w:tc>
          <w:tcPr>
            <w:tcW w:w="1580" w:type="dxa"/>
            <w:tcBorders>
              <w:top w:val="nil"/>
              <w:left w:val="nil"/>
              <w:bottom w:val="nil"/>
              <w:right w:val="nil"/>
            </w:tcBorders>
            <w:tcMar>
              <w:top w:w="128" w:type="dxa"/>
              <w:left w:w="43" w:type="dxa"/>
              <w:bottom w:w="43" w:type="dxa"/>
              <w:right w:w="43" w:type="dxa"/>
            </w:tcMar>
            <w:vAlign w:val="bottom"/>
          </w:tcPr>
          <w:p w14:paraId="660B859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3103E14" w14:textId="77777777" w:rsidR="000A2A2B" w:rsidRPr="007C3060" w:rsidRDefault="000A2A2B" w:rsidP="007C3060">
            <w:r w:rsidRPr="007C3060">
              <w:t>21 000 000</w:t>
            </w:r>
          </w:p>
        </w:tc>
      </w:tr>
      <w:tr w:rsidR="004B729E" w:rsidRPr="007C3060" w14:paraId="530E175D" w14:textId="77777777">
        <w:trPr>
          <w:trHeight w:val="380"/>
        </w:trPr>
        <w:tc>
          <w:tcPr>
            <w:tcW w:w="680" w:type="dxa"/>
            <w:tcBorders>
              <w:top w:val="nil"/>
              <w:left w:val="nil"/>
              <w:bottom w:val="nil"/>
              <w:right w:val="nil"/>
            </w:tcBorders>
            <w:tcMar>
              <w:top w:w="128" w:type="dxa"/>
              <w:left w:w="43" w:type="dxa"/>
              <w:bottom w:w="43" w:type="dxa"/>
              <w:right w:w="123" w:type="dxa"/>
            </w:tcMar>
          </w:tcPr>
          <w:p w14:paraId="545B2047"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6F226D9"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2C93D14" w14:textId="77777777" w:rsidR="000A2A2B" w:rsidRPr="007C3060" w:rsidRDefault="000A2A2B" w:rsidP="007C3060">
            <w:r w:rsidRPr="007C3060">
              <w:t>fra kr 55 000 000 til kr 76 000 000</w:t>
            </w:r>
          </w:p>
        </w:tc>
        <w:tc>
          <w:tcPr>
            <w:tcW w:w="1580" w:type="dxa"/>
            <w:tcBorders>
              <w:top w:val="nil"/>
              <w:left w:val="nil"/>
              <w:bottom w:val="nil"/>
              <w:right w:val="nil"/>
            </w:tcBorders>
            <w:tcMar>
              <w:top w:w="128" w:type="dxa"/>
              <w:left w:w="43" w:type="dxa"/>
              <w:bottom w:w="43" w:type="dxa"/>
              <w:right w:w="43" w:type="dxa"/>
            </w:tcMar>
            <w:vAlign w:val="bottom"/>
          </w:tcPr>
          <w:p w14:paraId="0D3917D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25431F9" w14:textId="77777777" w:rsidR="000A2A2B" w:rsidRPr="007C3060" w:rsidRDefault="000A2A2B" w:rsidP="007C3060"/>
        </w:tc>
      </w:tr>
      <w:tr w:rsidR="004B729E" w:rsidRPr="007C3060" w14:paraId="724B30C6" w14:textId="77777777">
        <w:trPr>
          <w:trHeight w:val="380"/>
        </w:trPr>
        <w:tc>
          <w:tcPr>
            <w:tcW w:w="680" w:type="dxa"/>
            <w:tcBorders>
              <w:top w:val="nil"/>
              <w:left w:val="nil"/>
              <w:bottom w:val="nil"/>
              <w:right w:val="nil"/>
            </w:tcBorders>
            <w:tcMar>
              <w:top w:w="128" w:type="dxa"/>
              <w:left w:w="43" w:type="dxa"/>
              <w:bottom w:w="43" w:type="dxa"/>
              <w:right w:w="123" w:type="dxa"/>
            </w:tcMar>
          </w:tcPr>
          <w:p w14:paraId="5EA338EE" w14:textId="77777777" w:rsidR="000A2A2B" w:rsidRPr="007C3060" w:rsidRDefault="000A2A2B" w:rsidP="007C3060">
            <w:r w:rsidRPr="007C3060">
              <w:t>5501</w:t>
            </w:r>
          </w:p>
        </w:tc>
        <w:tc>
          <w:tcPr>
            <w:tcW w:w="680" w:type="dxa"/>
            <w:tcBorders>
              <w:top w:val="nil"/>
              <w:left w:val="nil"/>
              <w:bottom w:val="nil"/>
              <w:right w:val="nil"/>
            </w:tcBorders>
            <w:tcMar>
              <w:top w:w="128" w:type="dxa"/>
              <w:left w:w="43" w:type="dxa"/>
              <w:bottom w:w="43" w:type="dxa"/>
              <w:right w:w="123" w:type="dxa"/>
            </w:tcMar>
            <w:vAlign w:val="bottom"/>
          </w:tcPr>
          <w:p w14:paraId="36CBDCC0"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5E086DE" w14:textId="77777777" w:rsidR="000A2A2B" w:rsidRPr="007C3060" w:rsidRDefault="000A2A2B" w:rsidP="007C3060">
            <w:r w:rsidRPr="007C3060">
              <w:t>Skatter på formue og inntekt:</w:t>
            </w:r>
          </w:p>
        </w:tc>
        <w:tc>
          <w:tcPr>
            <w:tcW w:w="1580" w:type="dxa"/>
            <w:tcBorders>
              <w:top w:val="nil"/>
              <w:left w:val="nil"/>
              <w:bottom w:val="nil"/>
              <w:right w:val="nil"/>
            </w:tcBorders>
            <w:tcMar>
              <w:top w:w="128" w:type="dxa"/>
              <w:left w:w="43" w:type="dxa"/>
              <w:bottom w:w="43" w:type="dxa"/>
              <w:right w:w="43" w:type="dxa"/>
            </w:tcMar>
            <w:vAlign w:val="bottom"/>
          </w:tcPr>
          <w:p w14:paraId="51A2D9A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F859251" w14:textId="77777777" w:rsidR="000A2A2B" w:rsidRPr="007C3060" w:rsidRDefault="000A2A2B" w:rsidP="007C3060"/>
        </w:tc>
      </w:tr>
      <w:tr w:rsidR="004B729E" w:rsidRPr="007C3060" w14:paraId="6B53CD99" w14:textId="77777777">
        <w:trPr>
          <w:trHeight w:val="380"/>
        </w:trPr>
        <w:tc>
          <w:tcPr>
            <w:tcW w:w="680" w:type="dxa"/>
            <w:tcBorders>
              <w:top w:val="nil"/>
              <w:left w:val="nil"/>
              <w:bottom w:val="nil"/>
              <w:right w:val="nil"/>
            </w:tcBorders>
            <w:tcMar>
              <w:top w:w="128" w:type="dxa"/>
              <w:left w:w="43" w:type="dxa"/>
              <w:bottom w:w="43" w:type="dxa"/>
              <w:right w:w="123" w:type="dxa"/>
            </w:tcMar>
          </w:tcPr>
          <w:p w14:paraId="499B05CE"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B3A7CA3" w14:textId="77777777" w:rsidR="000A2A2B" w:rsidRPr="007C3060" w:rsidRDefault="000A2A2B" w:rsidP="007C3060">
            <w:r w:rsidRPr="007C3060">
              <w:t>70</w:t>
            </w:r>
          </w:p>
        </w:tc>
        <w:tc>
          <w:tcPr>
            <w:tcW w:w="5040" w:type="dxa"/>
            <w:tcBorders>
              <w:top w:val="nil"/>
              <w:left w:val="nil"/>
              <w:bottom w:val="nil"/>
              <w:right w:val="nil"/>
            </w:tcBorders>
            <w:tcMar>
              <w:top w:w="128" w:type="dxa"/>
              <w:left w:w="43" w:type="dxa"/>
              <w:bottom w:w="43" w:type="dxa"/>
              <w:right w:w="43" w:type="dxa"/>
            </w:tcMar>
            <w:vAlign w:val="bottom"/>
          </w:tcPr>
          <w:p w14:paraId="6DCC5A05" w14:textId="77777777" w:rsidR="000A2A2B" w:rsidRPr="007C3060" w:rsidRDefault="000A2A2B" w:rsidP="007C3060">
            <w:r w:rsidRPr="007C3060">
              <w:t>Trinnskatt og formuesskatt mv., nedsettes med</w:t>
            </w:r>
          </w:p>
        </w:tc>
        <w:tc>
          <w:tcPr>
            <w:tcW w:w="1580" w:type="dxa"/>
            <w:tcBorders>
              <w:top w:val="nil"/>
              <w:left w:val="nil"/>
              <w:bottom w:val="nil"/>
              <w:right w:val="nil"/>
            </w:tcBorders>
            <w:tcMar>
              <w:top w:w="128" w:type="dxa"/>
              <w:left w:w="43" w:type="dxa"/>
              <w:bottom w:w="43" w:type="dxa"/>
              <w:right w:w="43" w:type="dxa"/>
            </w:tcMar>
            <w:vAlign w:val="bottom"/>
          </w:tcPr>
          <w:p w14:paraId="53A665B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19990C6" w14:textId="77777777" w:rsidR="000A2A2B" w:rsidRPr="007C3060" w:rsidRDefault="000A2A2B" w:rsidP="007C3060">
            <w:r w:rsidRPr="007C3060">
              <w:t>50 000 000</w:t>
            </w:r>
          </w:p>
        </w:tc>
      </w:tr>
      <w:tr w:rsidR="004B729E" w:rsidRPr="007C3060" w14:paraId="6ED9DEE3" w14:textId="77777777">
        <w:trPr>
          <w:trHeight w:val="380"/>
        </w:trPr>
        <w:tc>
          <w:tcPr>
            <w:tcW w:w="680" w:type="dxa"/>
            <w:tcBorders>
              <w:top w:val="nil"/>
              <w:left w:val="nil"/>
              <w:bottom w:val="nil"/>
              <w:right w:val="nil"/>
            </w:tcBorders>
            <w:tcMar>
              <w:top w:w="128" w:type="dxa"/>
              <w:left w:w="43" w:type="dxa"/>
              <w:bottom w:w="43" w:type="dxa"/>
              <w:right w:w="123" w:type="dxa"/>
            </w:tcMar>
          </w:tcPr>
          <w:p w14:paraId="09036657"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279BF8A"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3B60A37" w14:textId="77777777" w:rsidR="000A2A2B" w:rsidRPr="007C3060" w:rsidRDefault="000A2A2B" w:rsidP="007C3060">
            <w:r w:rsidRPr="007C3060">
              <w:t>fra kr 136 080 500 000 til kr 136 030 500 000</w:t>
            </w:r>
          </w:p>
        </w:tc>
        <w:tc>
          <w:tcPr>
            <w:tcW w:w="1580" w:type="dxa"/>
            <w:tcBorders>
              <w:top w:val="nil"/>
              <w:left w:val="nil"/>
              <w:bottom w:val="nil"/>
              <w:right w:val="nil"/>
            </w:tcBorders>
            <w:tcMar>
              <w:top w:w="128" w:type="dxa"/>
              <w:left w:w="43" w:type="dxa"/>
              <w:bottom w:w="43" w:type="dxa"/>
              <w:right w:w="43" w:type="dxa"/>
            </w:tcMar>
            <w:vAlign w:val="bottom"/>
          </w:tcPr>
          <w:p w14:paraId="29B2CE34"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B9D5BDC" w14:textId="77777777" w:rsidR="000A2A2B" w:rsidRPr="007C3060" w:rsidRDefault="000A2A2B" w:rsidP="007C3060"/>
        </w:tc>
      </w:tr>
      <w:tr w:rsidR="004B729E" w:rsidRPr="007C3060" w14:paraId="36FA0513" w14:textId="77777777">
        <w:trPr>
          <w:trHeight w:val="380"/>
        </w:trPr>
        <w:tc>
          <w:tcPr>
            <w:tcW w:w="680" w:type="dxa"/>
            <w:tcBorders>
              <w:top w:val="nil"/>
              <w:left w:val="nil"/>
              <w:bottom w:val="nil"/>
              <w:right w:val="nil"/>
            </w:tcBorders>
            <w:tcMar>
              <w:top w:w="128" w:type="dxa"/>
              <w:left w:w="43" w:type="dxa"/>
              <w:bottom w:w="43" w:type="dxa"/>
              <w:right w:w="123" w:type="dxa"/>
            </w:tcMar>
          </w:tcPr>
          <w:p w14:paraId="37488DB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572A5C9" w14:textId="77777777" w:rsidR="000A2A2B" w:rsidRPr="007C3060" w:rsidRDefault="000A2A2B" w:rsidP="007C3060">
            <w:r w:rsidRPr="007C3060">
              <w:t>72</w:t>
            </w:r>
          </w:p>
        </w:tc>
        <w:tc>
          <w:tcPr>
            <w:tcW w:w="6620" w:type="dxa"/>
            <w:gridSpan w:val="2"/>
            <w:tcBorders>
              <w:top w:val="nil"/>
              <w:left w:val="nil"/>
              <w:bottom w:val="nil"/>
              <w:right w:val="nil"/>
            </w:tcBorders>
            <w:tcMar>
              <w:top w:w="128" w:type="dxa"/>
              <w:left w:w="43" w:type="dxa"/>
              <w:bottom w:w="43" w:type="dxa"/>
              <w:right w:w="43" w:type="dxa"/>
            </w:tcMar>
            <w:vAlign w:val="bottom"/>
          </w:tcPr>
          <w:p w14:paraId="4A4F0236" w14:textId="77777777" w:rsidR="000A2A2B" w:rsidRPr="007C3060" w:rsidRDefault="000A2A2B" w:rsidP="007C3060">
            <w:r w:rsidRPr="007C3060">
              <w:t>Fellesskatt mv. fra personlige skattytere, nedsettes med</w:t>
            </w:r>
          </w:p>
        </w:tc>
        <w:tc>
          <w:tcPr>
            <w:tcW w:w="1580" w:type="dxa"/>
            <w:tcBorders>
              <w:top w:val="nil"/>
              <w:left w:val="nil"/>
              <w:bottom w:val="nil"/>
              <w:right w:val="nil"/>
            </w:tcBorders>
            <w:tcMar>
              <w:top w:w="128" w:type="dxa"/>
              <w:left w:w="43" w:type="dxa"/>
              <w:bottom w:w="43" w:type="dxa"/>
              <w:right w:w="43" w:type="dxa"/>
            </w:tcMar>
            <w:vAlign w:val="bottom"/>
          </w:tcPr>
          <w:p w14:paraId="5414A490" w14:textId="77777777" w:rsidR="000A2A2B" w:rsidRPr="007C3060" w:rsidRDefault="000A2A2B" w:rsidP="007C3060">
            <w:r w:rsidRPr="007C3060">
              <w:t>100 000 000</w:t>
            </w:r>
          </w:p>
        </w:tc>
      </w:tr>
      <w:tr w:rsidR="004B729E" w:rsidRPr="007C3060" w14:paraId="1E693415" w14:textId="77777777">
        <w:trPr>
          <w:trHeight w:val="380"/>
        </w:trPr>
        <w:tc>
          <w:tcPr>
            <w:tcW w:w="680" w:type="dxa"/>
            <w:tcBorders>
              <w:top w:val="nil"/>
              <w:left w:val="nil"/>
              <w:bottom w:val="nil"/>
              <w:right w:val="nil"/>
            </w:tcBorders>
            <w:tcMar>
              <w:top w:w="128" w:type="dxa"/>
              <w:left w:w="43" w:type="dxa"/>
              <w:bottom w:w="43" w:type="dxa"/>
              <w:right w:w="123" w:type="dxa"/>
            </w:tcMar>
          </w:tcPr>
          <w:p w14:paraId="30A17ECC"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E8A2A3B"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582F645" w14:textId="77777777" w:rsidR="000A2A2B" w:rsidRPr="007C3060" w:rsidRDefault="000A2A2B" w:rsidP="007C3060">
            <w:r w:rsidRPr="007C3060">
              <w:t>fra kr 151 372 500 000 til kr 151 272 500 000</w:t>
            </w:r>
          </w:p>
        </w:tc>
        <w:tc>
          <w:tcPr>
            <w:tcW w:w="1580" w:type="dxa"/>
            <w:tcBorders>
              <w:top w:val="nil"/>
              <w:left w:val="nil"/>
              <w:bottom w:val="nil"/>
              <w:right w:val="nil"/>
            </w:tcBorders>
            <w:tcMar>
              <w:top w:w="128" w:type="dxa"/>
              <w:left w:w="43" w:type="dxa"/>
              <w:bottom w:w="43" w:type="dxa"/>
              <w:right w:w="43" w:type="dxa"/>
            </w:tcMar>
            <w:vAlign w:val="bottom"/>
          </w:tcPr>
          <w:p w14:paraId="1C2E90EE"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17AC876" w14:textId="77777777" w:rsidR="000A2A2B" w:rsidRPr="007C3060" w:rsidRDefault="000A2A2B" w:rsidP="007C3060"/>
        </w:tc>
      </w:tr>
      <w:tr w:rsidR="004B729E" w:rsidRPr="007C3060" w14:paraId="485AA0DF" w14:textId="77777777">
        <w:trPr>
          <w:trHeight w:val="380"/>
        </w:trPr>
        <w:tc>
          <w:tcPr>
            <w:tcW w:w="680" w:type="dxa"/>
            <w:tcBorders>
              <w:top w:val="nil"/>
              <w:left w:val="nil"/>
              <w:bottom w:val="nil"/>
              <w:right w:val="nil"/>
            </w:tcBorders>
            <w:tcMar>
              <w:top w:w="128" w:type="dxa"/>
              <w:left w:w="43" w:type="dxa"/>
              <w:bottom w:w="43" w:type="dxa"/>
              <w:right w:w="123" w:type="dxa"/>
            </w:tcMar>
          </w:tcPr>
          <w:p w14:paraId="44FFBB9B" w14:textId="77777777" w:rsidR="000A2A2B" w:rsidRPr="007C3060" w:rsidRDefault="000A2A2B" w:rsidP="007C3060">
            <w:r w:rsidRPr="007C3060">
              <w:t>5521</w:t>
            </w:r>
          </w:p>
        </w:tc>
        <w:tc>
          <w:tcPr>
            <w:tcW w:w="680" w:type="dxa"/>
            <w:tcBorders>
              <w:top w:val="nil"/>
              <w:left w:val="nil"/>
              <w:bottom w:val="nil"/>
              <w:right w:val="nil"/>
            </w:tcBorders>
            <w:tcMar>
              <w:top w:w="128" w:type="dxa"/>
              <w:left w:w="43" w:type="dxa"/>
              <w:bottom w:w="43" w:type="dxa"/>
              <w:right w:w="123" w:type="dxa"/>
            </w:tcMar>
            <w:vAlign w:val="bottom"/>
          </w:tcPr>
          <w:p w14:paraId="21CD0912"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1E1B042" w14:textId="77777777" w:rsidR="000A2A2B" w:rsidRPr="007C3060" w:rsidRDefault="000A2A2B" w:rsidP="007C3060">
            <w:r w:rsidRPr="007C3060">
              <w:t>Merverdiavgift:</w:t>
            </w:r>
          </w:p>
        </w:tc>
        <w:tc>
          <w:tcPr>
            <w:tcW w:w="1580" w:type="dxa"/>
            <w:tcBorders>
              <w:top w:val="nil"/>
              <w:left w:val="nil"/>
              <w:bottom w:val="nil"/>
              <w:right w:val="nil"/>
            </w:tcBorders>
            <w:tcMar>
              <w:top w:w="128" w:type="dxa"/>
              <w:left w:w="43" w:type="dxa"/>
              <w:bottom w:w="43" w:type="dxa"/>
              <w:right w:w="43" w:type="dxa"/>
            </w:tcMar>
            <w:vAlign w:val="bottom"/>
          </w:tcPr>
          <w:p w14:paraId="5A33C112"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E82BB5D" w14:textId="77777777" w:rsidR="000A2A2B" w:rsidRPr="007C3060" w:rsidRDefault="000A2A2B" w:rsidP="007C3060"/>
        </w:tc>
      </w:tr>
      <w:tr w:rsidR="004B729E" w:rsidRPr="007C3060" w14:paraId="636588CC" w14:textId="77777777">
        <w:trPr>
          <w:trHeight w:val="380"/>
        </w:trPr>
        <w:tc>
          <w:tcPr>
            <w:tcW w:w="680" w:type="dxa"/>
            <w:tcBorders>
              <w:top w:val="nil"/>
              <w:left w:val="nil"/>
              <w:bottom w:val="nil"/>
              <w:right w:val="nil"/>
            </w:tcBorders>
            <w:tcMar>
              <w:top w:w="128" w:type="dxa"/>
              <w:left w:w="43" w:type="dxa"/>
              <w:bottom w:w="43" w:type="dxa"/>
              <w:right w:w="123" w:type="dxa"/>
            </w:tcMar>
          </w:tcPr>
          <w:p w14:paraId="57DA6CC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18C8328" w14:textId="77777777" w:rsidR="000A2A2B" w:rsidRPr="007C3060" w:rsidRDefault="000A2A2B" w:rsidP="007C3060">
            <w:r w:rsidRPr="007C3060">
              <w:t>70</w:t>
            </w:r>
          </w:p>
        </w:tc>
        <w:tc>
          <w:tcPr>
            <w:tcW w:w="5040" w:type="dxa"/>
            <w:tcBorders>
              <w:top w:val="nil"/>
              <w:left w:val="nil"/>
              <w:bottom w:val="nil"/>
              <w:right w:val="nil"/>
            </w:tcBorders>
            <w:tcMar>
              <w:top w:w="128" w:type="dxa"/>
              <w:left w:w="43" w:type="dxa"/>
              <w:bottom w:w="43" w:type="dxa"/>
              <w:right w:w="43" w:type="dxa"/>
            </w:tcMar>
            <w:vAlign w:val="bottom"/>
          </w:tcPr>
          <w:p w14:paraId="36908673" w14:textId="77777777" w:rsidR="000A2A2B" w:rsidRPr="007C3060" w:rsidRDefault="000A2A2B" w:rsidP="007C3060">
            <w:r w:rsidRPr="007C3060">
              <w:t>Merverdiavgift, forhøyes med</w:t>
            </w:r>
          </w:p>
        </w:tc>
        <w:tc>
          <w:tcPr>
            <w:tcW w:w="1580" w:type="dxa"/>
            <w:tcBorders>
              <w:top w:val="nil"/>
              <w:left w:val="nil"/>
              <w:bottom w:val="nil"/>
              <w:right w:val="nil"/>
            </w:tcBorders>
            <w:tcMar>
              <w:top w:w="128" w:type="dxa"/>
              <w:left w:w="43" w:type="dxa"/>
              <w:bottom w:w="43" w:type="dxa"/>
              <w:right w:w="43" w:type="dxa"/>
            </w:tcMar>
            <w:vAlign w:val="bottom"/>
          </w:tcPr>
          <w:p w14:paraId="6182B96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F1067A8" w14:textId="77777777" w:rsidR="000A2A2B" w:rsidRPr="007C3060" w:rsidRDefault="000A2A2B" w:rsidP="007C3060">
            <w:r w:rsidRPr="007C3060">
              <w:t>670 000 000</w:t>
            </w:r>
          </w:p>
        </w:tc>
      </w:tr>
      <w:tr w:rsidR="004B729E" w:rsidRPr="007C3060" w14:paraId="114F4932" w14:textId="77777777">
        <w:trPr>
          <w:trHeight w:val="380"/>
        </w:trPr>
        <w:tc>
          <w:tcPr>
            <w:tcW w:w="680" w:type="dxa"/>
            <w:tcBorders>
              <w:top w:val="nil"/>
              <w:left w:val="nil"/>
              <w:bottom w:val="nil"/>
              <w:right w:val="nil"/>
            </w:tcBorders>
            <w:tcMar>
              <w:top w:w="128" w:type="dxa"/>
              <w:left w:w="43" w:type="dxa"/>
              <w:bottom w:w="43" w:type="dxa"/>
              <w:right w:w="123" w:type="dxa"/>
            </w:tcMar>
          </w:tcPr>
          <w:p w14:paraId="493DE22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61B0A60"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3669F4E5" w14:textId="77777777" w:rsidR="000A2A2B" w:rsidRPr="007C3060" w:rsidRDefault="000A2A2B" w:rsidP="007C3060">
            <w:r w:rsidRPr="007C3060">
              <w:t>fra kr 409 258 000 000 til kr 409 928 000 000</w:t>
            </w:r>
          </w:p>
        </w:tc>
        <w:tc>
          <w:tcPr>
            <w:tcW w:w="1580" w:type="dxa"/>
            <w:tcBorders>
              <w:top w:val="nil"/>
              <w:left w:val="nil"/>
              <w:bottom w:val="nil"/>
              <w:right w:val="nil"/>
            </w:tcBorders>
            <w:tcMar>
              <w:top w:w="128" w:type="dxa"/>
              <w:left w:w="43" w:type="dxa"/>
              <w:bottom w:w="43" w:type="dxa"/>
              <w:right w:w="43" w:type="dxa"/>
            </w:tcMar>
            <w:vAlign w:val="bottom"/>
          </w:tcPr>
          <w:p w14:paraId="19E4BDE0"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754F531" w14:textId="77777777" w:rsidR="000A2A2B" w:rsidRPr="007C3060" w:rsidRDefault="000A2A2B" w:rsidP="007C3060"/>
        </w:tc>
      </w:tr>
      <w:tr w:rsidR="004B729E" w:rsidRPr="007C3060" w14:paraId="6C4E28D3" w14:textId="77777777">
        <w:trPr>
          <w:trHeight w:val="380"/>
        </w:trPr>
        <w:tc>
          <w:tcPr>
            <w:tcW w:w="680" w:type="dxa"/>
            <w:tcBorders>
              <w:top w:val="nil"/>
              <w:left w:val="nil"/>
              <w:bottom w:val="nil"/>
              <w:right w:val="nil"/>
            </w:tcBorders>
            <w:tcMar>
              <w:top w:w="128" w:type="dxa"/>
              <w:left w:w="43" w:type="dxa"/>
              <w:bottom w:w="43" w:type="dxa"/>
              <w:right w:w="123" w:type="dxa"/>
            </w:tcMar>
          </w:tcPr>
          <w:p w14:paraId="29B7C853" w14:textId="77777777" w:rsidR="000A2A2B" w:rsidRPr="007C3060" w:rsidRDefault="000A2A2B" w:rsidP="007C3060">
            <w:r w:rsidRPr="007C3060">
              <w:t>5541</w:t>
            </w:r>
          </w:p>
        </w:tc>
        <w:tc>
          <w:tcPr>
            <w:tcW w:w="680" w:type="dxa"/>
            <w:tcBorders>
              <w:top w:val="nil"/>
              <w:left w:val="nil"/>
              <w:bottom w:val="nil"/>
              <w:right w:val="nil"/>
            </w:tcBorders>
            <w:tcMar>
              <w:top w:w="128" w:type="dxa"/>
              <w:left w:w="43" w:type="dxa"/>
              <w:bottom w:w="43" w:type="dxa"/>
              <w:right w:w="123" w:type="dxa"/>
            </w:tcMar>
            <w:vAlign w:val="bottom"/>
          </w:tcPr>
          <w:p w14:paraId="0A8CE4BC"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A2FA5D6" w14:textId="77777777" w:rsidR="000A2A2B" w:rsidRPr="007C3060" w:rsidRDefault="000A2A2B" w:rsidP="007C3060">
            <w:r w:rsidRPr="007C3060">
              <w:t>Avgift på elektrisk kraft:</w:t>
            </w:r>
          </w:p>
        </w:tc>
        <w:tc>
          <w:tcPr>
            <w:tcW w:w="1580" w:type="dxa"/>
            <w:tcBorders>
              <w:top w:val="nil"/>
              <w:left w:val="nil"/>
              <w:bottom w:val="nil"/>
              <w:right w:val="nil"/>
            </w:tcBorders>
            <w:tcMar>
              <w:top w:w="128" w:type="dxa"/>
              <w:left w:w="43" w:type="dxa"/>
              <w:bottom w:w="43" w:type="dxa"/>
              <w:right w:w="43" w:type="dxa"/>
            </w:tcMar>
            <w:vAlign w:val="bottom"/>
          </w:tcPr>
          <w:p w14:paraId="70F9DCA7"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C92F1AC" w14:textId="77777777" w:rsidR="000A2A2B" w:rsidRPr="007C3060" w:rsidRDefault="000A2A2B" w:rsidP="007C3060"/>
        </w:tc>
      </w:tr>
      <w:tr w:rsidR="004B729E" w:rsidRPr="007C3060" w14:paraId="28CC965D" w14:textId="77777777">
        <w:trPr>
          <w:trHeight w:val="380"/>
        </w:trPr>
        <w:tc>
          <w:tcPr>
            <w:tcW w:w="680" w:type="dxa"/>
            <w:tcBorders>
              <w:top w:val="nil"/>
              <w:left w:val="nil"/>
              <w:bottom w:val="nil"/>
              <w:right w:val="nil"/>
            </w:tcBorders>
            <w:tcMar>
              <w:top w:w="128" w:type="dxa"/>
              <w:left w:w="43" w:type="dxa"/>
              <w:bottom w:w="43" w:type="dxa"/>
              <w:right w:w="123" w:type="dxa"/>
            </w:tcMar>
          </w:tcPr>
          <w:p w14:paraId="0D812296"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E1898C1" w14:textId="77777777" w:rsidR="000A2A2B" w:rsidRPr="007C3060" w:rsidRDefault="000A2A2B" w:rsidP="007C3060">
            <w:r w:rsidRPr="007C3060">
              <w:t>70</w:t>
            </w:r>
          </w:p>
        </w:tc>
        <w:tc>
          <w:tcPr>
            <w:tcW w:w="5040" w:type="dxa"/>
            <w:tcBorders>
              <w:top w:val="nil"/>
              <w:left w:val="nil"/>
              <w:bottom w:val="nil"/>
              <w:right w:val="nil"/>
            </w:tcBorders>
            <w:tcMar>
              <w:top w:w="128" w:type="dxa"/>
              <w:left w:w="43" w:type="dxa"/>
              <w:bottom w:w="43" w:type="dxa"/>
              <w:right w:w="43" w:type="dxa"/>
            </w:tcMar>
            <w:vAlign w:val="bottom"/>
          </w:tcPr>
          <w:p w14:paraId="00A8E9CD" w14:textId="77777777" w:rsidR="000A2A2B" w:rsidRPr="007C3060" w:rsidRDefault="000A2A2B" w:rsidP="007C3060">
            <w:r w:rsidRPr="007C3060">
              <w:t>Avgift på elektrisk kraft, nedsettes med</w:t>
            </w:r>
          </w:p>
        </w:tc>
        <w:tc>
          <w:tcPr>
            <w:tcW w:w="1580" w:type="dxa"/>
            <w:tcBorders>
              <w:top w:val="nil"/>
              <w:left w:val="nil"/>
              <w:bottom w:val="nil"/>
              <w:right w:val="nil"/>
            </w:tcBorders>
            <w:tcMar>
              <w:top w:w="128" w:type="dxa"/>
              <w:left w:w="43" w:type="dxa"/>
              <w:bottom w:w="43" w:type="dxa"/>
              <w:right w:w="43" w:type="dxa"/>
            </w:tcMar>
            <w:vAlign w:val="bottom"/>
          </w:tcPr>
          <w:p w14:paraId="6B1E0E19"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B0FD0DD" w14:textId="77777777" w:rsidR="000A2A2B" w:rsidRPr="007C3060" w:rsidRDefault="000A2A2B" w:rsidP="007C3060">
            <w:r w:rsidRPr="007C3060">
              <w:t>732 500 000</w:t>
            </w:r>
          </w:p>
        </w:tc>
      </w:tr>
      <w:tr w:rsidR="004B729E" w:rsidRPr="007C3060" w14:paraId="30D8F35E" w14:textId="77777777">
        <w:trPr>
          <w:trHeight w:val="380"/>
        </w:trPr>
        <w:tc>
          <w:tcPr>
            <w:tcW w:w="680" w:type="dxa"/>
            <w:tcBorders>
              <w:top w:val="nil"/>
              <w:left w:val="nil"/>
              <w:bottom w:val="nil"/>
              <w:right w:val="nil"/>
            </w:tcBorders>
            <w:tcMar>
              <w:top w:w="128" w:type="dxa"/>
              <w:left w:w="43" w:type="dxa"/>
              <w:bottom w:w="43" w:type="dxa"/>
              <w:right w:w="123" w:type="dxa"/>
            </w:tcMar>
          </w:tcPr>
          <w:p w14:paraId="4BB12CCD"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7108518"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FCED4A3" w14:textId="77777777" w:rsidR="000A2A2B" w:rsidRPr="007C3060" w:rsidRDefault="000A2A2B" w:rsidP="007C3060">
            <w:r w:rsidRPr="007C3060">
              <w:t>fra kr 10 803 000 000 til kr 10 070 500 000</w:t>
            </w:r>
          </w:p>
        </w:tc>
        <w:tc>
          <w:tcPr>
            <w:tcW w:w="1580" w:type="dxa"/>
            <w:tcBorders>
              <w:top w:val="nil"/>
              <w:left w:val="nil"/>
              <w:bottom w:val="nil"/>
              <w:right w:val="nil"/>
            </w:tcBorders>
            <w:tcMar>
              <w:top w:w="128" w:type="dxa"/>
              <w:left w:w="43" w:type="dxa"/>
              <w:bottom w:w="43" w:type="dxa"/>
              <w:right w:w="43" w:type="dxa"/>
            </w:tcMar>
            <w:vAlign w:val="bottom"/>
          </w:tcPr>
          <w:p w14:paraId="3CC0792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EF3FA5F" w14:textId="77777777" w:rsidR="000A2A2B" w:rsidRPr="007C3060" w:rsidRDefault="000A2A2B" w:rsidP="007C3060"/>
        </w:tc>
      </w:tr>
      <w:tr w:rsidR="004B729E" w:rsidRPr="007C3060" w14:paraId="49772FBD" w14:textId="77777777">
        <w:trPr>
          <w:trHeight w:val="380"/>
        </w:trPr>
        <w:tc>
          <w:tcPr>
            <w:tcW w:w="680" w:type="dxa"/>
            <w:tcBorders>
              <w:top w:val="nil"/>
              <w:left w:val="nil"/>
              <w:bottom w:val="nil"/>
              <w:right w:val="nil"/>
            </w:tcBorders>
            <w:tcMar>
              <w:top w:w="128" w:type="dxa"/>
              <w:left w:w="43" w:type="dxa"/>
              <w:bottom w:w="43" w:type="dxa"/>
              <w:right w:w="123" w:type="dxa"/>
            </w:tcMar>
          </w:tcPr>
          <w:p w14:paraId="0DFD235C" w14:textId="77777777" w:rsidR="000A2A2B" w:rsidRPr="007C3060" w:rsidRDefault="000A2A2B" w:rsidP="007C3060">
            <w:r w:rsidRPr="007C3060">
              <w:t>5543</w:t>
            </w:r>
          </w:p>
        </w:tc>
        <w:tc>
          <w:tcPr>
            <w:tcW w:w="680" w:type="dxa"/>
            <w:tcBorders>
              <w:top w:val="nil"/>
              <w:left w:val="nil"/>
              <w:bottom w:val="nil"/>
              <w:right w:val="nil"/>
            </w:tcBorders>
            <w:tcMar>
              <w:top w:w="128" w:type="dxa"/>
              <w:left w:w="43" w:type="dxa"/>
              <w:bottom w:w="43" w:type="dxa"/>
              <w:right w:w="123" w:type="dxa"/>
            </w:tcMar>
            <w:vAlign w:val="bottom"/>
          </w:tcPr>
          <w:p w14:paraId="43423B77"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EF0232A" w14:textId="77777777" w:rsidR="000A2A2B" w:rsidRPr="007C3060" w:rsidRDefault="000A2A2B" w:rsidP="007C3060">
            <w:r w:rsidRPr="007C3060">
              <w:t>Miljøavgift på mineralske produkter mv.:</w:t>
            </w:r>
          </w:p>
        </w:tc>
        <w:tc>
          <w:tcPr>
            <w:tcW w:w="1580" w:type="dxa"/>
            <w:tcBorders>
              <w:top w:val="nil"/>
              <w:left w:val="nil"/>
              <w:bottom w:val="nil"/>
              <w:right w:val="nil"/>
            </w:tcBorders>
            <w:tcMar>
              <w:top w:w="128" w:type="dxa"/>
              <w:left w:w="43" w:type="dxa"/>
              <w:bottom w:w="43" w:type="dxa"/>
              <w:right w:w="43" w:type="dxa"/>
            </w:tcMar>
            <w:vAlign w:val="bottom"/>
          </w:tcPr>
          <w:p w14:paraId="3D81E16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AB19393" w14:textId="77777777" w:rsidR="000A2A2B" w:rsidRPr="007C3060" w:rsidRDefault="000A2A2B" w:rsidP="007C3060"/>
        </w:tc>
      </w:tr>
      <w:tr w:rsidR="004B729E" w:rsidRPr="007C3060" w14:paraId="0278A434" w14:textId="77777777">
        <w:trPr>
          <w:trHeight w:val="380"/>
        </w:trPr>
        <w:tc>
          <w:tcPr>
            <w:tcW w:w="680" w:type="dxa"/>
            <w:tcBorders>
              <w:top w:val="nil"/>
              <w:left w:val="nil"/>
              <w:bottom w:val="nil"/>
              <w:right w:val="nil"/>
            </w:tcBorders>
            <w:tcMar>
              <w:top w:w="128" w:type="dxa"/>
              <w:left w:w="43" w:type="dxa"/>
              <w:bottom w:w="43" w:type="dxa"/>
              <w:right w:w="123" w:type="dxa"/>
            </w:tcMar>
          </w:tcPr>
          <w:p w14:paraId="7C6F4E7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522C94E" w14:textId="77777777" w:rsidR="000A2A2B" w:rsidRPr="007C3060" w:rsidRDefault="000A2A2B" w:rsidP="007C3060">
            <w:r w:rsidRPr="007C3060">
              <w:t>70</w:t>
            </w:r>
          </w:p>
        </w:tc>
        <w:tc>
          <w:tcPr>
            <w:tcW w:w="5040" w:type="dxa"/>
            <w:tcBorders>
              <w:top w:val="nil"/>
              <w:left w:val="nil"/>
              <w:bottom w:val="nil"/>
              <w:right w:val="nil"/>
            </w:tcBorders>
            <w:tcMar>
              <w:top w:w="128" w:type="dxa"/>
              <w:left w:w="43" w:type="dxa"/>
              <w:bottom w:w="43" w:type="dxa"/>
              <w:right w:w="43" w:type="dxa"/>
            </w:tcMar>
            <w:vAlign w:val="bottom"/>
          </w:tcPr>
          <w:p w14:paraId="3291A2A8" w14:textId="77777777" w:rsidR="000A2A2B" w:rsidRPr="007C3060" w:rsidRDefault="000A2A2B" w:rsidP="007C3060">
            <w:r w:rsidRPr="007C3060">
              <w:t>CO</w:t>
            </w:r>
            <w:r w:rsidRPr="007C3060">
              <w:rPr>
                <w:rStyle w:val="skrift-senket"/>
              </w:rPr>
              <w:t>2</w:t>
            </w:r>
            <w:r w:rsidRPr="007C3060">
              <w:t>-avgift, nedsettes med</w:t>
            </w:r>
          </w:p>
        </w:tc>
        <w:tc>
          <w:tcPr>
            <w:tcW w:w="1580" w:type="dxa"/>
            <w:tcBorders>
              <w:top w:val="nil"/>
              <w:left w:val="nil"/>
              <w:bottom w:val="nil"/>
              <w:right w:val="nil"/>
            </w:tcBorders>
            <w:tcMar>
              <w:top w:w="128" w:type="dxa"/>
              <w:left w:w="43" w:type="dxa"/>
              <w:bottom w:w="43" w:type="dxa"/>
              <w:right w:w="43" w:type="dxa"/>
            </w:tcMar>
            <w:vAlign w:val="bottom"/>
          </w:tcPr>
          <w:p w14:paraId="1819E16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3E8BBC8" w14:textId="77777777" w:rsidR="000A2A2B" w:rsidRPr="007C3060" w:rsidRDefault="000A2A2B" w:rsidP="007C3060">
            <w:r w:rsidRPr="007C3060">
              <w:t>416 250 000</w:t>
            </w:r>
          </w:p>
        </w:tc>
      </w:tr>
      <w:tr w:rsidR="004B729E" w:rsidRPr="007C3060" w14:paraId="39A2CFA8" w14:textId="77777777">
        <w:trPr>
          <w:trHeight w:val="380"/>
        </w:trPr>
        <w:tc>
          <w:tcPr>
            <w:tcW w:w="680" w:type="dxa"/>
            <w:tcBorders>
              <w:top w:val="nil"/>
              <w:left w:val="nil"/>
              <w:bottom w:val="nil"/>
              <w:right w:val="nil"/>
            </w:tcBorders>
            <w:tcMar>
              <w:top w:w="128" w:type="dxa"/>
              <w:left w:w="43" w:type="dxa"/>
              <w:bottom w:w="43" w:type="dxa"/>
              <w:right w:w="123" w:type="dxa"/>
            </w:tcMar>
          </w:tcPr>
          <w:p w14:paraId="6940095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8B48157"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FD2D2CE" w14:textId="77777777" w:rsidR="000A2A2B" w:rsidRPr="007C3060" w:rsidRDefault="000A2A2B" w:rsidP="007C3060">
            <w:r w:rsidRPr="007C3060">
              <w:t>fra kr 18 437 000 000 til kr 18 020 750 000</w:t>
            </w:r>
          </w:p>
        </w:tc>
        <w:tc>
          <w:tcPr>
            <w:tcW w:w="1580" w:type="dxa"/>
            <w:tcBorders>
              <w:top w:val="nil"/>
              <w:left w:val="nil"/>
              <w:bottom w:val="nil"/>
              <w:right w:val="nil"/>
            </w:tcBorders>
            <w:tcMar>
              <w:top w:w="128" w:type="dxa"/>
              <w:left w:w="43" w:type="dxa"/>
              <w:bottom w:w="43" w:type="dxa"/>
              <w:right w:w="43" w:type="dxa"/>
            </w:tcMar>
            <w:vAlign w:val="bottom"/>
          </w:tcPr>
          <w:p w14:paraId="75EDE76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2D32798" w14:textId="77777777" w:rsidR="000A2A2B" w:rsidRPr="007C3060" w:rsidRDefault="000A2A2B" w:rsidP="007C3060"/>
        </w:tc>
      </w:tr>
      <w:tr w:rsidR="004B729E" w:rsidRPr="007C3060" w14:paraId="5B4C6E66" w14:textId="77777777">
        <w:trPr>
          <w:trHeight w:val="380"/>
        </w:trPr>
        <w:tc>
          <w:tcPr>
            <w:tcW w:w="680" w:type="dxa"/>
            <w:tcBorders>
              <w:top w:val="nil"/>
              <w:left w:val="nil"/>
              <w:bottom w:val="nil"/>
              <w:right w:val="nil"/>
            </w:tcBorders>
            <w:tcMar>
              <w:top w:w="128" w:type="dxa"/>
              <w:left w:w="43" w:type="dxa"/>
              <w:bottom w:w="43" w:type="dxa"/>
              <w:right w:w="123" w:type="dxa"/>
            </w:tcMar>
          </w:tcPr>
          <w:p w14:paraId="360526EA" w14:textId="77777777" w:rsidR="000A2A2B" w:rsidRPr="007C3060" w:rsidRDefault="000A2A2B" w:rsidP="007C3060">
            <w:r w:rsidRPr="007C3060">
              <w:t>5574</w:t>
            </w:r>
          </w:p>
        </w:tc>
        <w:tc>
          <w:tcPr>
            <w:tcW w:w="680" w:type="dxa"/>
            <w:tcBorders>
              <w:top w:val="nil"/>
              <w:left w:val="nil"/>
              <w:bottom w:val="nil"/>
              <w:right w:val="nil"/>
            </w:tcBorders>
            <w:tcMar>
              <w:top w:w="128" w:type="dxa"/>
              <w:left w:w="43" w:type="dxa"/>
              <w:bottom w:w="43" w:type="dxa"/>
              <w:right w:w="123" w:type="dxa"/>
            </w:tcMar>
            <w:vAlign w:val="bottom"/>
          </w:tcPr>
          <w:p w14:paraId="7EB2B266" w14:textId="77777777" w:rsidR="000A2A2B" w:rsidRPr="007C3060" w:rsidRDefault="000A2A2B" w:rsidP="007C3060"/>
        </w:tc>
        <w:tc>
          <w:tcPr>
            <w:tcW w:w="6620" w:type="dxa"/>
            <w:gridSpan w:val="2"/>
            <w:tcBorders>
              <w:top w:val="nil"/>
              <w:left w:val="nil"/>
              <w:bottom w:val="nil"/>
              <w:right w:val="nil"/>
            </w:tcBorders>
            <w:tcMar>
              <w:top w:w="128" w:type="dxa"/>
              <w:left w:w="43" w:type="dxa"/>
              <w:bottom w:w="43" w:type="dxa"/>
              <w:right w:w="43" w:type="dxa"/>
            </w:tcMar>
            <w:vAlign w:val="bottom"/>
          </w:tcPr>
          <w:p w14:paraId="2872F9A1" w14:textId="77777777" w:rsidR="000A2A2B" w:rsidRPr="007C3060" w:rsidRDefault="000A2A2B" w:rsidP="007C3060">
            <w:r w:rsidRPr="007C3060">
              <w:t>Sektoravgifter under Nærings- og fiskeridepartementet:</w:t>
            </w:r>
          </w:p>
        </w:tc>
        <w:tc>
          <w:tcPr>
            <w:tcW w:w="1580" w:type="dxa"/>
            <w:tcBorders>
              <w:top w:val="nil"/>
              <w:left w:val="nil"/>
              <w:bottom w:val="nil"/>
              <w:right w:val="nil"/>
            </w:tcBorders>
            <w:tcMar>
              <w:top w:w="128" w:type="dxa"/>
              <w:left w:w="43" w:type="dxa"/>
              <w:bottom w:w="43" w:type="dxa"/>
              <w:right w:w="43" w:type="dxa"/>
            </w:tcMar>
            <w:vAlign w:val="bottom"/>
          </w:tcPr>
          <w:p w14:paraId="5DDF51A7" w14:textId="77777777" w:rsidR="000A2A2B" w:rsidRPr="007C3060" w:rsidRDefault="000A2A2B" w:rsidP="007C3060"/>
        </w:tc>
      </w:tr>
      <w:tr w:rsidR="004B729E" w:rsidRPr="007C3060" w14:paraId="025FBDC0" w14:textId="77777777">
        <w:trPr>
          <w:trHeight w:val="380"/>
        </w:trPr>
        <w:tc>
          <w:tcPr>
            <w:tcW w:w="680" w:type="dxa"/>
            <w:tcBorders>
              <w:top w:val="nil"/>
              <w:left w:val="nil"/>
              <w:bottom w:val="nil"/>
              <w:right w:val="nil"/>
            </w:tcBorders>
            <w:tcMar>
              <w:top w:w="128" w:type="dxa"/>
              <w:left w:w="43" w:type="dxa"/>
              <w:bottom w:w="43" w:type="dxa"/>
              <w:right w:w="123" w:type="dxa"/>
            </w:tcMar>
          </w:tcPr>
          <w:p w14:paraId="1E342D2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2B3F7F2" w14:textId="77777777" w:rsidR="000A2A2B" w:rsidRPr="007C3060" w:rsidRDefault="000A2A2B" w:rsidP="007C3060">
            <w:r w:rsidRPr="007C3060">
              <w:t>74</w:t>
            </w:r>
          </w:p>
        </w:tc>
        <w:tc>
          <w:tcPr>
            <w:tcW w:w="5040" w:type="dxa"/>
            <w:tcBorders>
              <w:top w:val="nil"/>
              <w:left w:val="nil"/>
              <w:bottom w:val="nil"/>
              <w:right w:val="nil"/>
            </w:tcBorders>
            <w:tcMar>
              <w:top w:w="128" w:type="dxa"/>
              <w:left w:w="43" w:type="dxa"/>
              <w:bottom w:w="43" w:type="dxa"/>
              <w:right w:w="43" w:type="dxa"/>
            </w:tcMar>
            <w:vAlign w:val="bottom"/>
          </w:tcPr>
          <w:p w14:paraId="5D3BD827" w14:textId="77777777" w:rsidR="000A2A2B" w:rsidRPr="007C3060" w:rsidRDefault="000A2A2B" w:rsidP="007C3060">
            <w:r w:rsidRPr="007C3060">
              <w:t>Fiskeriforskningsavgift, forhøyes med</w:t>
            </w:r>
          </w:p>
        </w:tc>
        <w:tc>
          <w:tcPr>
            <w:tcW w:w="1580" w:type="dxa"/>
            <w:tcBorders>
              <w:top w:val="nil"/>
              <w:left w:val="nil"/>
              <w:bottom w:val="nil"/>
              <w:right w:val="nil"/>
            </w:tcBorders>
            <w:tcMar>
              <w:top w:w="128" w:type="dxa"/>
              <w:left w:w="43" w:type="dxa"/>
              <w:bottom w:w="43" w:type="dxa"/>
              <w:right w:w="43" w:type="dxa"/>
            </w:tcMar>
            <w:vAlign w:val="bottom"/>
          </w:tcPr>
          <w:p w14:paraId="5BE036D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3A3EA49" w14:textId="77777777" w:rsidR="000A2A2B" w:rsidRPr="007C3060" w:rsidRDefault="000A2A2B" w:rsidP="007C3060">
            <w:r w:rsidRPr="007C3060">
              <w:t>42 500 000</w:t>
            </w:r>
          </w:p>
        </w:tc>
      </w:tr>
      <w:tr w:rsidR="004B729E" w:rsidRPr="007C3060" w14:paraId="6CBD6D4E" w14:textId="77777777">
        <w:trPr>
          <w:trHeight w:val="380"/>
        </w:trPr>
        <w:tc>
          <w:tcPr>
            <w:tcW w:w="680" w:type="dxa"/>
            <w:tcBorders>
              <w:top w:val="nil"/>
              <w:left w:val="nil"/>
              <w:bottom w:val="nil"/>
              <w:right w:val="nil"/>
            </w:tcBorders>
            <w:tcMar>
              <w:top w:w="128" w:type="dxa"/>
              <w:left w:w="43" w:type="dxa"/>
              <w:bottom w:w="43" w:type="dxa"/>
              <w:right w:w="123" w:type="dxa"/>
            </w:tcMar>
          </w:tcPr>
          <w:p w14:paraId="2DFF305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1ED446F"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66718DC" w14:textId="77777777" w:rsidR="000A2A2B" w:rsidRPr="007C3060" w:rsidRDefault="000A2A2B" w:rsidP="007C3060">
            <w:r w:rsidRPr="007C3060">
              <w:t>fra kr 340 900 000 til kr 383 400 000</w:t>
            </w:r>
          </w:p>
        </w:tc>
        <w:tc>
          <w:tcPr>
            <w:tcW w:w="1580" w:type="dxa"/>
            <w:tcBorders>
              <w:top w:val="nil"/>
              <w:left w:val="nil"/>
              <w:bottom w:val="nil"/>
              <w:right w:val="nil"/>
            </w:tcBorders>
            <w:tcMar>
              <w:top w:w="128" w:type="dxa"/>
              <w:left w:w="43" w:type="dxa"/>
              <w:bottom w:w="43" w:type="dxa"/>
              <w:right w:w="43" w:type="dxa"/>
            </w:tcMar>
            <w:vAlign w:val="bottom"/>
          </w:tcPr>
          <w:p w14:paraId="6C31952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533BBEE" w14:textId="77777777" w:rsidR="000A2A2B" w:rsidRPr="007C3060" w:rsidRDefault="000A2A2B" w:rsidP="007C3060"/>
        </w:tc>
      </w:tr>
      <w:tr w:rsidR="004B729E" w:rsidRPr="007C3060" w14:paraId="11C87D26" w14:textId="77777777">
        <w:trPr>
          <w:trHeight w:val="380"/>
        </w:trPr>
        <w:tc>
          <w:tcPr>
            <w:tcW w:w="680" w:type="dxa"/>
            <w:tcBorders>
              <w:top w:val="nil"/>
              <w:left w:val="nil"/>
              <w:bottom w:val="nil"/>
              <w:right w:val="nil"/>
            </w:tcBorders>
            <w:tcMar>
              <w:top w:w="128" w:type="dxa"/>
              <w:left w:w="43" w:type="dxa"/>
              <w:bottom w:w="43" w:type="dxa"/>
              <w:right w:w="123" w:type="dxa"/>
            </w:tcMar>
          </w:tcPr>
          <w:p w14:paraId="3A172CFE"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625D63B" w14:textId="77777777" w:rsidR="000A2A2B" w:rsidRPr="007C3060" w:rsidRDefault="000A2A2B" w:rsidP="007C3060">
            <w:r w:rsidRPr="007C3060">
              <w:t>76</w:t>
            </w:r>
          </w:p>
        </w:tc>
        <w:tc>
          <w:tcPr>
            <w:tcW w:w="5040" w:type="dxa"/>
            <w:tcBorders>
              <w:top w:val="nil"/>
              <w:left w:val="nil"/>
              <w:bottom w:val="nil"/>
              <w:right w:val="nil"/>
            </w:tcBorders>
            <w:tcMar>
              <w:top w:w="128" w:type="dxa"/>
              <w:left w:w="43" w:type="dxa"/>
              <w:bottom w:w="43" w:type="dxa"/>
              <w:right w:w="43" w:type="dxa"/>
            </w:tcMar>
            <w:vAlign w:val="bottom"/>
          </w:tcPr>
          <w:p w14:paraId="149853A1" w14:textId="77777777" w:rsidR="000A2A2B" w:rsidRPr="007C3060" w:rsidRDefault="000A2A2B" w:rsidP="007C3060">
            <w:r w:rsidRPr="007C3060">
              <w:t>Kontrollavgift fiskeflåten, forhøyes med</w:t>
            </w:r>
          </w:p>
        </w:tc>
        <w:tc>
          <w:tcPr>
            <w:tcW w:w="1580" w:type="dxa"/>
            <w:tcBorders>
              <w:top w:val="nil"/>
              <w:left w:val="nil"/>
              <w:bottom w:val="nil"/>
              <w:right w:val="nil"/>
            </w:tcBorders>
            <w:tcMar>
              <w:top w:w="128" w:type="dxa"/>
              <w:left w:w="43" w:type="dxa"/>
              <w:bottom w:w="43" w:type="dxa"/>
              <w:right w:w="43" w:type="dxa"/>
            </w:tcMar>
            <w:vAlign w:val="bottom"/>
          </w:tcPr>
          <w:p w14:paraId="32CCF1D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B65F72D" w14:textId="77777777" w:rsidR="000A2A2B" w:rsidRPr="007C3060" w:rsidRDefault="000A2A2B" w:rsidP="007C3060">
            <w:r w:rsidRPr="007C3060">
              <w:t>5 600 000</w:t>
            </w:r>
          </w:p>
        </w:tc>
      </w:tr>
      <w:tr w:rsidR="004B729E" w:rsidRPr="007C3060" w14:paraId="17FB2B3B" w14:textId="77777777">
        <w:trPr>
          <w:trHeight w:val="380"/>
        </w:trPr>
        <w:tc>
          <w:tcPr>
            <w:tcW w:w="680" w:type="dxa"/>
            <w:tcBorders>
              <w:top w:val="nil"/>
              <w:left w:val="nil"/>
              <w:bottom w:val="nil"/>
              <w:right w:val="nil"/>
            </w:tcBorders>
            <w:tcMar>
              <w:top w:w="128" w:type="dxa"/>
              <w:left w:w="43" w:type="dxa"/>
              <w:bottom w:w="43" w:type="dxa"/>
              <w:right w:w="123" w:type="dxa"/>
            </w:tcMar>
          </w:tcPr>
          <w:p w14:paraId="5375E1C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C62D033"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5DA36FB" w14:textId="77777777" w:rsidR="000A2A2B" w:rsidRPr="007C3060" w:rsidRDefault="000A2A2B" w:rsidP="007C3060">
            <w:r w:rsidRPr="007C3060">
              <w:t>fra kr 44 400 000 til kr 50 000 000</w:t>
            </w:r>
          </w:p>
        </w:tc>
        <w:tc>
          <w:tcPr>
            <w:tcW w:w="1580" w:type="dxa"/>
            <w:tcBorders>
              <w:top w:val="nil"/>
              <w:left w:val="nil"/>
              <w:bottom w:val="nil"/>
              <w:right w:val="nil"/>
            </w:tcBorders>
            <w:tcMar>
              <w:top w:w="128" w:type="dxa"/>
              <w:left w:w="43" w:type="dxa"/>
              <w:bottom w:w="43" w:type="dxa"/>
              <w:right w:w="43" w:type="dxa"/>
            </w:tcMar>
            <w:vAlign w:val="bottom"/>
          </w:tcPr>
          <w:p w14:paraId="3F7BF7C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1DE4B4B" w14:textId="77777777" w:rsidR="000A2A2B" w:rsidRPr="007C3060" w:rsidRDefault="000A2A2B" w:rsidP="007C3060"/>
        </w:tc>
      </w:tr>
      <w:tr w:rsidR="004B729E" w:rsidRPr="007C3060" w14:paraId="7860F80B" w14:textId="77777777">
        <w:trPr>
          <w:trHeight w:val="380"/>
        </w:trPr>
        <w:tc>
          <w:tcPr>
            <w:tcW w:w="680" w:type="dxa"/>
            <w:tcBorders>
              <w:top w:val="nil"/>
              <w:left w:val="nil"/>
              <w:bottom w:val="nil"/>
              <w:right w:val="nil"/>
            </w:tcBorders>
            <w:tcMar>
              <w:top w:w="128" w:type="dxa"/>
              <w:left w:w="43" w:type="dxa"/>
              <w:bottom w:w="43" w:type="dxa"/>
              <w:right w:w="123" w:type="dxa"/>
            </w:tcMar>
          </w:tcPr>
          <w:p w14:paraId="19B625A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BCEC8AF" w14:textId="77777777" w:rsidR="000A2A2B" w:rsidRPr="007C3060" w:rsidRDefault="000A2A2B" w:rsidP="007C3060">
            <w:r w:rsidRPr="007C3060">
              <w:t>77</w:t>
            </w:r>
          </w:p>
        </w:tc>
        <w:tc>
          <w:tcPr>
            <w:tcW w:w="5040" w:type="dxa"/>
            <w:tcBorders>
              <w:top w:val="nil"/>
              <w:left w:val="nil"/>
              <w:bottom w:val="nil"/>
              <w:right w:val="nil"/>
            </w:tcBorders>
            <w:tcMar>
              <w:top w:w="128" w:type="dxa"/>
              <w:left w:w="43" w:type="dxa"/>
              <w:bottom w:w="43" w:type="dxa"/>
              <w:right w:w="43" w:type="dxa"/>
            </w:tcMar>
            <w:vAlign w:val="bottom"/>
          </w:tcPr>
          <w:p w14:paraId="46F5E60C" w14:textId="77777777" w:rsidR="000A2A2B" w:rsidRPr="007C3060" w:rsidRDefault="000A2A2B" w:rsidP="007C3060">
            <w:r w:rsidRPr="007C3060">
              <w:t>Sektoravgifter Kystverket, forhøyes med</w:t>
            </w:r>
          </w:p>
        </w:tc>
        <w:tc>
          <w:tcPr>
            <w:tcW w:w="1580" w:type="dxa"/>
            <w:tcBorders>
              <w:top w:val="nil"/>
              <w:left w:val="nil"/>
              <w:bottom w:val="nil"/>
              <w:right w:val="nil"/>
            </w:tcBorders>
            <w:tcMar>
              <w:top w:w="128" w:type="dxa"/>
              <w:left w:w="43" w:type="dxa"/>
              <w:bottom w:w="43" w:type="dxa"/>
              <w:right w:w="43" w:type="dxa"/>
            </w:tcMar>
            <w:vAlign w:val="bottom"/>
          </w:tcPr>
          <w:p w14:paraId="62873997"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8B950E2" w14:textId="77777777" w:rsidR="000A2A2B" w:rsidRPr="007C3060" w:rsidRDefault="000A2A2B" w:rsidP="007C3060">
            <w:r w:rsidRPr="007C3060">
              <w:t>155 700 000</w:t>
            </w:r>
          </w:p>
        </w:tc>
      </w:tr>
      <w:tr w:rsidR="004B729E" w:rsidRPr="007C3060" w14:paraId="75005C5D" w14:textId="77777777">
        <w:trPr>
          <w:trHeight w:val="380"/>
        </w:trPr>
        <w:tc>
          <w:tcPr>
            <w:tcW w:w="680" w:type="dxa"/>
            <w:tcBorders>
              <w:top w:val="nil"/>
              <w:left w:val="nil"/>
              <w:bottom w:val="nil"/>
              <w:right w:val="nil"/>
            </w:tcBorders>
            <w:tcMar>
              <w:top w:w="128" w:type="dxa"/>
              <w:left w:w="43" w:type="dxa"/>
              <w:bottom w:w="43" w:type="dxa"/>
              <w:right w:w="123" w:type="dxa"/>
            </w:tcMar>
          </w:tcPr>
          <w:p w14:paraId="3B18A745"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BD5E3D9"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792D73F" w14:textId="77777777" w:rsidR="000A2A2B" w:rsidRPr="007C3060" w:rsidRDefault="000A2A2B" w:rsidP="007C3060">
            <w:r w:rsidRPr="007C3060">
              <w:t>fra kr 1 061 771 000 til kr 1 217 471 000</w:t>
            </w:r>
          </w:p>
        </w:tc>
        <w:tc>
          <w:tcPr>
            <w:tcW w:w="1580" w:type="dxa"/>
            <w:tcBorders>
              <w:top w:val="nil"/>
              <w:left w:val="nil"/>
              <w:bottom w:val="nil"/>
              <w:right w:val="nil"/>
            </w:tcBorders>
            <w:tcMar>
              <w:top w:w="128" w:type="dxa"/>
              <w:left w:w="43" w:type="dxa"/>
              <w:bottom w:w="43" w:type="dxa"/>
              <w:right w:w="43" w:type="dxa"/>
            </w:tcMar>
            <w:vAlign w:val="bottom"/>
          </w:tcPr>
          <w:p w14:paraId="77585670"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2F8FCA1" w14:textId="77777777" w:rsidR="000A2A2B" w:rsidRPr="007C3060" w:rsidRDefault="000A2A2B" w:rsidP="007C3060"/>
        </w:tc>
      </w:tr>
      <w:tr w:rsidR="004B729E" w:rsidRPr="007C3060" w14:paraId="0F889E91" w14:textId="77777777">
        <w:trPr>
          <w:trHeight w:val="380"/>
        </w:trPr>
        <w:tc>
          <w:tcPr>
            <w:tcW w:w="680" w:type="dxa"/>
            <w:tcBorders>
              <w:top w:val="nil"/>
              <w:left w:val="nil"/>
              <w:bottom w:val="nil"/>
              <w:right w:val="nil"/>
            </w:tcBorders>
            <w:tcMar>
              <w:top w:w="128" w:type="dxa"/>
              <w:left w:w="43" w:type="dxa"/>
              <w:bottom w:w="43" w:type="dxa"/>
              <w:right w:w="123" w:type="dxa"/>
            </w:tcMar>
          </w:tcPr>
          <w:p w14:paraId="29E45E9D" w14:textId="77777777" w:rsidR="000A2A2B" w:rsidRPr="007C3060" w:rsidRDefault="000A2A2B" w:rsidP="007C3060">
            <w:r w:rsidRPr="007C3060">
              <w:t>5578</w:t>
            </w:r>
          </w:p>
        </w:tc>
        <w:tc>
          <w:tcPr>
            <w:tcW w:w="680" w:type="dxa"/>
            <w:tcBorders>
              <w:top w:val="nil"/>
              <w:left w:val="nil"/>
              <w:bottom w:val="nil"/>
              <w:right w:val="nil"/>
            </w:tcBorders>
            <w:tcMar>
              <w:top w:w="128" w:type="dxa"/>
              <w:left w:w="43" w:type="dxa"/>
              <w:bottom w:w="43" w:type="dxa"/>
              <w:right w:w="123" w:type="dxa"/>
            </w:tcMar>
            <w:vAlign w:val="bottom"/>
          </w:tcPr>
          <w:p w14:paraId="390E6635"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873C96E" w14:textId="77777777" w:rsidR="000A2A2B" w:rsidRPr="007C3060" w:rsidRDefault="000A2A2B" w:rsidP="007C3060">
            <w:r w:rsidRPr="007C3060">
              <w:t>Sektoravgifter under Klima- og miljødepartementet:</w:t>
            </w:r>
          </w:p>
        </w:tc>
        <w:tc>
          <w:tcPr>
            <w:tcW w:w="1580" w:type="dxa"/>
            <w:tcBorders>
              <w:top w:val="nil"/>
              <w:left w:val="nil"/>
              <w:bottom w:val="nil"/>
              <w:right w:val="nil"/>
            </w:tcBorders>
            <w:tcMar>
              <w:top w:w="128" w:type="dxa"/>
              <w:left w:w="43" w:type="dxa"/>
              <w:bottom w:w="43" w:type="dxa"/>
              <w:right w:w="43" w:type="dxa"/>
            </w:tcMar>
            <w:vAlign w:val="bottom"/>
          </w:tcPr>
          <w:p w14:paraId="0D037A6C"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97C45A5" w14:textId="77777777" w:rsidR="000A2A2B" w:rsidRPr="007C3060" w:rsidRDefault="000A2A2B" w:rsidP="007C3060"/>
        </w:tc>
      </w:tr>
      <w:tr w:rsidR="004B729E" w:rsidRPr="007C3060" w14:paraId="4DAD6F3E" w14:textId="77777777">
        <w:trPr>
          <w:trHeight w:val="380"/>
        </w:trPr>
        <w:tc>
          <w:tcPr>
            <w:tcW w:w="680" w:type="dxa"/>
            <w:tcBorders>
              <w:top w:val="nil"/>
              <w:left w:val="nil"/>
              <w:bottom w:val="nil"/>
              <w:right w:val="nil"/>
            </w:tcBorders>
            <w:tcMar>
              <w:top w:w="128" w:type="dxa"/>
              <w:left w:w="43" w:type="dxa"/>
              <w:bottom w:w="43" w:type="dxa"/>
              <w:right w:w="123" w:type="dxa"/>
            </w:tcMar>
          </w:tcPr>
          <w:p w14:paraId="0737C91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22940FC" w14:textId="77777777" w:rsidR="000A2A2B" w:rsidRPr="007C3060" w:rsidRDefault="000A2A2B" w:rsidP="007C3060">
            <w:r w:rsidRPr="007C3060">
              <w:t>72</w:t>
            </w:r>
          </w:p>
        </w:tc>
        <w:tc>
          <w:tcPr>
            <w:tcW w:w="5040" w:type="dxa"/>
            <w:tcBorders>
              <w:top w:val="nil"/>
              <w:left w:val="nil"/>
              <w:bottom w:val="nil"/>
              <w:right w:val="nil"/>
            </w:tcBorders>
            <w:tcMar>
              <w:top w:w="128" w:type="dxa"/>
              <w:left w:w="43" w:type="dxa"/>
              <w:bottom w:w="43" w:type="dxa"/>
              <w:right w:w="43" w:type="dxa"/>
            </w:tcMar>
            <w:vAlign w:val="bottom"/>
          </w:tcPr>
          <w:p w14:paraId="03AEB2AE" w14:textId="77777777" w:rsidR="000A2A2B" w:rsidRPr="007C3060" w:rsidRDefault="000A2A2B" w:rsidP="007C3060">
            <w:proofErr w:type="spellStart"/>
            <w:r w:rsidRPr="007C3060">
              <w:t>Fiskeravgifter</w:t>
            </w:r>
            <w:proofErr w:type="spellEnd"/>
            <w:r w:rsidRPr="007C3060">
              <w:t>, nedsettes med</w:t>
            </w:r>
          </w:p>
        </w:tc>
        <w:tc>
          <w:tcPr>
            <w:tcW w:w="1580" w:type="dxa"/>
            <w:tcBorders>
              <w:top w:val="nil"/>
              <w:left w:val="nil"/>
              <w:bottom w:val="nil"/>
              <w:right w:val="nil"/>
            </w:tcBorders>
            <w:tcMar>
              <w:top w:w="128" w:type="dxa"/>
              <w:left w:w="43" w:type="dxa"/>
              <w:bottom w:w="43" w:type="dxa"/>
              <w:right w:w="43" w:type="dxa"/>
            </w:tcMar>
            <w:vAlign w:val="bottom"/>
          </w:tcPr>
          <w:p w14:paraId="60097A5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6A7C7EB" w14:textId="77777777" w:rsidR="000A2A2B" w:rsidRPr="007C3060" w:rsidRDefault="000A2A2B" w:rsidP="007C3060">
            <w:r w:rsidRPr="007C3060">
              <w:t>2 374 000</w:t>
            </w:r>
          </w:p>
        </w:tc>
      </w:tr>
      <w:tr w:rsidR="004B729E" w:rsidRPr="007C3060" w14:paraId="2B5190C1" w14:textId="77777777">
        <w:trPr>
          <w:trHeight w:val="380"/>
        </w:trPr>
        <w:tc>
          <w:tcPr>
            <w:tcW w:w="680" w:type="dxa"/>
            <w:tcBorders>
              <w:top w:val="nil"/>
              <w:left w:val="nil"/>
              <w:bottom w:val="nil"/>
              <w:right w:val="nil"/>
            </w:tcBorders>
            <w:tcMar>
              <w:top w:w="128" w:type="dxa"/>
              <w:left w:w="43" w:type="dxa"/>
              <w:bottom w:w="43" w:type="dxa"/>
              <w:right w:w="123" w:type="dxa"/>
            </w:tcMar>
          </w:tcPr>
          <w:p w14:paraId="11917472"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42CE181"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8D3CC29" w14:textId="77777777" w:rsidR="000A2A2B" w:rsidRPr="007C3060" w:rsidRDefault="000A2A2B" w:rsidP="007C3060">
            <w:r w:rsidRPr="007C3060">
              <w:t>fra kr 19 074 000 til kr 16 700 000</w:t>
            </w:r>
          </w:p>
        </w:tc>
        <w:tc>
          <w:tcPr>
            <w:tcW w:w="1580" w:type="dxa"/>
            <w:tcBorders>
              <w:top w:val="nil"/>
              <w:left w:val="nil"/>
              <w:bottom w:val="nil"/>
              <w:right w:val="nil"/>
            </w:tcBorders>
            <w:tcMar>
              <w:top w:w="128" w:type="dxa"/>
              <w:left w:w="43" w:type="dxa"/>
              <w:bottom w:w="43" w:type="dxa"/>
              <w:right w:w="43" w:type="dxa"/>
            </w:tcMar>
            <w:vAlign w:val="bottom"/>
          </w:tcPr>
          <w:p w14:paraId="104C008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EBC5D3B" w14:textId="77777777" w:rsidR="000A2A2B" w:rsidRPr="007C3060" w:rsidRDefault="000A2A2B" w:rsidP="007C3060"/>
        </w:tc>
      </w:tr>
      <w:tr w:rsidR="004B729E" w:rsidRPr="007C3060" w14:paraId="281C57A0" w14:textId="77777777">
        <w:trPr>
          <w:trHeight w:val="380"/>
        </w:trPr>
        <w:tc>
          <w:tcPr>
            <w:tcW w:w="680" w:type="dxa"/>
            <w:tcBorders>
              <w:top w:val="nil"/>
              <w:left w:val="nil"/>
              <w:bottom w:val="nil"/>
              <w:right w:val="nil"/>
            </w:tcBorders>
            <w:tcMar>
              <w:top w:w="128" w:type="dxa"/>
              <w:left w:w="43" w:type="dxa"/>
              <w:bottom w:w="43" w:type="dxa"/>
              <w:right w:w="123" w:type="dxa"/>
            </w:tcMar>
          </w:tcPr>
          <w:p w14:paraId="732AFA4D" w14:textId="77777777" w:rsidR="000A2A2B" w:rsidRPr="007C3060" w:rsidRDefault="000A2A2B" w:rsidP="007C3060">
            <w:r w:rsidRPr="007C3060">
              <w:t>5580</w:t>
            </w:r>
          </w:p>
        </w:tc>
        <w:tc>
          <w:tcPr>
            <w:tcW w:w="680" w:type="dxa"/>
            <w:tcBorders>
              <w:top w:val="nil"/>
              <w:left w:val="nil"/>
              <w:bottom w:val="nil"/>
              <w:right w:val="nil"/>
            </w:tcBorders>
            <w:tcMar>
              <w:top w:w="128" w:type="dxa"/>
              <w:left w:w="43" w:type="dxa"/>
              <w:bottom w:w="43" w:type="dxa"/>
              <w:right w:w="123" w:type="dxa"/>
            </w:tcMar>
            <w:vAlign w:val="bottom"/>
          </w:tcPr>
          <w:p w14:paraId="52D15308"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36B4BDF" w14:textId="77777777" w:rsidR="000A2A2B" w:rsidRPr="007C3060" w:rsidRDefault="000A2A2B" w:rsidP="007C3060">
            <w:r w:rsidRPr="007C3060">
              <w:t>Sektoravgifter under Finansdepartementet:</w:t>
            </w:r>
          </w:p>
        </w:tc>
        <w:tc>
          <w:tcPr>
            <w:tcW w:w="1580" w:type="dxa"/>
            <w:tcBorders>
              <w:top w:val="nil"/>
              <w:left w:val="nil"/>
              <w:bottom w:val="nil"/>
              <w:right w:val="nil"/>
            </w:tcBorders>
            <w:tcMar>
              <w:top w:w="128" w:type="dxa"/>
              <w:left w:w="43" w:type="dxa"/>
              <w:bottom w:w="43" w:type="dxa"/>
              <w:right w:w="43" w:type="dxa"/>
            </w:tcMar>
            <w:vAlign w:val="bottom"/>
          </w:tcPr>
          <w:p w14:paraId="064A8E6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54661A1" w14:textId="77777777" w:rsidR="000A2A2B" w:rsidRPr="007C3060" w:rsidRDefault="000A2A2B" w:rsidP="007C3060"/>
        </w:tc>
      </w:tr>
      <w:tr w:rsidR="004B729E" w:rsidRPr="007C3060" w14:paraId="18A13130" w14:textId="77777777">
        <w:trPr>
          <w:trHeight w:val="380"/>
        </w:trPr>
        <w:tc>
          <w:tcPr>
            <w:tcW w:w="680" w:type="dxa"/>
            <w:tcBorders>
              <w:top w:val="nil"/>
              <w:left w:val="nil"/>
              <w:bottom w:val="nil"/>
              <w:right w:val="nil"/>
            </w:tcBorders>
            <w:tcMar>
              <w:top w:w="128" w:type="dxa"/>
              <w:left w:w="43" w:type="dxa"/>
              <w:bottom w:w="43" w:type="dxa"/>
              <w:right w:w="123" w:type="dxa"/>
            </w:tcMar>
          </w:tcPr>
          <w:p w14:paraId="625A4B9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D130872" w14:textId="77777777" w:rsidR="000A2A2B" w:rsidRPr="007C3060" w:rsidRDefault="000A2A2B" w:rsidP="007C3060">
            <w:r w:rsidRPr="007C3060">
              <w:t>70</w:t>
            </w:r>
          </w:p>
        </w:tc>
        <w:tc>
          <w:tcPr>
            <w:tcW w:w="6620" w:type="dxa"/>
            <w:gridSpan w:val="2"/>
            <w:tcBorders>
              <w:top w:val="nil"/>
              <w:left w:val="nil"/>
              <w:bottom w:val="nil"/>
              <w:right w:val="nil"/>
            </w:tcBorders>
            <w:tcMar>
              <w:top w:w="128" w:type="dxa"/>
              <w:left w:w="43" w:type="dxa"/>
              <w:bottom w:w="43" w:type="dxa"/>
              <w:right w:w="43" w:type="dxa"/>
            </w:tcMar>
            <w:vAlign w:val="bottom"/>
          </w:tcPr>
          <w:p w14:paraId="1E37CB6B" w14:textId="77777777" w:rsidR="000A2A2B" w:rsidRPr="007C3060" w:rsidRDefault="000A2A2B" w:rsidP="007C3060">
            <w:r w:rsidRPr="007C3060">
              <w:t>Finanstilsynet, bidrag fra tilsynsenhetene, forhøyes med</w:t>
            </w:r>
          </w:p>
        </w:tc>
        <w:tc>
          <w:tcPr>
            <w:tcW w:w="1580" w:type="dxa"/>
            <w:tcBorders>
              <w:top w:val="nil"/>
              <w:left w:val="nil"/>
              <w:bottom w:val="nil"/>
              <w:right w:val="nil"/>
            </w:tcBorders>
            <w:tcMar>
              <w:top w:w="128" w:type="dxa"/>
              <w:left w:w="43" w:type="dxa"/>
              <w:bottom w:w="43" w:type="dxa"/>
              <w:right w:w="43" w:type="dxa"/>
            </w:tcMar>
            <w:vAlign w:val="bottom"/>
          </w:tcPr>
          <w:p w14:paraId="5D837EB8" w14:textId="77777777" w:rsidR="000A2A2B" w:rsidRPr="007C3060" w:rsidRDefault="000A2A2B" w:rsidP="007C3060">
            <w:r w:rsidRPr="007C3060">
              <w:t>10 071 000</w:t>
            </w:r>
          </w:p>
        </w:tc>
      </w:tr>
      <w:tr w:rsidR="004B729E" w:rsidRPr="007C3060" w14:paraId="3B577873" w14:textId="77777777">
        <w:trPr>
          <w:trHeight w:val="380"/>
        </w:trPr>
        <w:tc>
          <w:tcPr>
            <w:tcW w:w="680" w:type="dxa"/>
            <w:tcBorders>
              <w:top w:val="nil"/>
              <w:left w:val="nil"/>
              <w:bottom w:val="nil"/>
              <w:right w:val="nil"/>
            </w:tcBorders>
            <w:tcMar>
              <w:top w:w="128" w:type="dxa"/>
              <w:left w:w="43" w:type="dxa"/>
              <w:bottom w:w="43" w:type="dxa"/>
              <w:right w:w="123" w:type="dxa"/>
            </w:tcMar>
          </w:tcPr>
          <w:p w14:paraId="7AE8B7D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CE14576"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932AD09" w14:textId="77777777" w:rsidR="000A2A2B" w:rsidRPr="007C3060" w:rsidRDefault="000A2A2B" w:rsidP="007C3060">
            <w:r w:rsidRPr="007C3060">
              <w:t>fra kr 606 417 000 til kr 616 488 000</w:t>
            </w:r>
          </w:p>
        </w:tc>
        <w:tc>
          <w:tcPr>
            <w:tcW w:w="1580" w:type="dxa"/>
            <w:tcBorders>
              <w:top w:val="nil"/>
              <w:left w:val="nil"/>
              <w:bottom w:val="nil"/>
              <w:right w:val="nil"/>
            </w:tcBorders>
            <w:tcMar>
              <w:top w:w="128" w:type="dxa"/>
              <w:left w:w="43" w:type="dxa"/>
              <w:bottom w:w="43" w:type="dxa"/>
              <w:right w:w="43" w:type="dxa"/>
            </w:tcMar>
            <w:vAlign w:val="bottom"/>
          </w:tcPr>
          <w:p w14:paraId="28252510"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40B94C7" w14:textId="77777777" w:rsidR="000A2A2B" w:rsidRPr="007C3060" w:rsidRDefault="000A2A2B" w:rsidP="007C3060"/>
        </w:tc>
      </w:tr>
      <w:tr w:rsidR="004B729E" w:rsidRPr="007C3060" w14:paraId="411ABF19" w14:textId="77777777">
        <w:trPr>
          <w:trHeight w:val="380"/>
        </w:trPr>
        <w:tc>
          <w:tcPr>
            <w:tcW w:w="680" w:type="dxa"/>
            <w:tcBorders>
              <w:top w:val="nil"/>
              <w:left w:val="nil"/>
              <w:bottom w:val="nil"/>
              <w:right w:val="nil"/>
            </w:tcBorders>
            <w:tcMar>
              <w:top w:w="128" w:type="dxa"/>
              <w:left w:w="43" w:type="dxa"/>
              <w:bottom w:w="43" w:type="dxa"/>
              <w:right w:w="123" w:type="dxa"/>
            </w:tcMar>
          </w:tcPr>
          <w:p w14:paraId="25B4ABAC" w14:textId="77777777" w:rsidR="000A2A2B" w:rsidRPr="007C3060" w:rsidRDefault="000A2A2B" w:rsidP="007C3060">
            <w:r w:rsidRPr="007C3060">
              <w:t>5603</w:t>
            </w:r>
          </w:p>
        </w:tc>
        <w:tc>
          <w:tcPr>
            <w:tcW w:w="680" w:type="dxa"/>
            <w:tcBorders>
              <w:top w:val="nil"/>
              <w:left w:val="nil"/>
              <w:bottom w:val="nil"/>
              <w:right w:val="nil"/>
            </w:tcBorders>
            <w:tcMar>
              <w:top w:w="128" w:type="dxa"/>
              <w:left w:w="43" w:type="dxa"/>
              <w:bottom w:w="43" w:type="dxa"/>
              <w:right w:w="123" w:type="dxa"/>
            </w:tcMar>
            <w:vAlign w:val="bottom"/>
          </w:tcPr>
          <w:p w14:paraId="1F2A9B6F" w14:textId="77777777" w:rsidR="000A2A2B" w:rsidRPr="007C3060" w:rsidRDefault="000A2A2B" w:rsidP="007C3060"/>
        </w:tc>
        <w:tc>
          <w:tcPr>
            <w:tcW w:w="6620" w:type="dxa"/>
            <w:gridSpan w:val="2"/>
            <w:tcBorders>
              <w:top w:val="nil"/>
              <w:left w:val="nil"/>
              <w:bottom w:val="nil"/>
              <w:right w:val="nil"/>
            </w:tcBorders>
            <w:tcMar>
              <w:top w:w="128" w:type="dxa"/>
              <w:left w:w="43" w:type="dxa"/>
              <w:bottom w:w="43" w:type="dxa"/>
              <w:right w:w="43" w:type="dxa"/>
            </w:tcMar>
            <w:vAlign w:val="bottom"/>
          </w:tcPr>
          <w:p w14:paraId="4099C2C6" w14:textId="77777777" w:rsidR="000A2A2B" w:rsidRPr="007C3060" w:rsidRDefault="000A2A2B" w:rsidP="007C3060">
            <w:r w:rsidRPr="007C3060">
              <w:t>Renter av statens kapital i statens forvaltningsbedrifter:</w:t>
            </w:r>
          </w:p>
        </w:tc>
        <w:tc>
          <w:tcPr>
            <w:tcW w:w="1580" w:type="dxa"/>
            <w:tcBorders>
              <w:top w:val="nil"/>
              <w:left w:val="nil"/>
              <w:bottom w:val="nil"/>
              <w:right w:val="nil"/>
            </w:tcBorders>
            <w:tcMar>
              <w:top w:w="128" w:type="dxa"/>
              <w:left w:w="43" w:type="dxa"/>
              <w:bottom w:w="43" w:type="dxa"/>
              <w:right w:w="43" w:type="dxa"/>
            </w:tcMar>
            <w:vAlign w:val="bottom"/>
          </w:tcPr>
          <w:p w14:paraId="65D1EA6A" w14:textId="77777777" w:rsidR="000A2A2B" w:rsidRPr="007C3060" w:rsidRDefault="000A2A2B" w:rsidP="007C3060"/>
        </w:tc>
      </w:tr>
      <w:tr w:rsidR="004B729E" w:rsidRPr="007C3060" w14:paraId="6124707B" w14:textId="77777777">
        <w:trPr>
          <w:trHeight w:val="380"/>
        </w:trPr>
        <w:tc>
          <w:tcPr>
            <w:tcW w:w="680" w:type="dxa"/>
            <w:tcBorders>
              <w:top w:val="nil"/>
              <w:left w:val="nil"/>
              <w:bottom w:val="nil"/>
              <w:right w:val="nil"/>
            </w:tcBorders>
            <w:tcMar>
              <w:top w:w="128" w:type="dxa"/>
              <w:left w:w="43" w:type="dxa"/>
              <w:bottom w:w="43" w:type="dxa"/>
              <w:right w:w="123" w:type="dxa"/>
            </w:tcMar>
          </w:tcPr>
          <w:p w14:paraId="3A21ECB6"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282D8A9" w14:textId="77777777" w:rsidR="000A2A2B" w:rsidRPr="007C3060" w:rsidRDefault="000A2A2B" w:rsidP="007C3060">
            <w:r w:rsidRPr="007C3060">
              <w:t>80</w:t>
            </w:r>
          </w:p>
        </w:tc>
        <w:tc>
          <w:tcPr>
            <w:tcW w:w="5040" w:type="dxa"/>
            <w:tcBorders>
              <w:top w:val="nil"/>
              <w:left w:val="nil"/>
              <w:bottom w:val="nil"/>
              <w:right w:val="nil"/>
            </w:tcBorders>
            <w:tcMar>
              <w:top w:w="128" w:type="dxa"/>
              <w:left w:w="43" w:type="dxa"/>
              <w:bottom w:w="43" w:type="dxa"/>
              <w:right w:w="43" w:type="dxa"/>
            </w:tcMar>
            <w:vAlign w:val="bottom"/>
          </w:tcPr>
          <w:p w14:paraId="30BE9D5E" w14:textId="77777777" w:rsidR="000A2A2B" w:rsidRPr="007C3060" w:rsidRDefault="000A2A2B" w:rsidP="007C3060">
            <w:r w:rsidRPr="007C3060">
              <w:t>Renter av statens faste kapital, forhøyes med</w:t>
            </w:r>
          </w:p>
        </w:tc>
        <w:tc>
          <w:tcPr>
            <w:tcW w:w="1580" w:type="dxa"/>
            <w:tcBorders>
              <w:top w:val="nil"/>
              <w:left w:val="nil"/>
              <w:bottom w:val="nil"/>
              <w:right w:val="nil"/>
            </w:tcBorders>
            <w:tcMar>
              <w:top w:w="128" w:type="dxa"/>
              <w:left w:w="43" w:type="dxa"/>
              <w:bottom w:w="43" w:type="dxa"/>
              <w:right w:w="43" w:type="dxa"/>
            </w:tcMar>
            <w:vAlign w:val="bottom"/>
          </w:tcPr>
          <w:p w14:paraId="1BA7EE0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4642677" w14:textId="77777777" w:rsidR="000A2A2B" w:rsidRPr="007C3060" w:rsidRDefault="000A2A2B" w:rsidP="007C3060">
            <w:r w:rsidRPr="007C3060">
              <w:t>1 000 000</w:t>
            </w:r>
          </w:p>
        </w:tc>
      </w:tr>
      <w:tr w:rsidR="004B729E" w:rsidRPr="007C3060" w14:paraId="5ABDD08E" w14:textId="77777777">
        <w:trPr>
          <w:trHeight w:val="380"/>
        </w:trPr>
        <w:tc>
          <w:tcPr>
            <w:tcW w:w="680" w:type="dxa"/>
            <w:tcBorders>
              <w:top w:val="nil"/>
              <w:left w:val="nil"/>
              <w:bottom w:val="nil"/>
              <w:right w:val="nil"/>
            </w:tcBorders>
            <w:tcMar>
              <w:top w:w="128" w:type="dxa"/>
              <w:left w:w="43" w:type="dxa"/>
              <w:bottom w:w="43" w:type="dxa"/>
              <w:right w:w="123" w:type="dxa"/>
            </w:tcMar>
          </w:tcPr>
          <w:p w14:paraId="4DFC02F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8098C60"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15B1AE4" w14:textId="77777777" w:rsidR="000A2A2B" w:rsidRPr="007C3060" w:rsidRDefault="000A2A2B" w:rsidP="007C3060">
            <w:r w:rsidRPr="007C3060">
              <w:t>fra kr 2 593 000 000 til kr 2 594 000 000</w:t>
            </w:r>
          </w:p>
        </w:tc>
        <w:tc>
          <w:tcPr>
            <w:tcW w:w="1580" w:type="dxa"/>
            <w:tcBorders>
              <w:top w:val="nil"/>
              <w:left w:val="nil"/>
              <w:bottom w:val="nil"/>
              <w:right w:val="nil"/>
            </w:tcBorders>
            <w:tcMar>
              <w:top w:w="128" w:type="dxa"/>
              <w:left w:w="43" w:type="dxa"/>
              <w:bottom w:w="43" w:type="dxa"/>
              <w:right w:w="43" w:type="dxa"/>
            </w:tcMar>
            <w:vAlign w:val="bottom"/>
          </w:tcPr>
          <w:p w14:paraId="1F235267"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91D0E64" w14:textId="77777777" w:rsidR="000A2A2B" w:rsidRPr="007C3060" w:rsidRDefault="000A2A2B" w:rsidP="007C3060"/>
        </w:tc>
      </w:tr>
      <w:tr w:rsidR="004B729E" w:rsidRPr="007C3060" w14:paraId="4FFFB5B0" w14:textId="77777777">
        <w:trPr>
          <w:trHeight w:val="380"/>
        </w:trPr>
        <w:tc>
          <w:tcPr>
            <w:tcW w:w="680" w:type="dxa"/>
            <w:tcBorders>
              <w:top w:val="nil"/>
              <w:left w:val="nil"/>
              <w:bottom w:val="nil"/>
              <w:right w:val="nil"/>
            </w:tcBorders>
            <w:tcMar>
              <w:top w:w="128" w:type="dxa"/>
              <w:left w:w="43" w:type="dxa"/>
              <w:bottom w:w="43" w:type="dxa"/>
              <w:right w:w="123" w:type="dxa"/>
            </w:tcMar>
          </w:tcPr>
          <w:p w14:paraId="3EF6BEF3" w14:textId="77777777" w:rsidR="000A2A2B" w:rsidRPr="007C3060" w:rsidRDefault="000A2A2B" w:rsidP="007C3060">
            <w:r w:rsidRPr="007C3060">
              <w:t>5605</w:t>
            </w:r>
          </w:p>
        </w:tc>
        <w:tc>
          <w:tcPr>
            <w:tcW w:w="680" w:type="dxa"/>
            <w:tcBorders>
              <w:top w:val="nil"/>
              <w:left w:val="nil"/>
              <w:bottom w:val="nil"/>
              <w:right w:val="nil"/>
            </w:tcBorders>
            <w:tcMar>
              <w:top w:w="128" w:type="dxa"/>
              <w:left w:w="43" w:type="dxa"/>
              <w:bottom w:w="43" w:type="dxa"/>
              <w:right w:w="123" w:type="dxa"/>
            </w:tcMar>
            <w:vAlign w:val="bottom"/>
          </w:tcPr>
          <w:p w14:paraId="1B084CE4" w14:textId="77777777" w:rsidR="000A2A2B" w:rsidRPr="007C3060" w:rsidRDefault="000A2A2B" w:rsidP="007C3060"/>
        </w:tc>
        <w:tc>
          <w:tcPr>
            <w:tcW w:w="6620" w:type="dxa"/>
            <w:gridSpan w:val="2"/>
            <w:tcBorders>
              <w:top w:val="nil"/>
              <w:left w:val="nil"/>
              <w:bottom w:val="nil"/>
              <w:right w:val="nil"/>
            </w:tcBorders>
            <w:tcMar>
              <w:top w:w="128" w:type="dxa"/>
              <w:left w:w="43" w:type="dxa"/>
              <w:bottom w:w="43" w:type="dxa"/>
              <w:right w:w="43" w:type="dxa"/>
            </w:tcMar>
            <w:vAlign w:val="bottom"/>
          </w:tcPr>
          <w:p w14:paraId="287A8DC9" w14:textId="77777777" w:rsidR="000A2A2B" w:rsidRPr="007C3060" w:rsidRDefault="000A2A2B" w:rsidP="007C3060">
            <w:r w:rsidRPr="007C3060">
              <w:t>Renter av statskassens kontantbeholdning og andre fordringer:</w:t>
            </w:r>
          </w:p>
        </w:tc>
        <w:tc>
          <w:tcPr>
            <w:tcW w:w="1580" w:type="dxa"/>
            <w:tcBorders>
              <w:top w:val="nil"/>
              <w:left w:val="nil"/>
              <w:bottom w:val="nil"/>
              <w:right w:val="nil"/>
            </w:tcBorders>
            <w:tcMar>
              <w:top w:w="128" w:type="dxa"/>
              <w:left w:w="43" w:type="dxa"/>
              <w:bottom w:w="43" w:type="dxa"/>
              <w:right w:w="43" w:type="dxa"/>
            </w:tcMar>
            <w:vAlign w:val="bottom"/>
          </w:tcPr>
          <w:p w14:paraId="009E3263" w14:textId="77777777" w:rsidR="000A2A2B" w:rsidRPr="007C3060" w:rsidRDefault="000A2A2B" w:rsidP="007C3060"/>
        </w:tc>
      </w:tr>
      <w:tr w:rsidR="004B729E" w:rsidRPr="007C3060" w14:paraId="5144B6B4" w14:textId="77777777">
        <w:trPr>
          <w:trHeight w:val="380"/>
        </w:trPr>
        <w:tc>
          <w:tcPr>
            <w:tcW w:w="680" w:type="dxa"/>
            <w:tcBorders>
              <w:top w:val="nil"/>
              <w:left w:val="nil"/>
              <w:bottom w:val="nil"/>
              <w:right w:val="nil"/>
            </w:tcBorders>
            <w:tcMar>
              <w:top w:w="128" w:type="dxa"/>
              <w:left w:w="43" w:type="dxa"/>
              <w:bottom w:w="43" w:type="dxa"/>
              <w:right w:w="123" w:type="dxa"/>
            </w:tcMar>
          </w:tcPr>
          <w:p w14:paraId="1FEA03D9"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FA251C7" w14:textId="77777777" w:rsidR="000A2A2B" w:rsidRPr="007C3060" w:rsidRDefault="000A2A2B" w:rsidP="007C3060">
            <w:r w:rsidRPr="007C3060">
              <w:t>80</w:t>
            </w:r>
          </w:p>
        </w:tc>
        <w:tc>
          <w:tcPr>
            <w:tcW w:w="6620" w:type="dxa"/>
            <w:gridSpan w:val="2"/>
            <w:tcBorders>
              <w:top w:val="nil"/>
              <w:left w:val="nil"/>
              <w:bottom w:val="nil"/>
              <w:right w:val="nil"/>
            </w:tcBorders>
            <w:tcMar>
              <w:top w:w="128" w:type="dxa"/>
              <w:left w:w="43" w:type="dxa"/>
              <w:bottom w:w="43" w:type="dxa"/>
              <w:right w:w="43" w:type="dxa"/>
            </w:tcMar>
            <w:vAlign w:val="bottom"/>
          </w:tcPr>
          <w:p w14:paraId="4128371B" w14:textId="77777777" w:rsidR="000A2A2B" w:rsidRPr="007C3060" w:rsidRDefault="000A2A2B" w:rsidP="007C3060">
            <w:r w:rsidRPr="007C3060">
              <w:t>Av statskassens foliokonto i Norges Bank, nedsettes med</w:t>
            </w:r>
          </w:p>
        </w:tc>
        <w:tc>
          <w:tcPr>
            <w:tcW w:w="1580" w:type="dxa"/>
            <w:tcBorders>
              <w:top w:val="nil"/>
              <w:left w:val="nil"/>
              <w:bottom w:val="nil"/>
              <w:right w:val="nil"/>
            </w:tcBorders>
            <w:tcMar>
              <w:top w:w="128" w:type="dxa"/>
              <w:left w:w="43" w:type="dxa"/>
              <w:bottom w:w="43" w:type="dxa"/>
              <w:right w:w="43" w:type="dxa"/>
            </w:tcMar>
            <w:vAlign w:val="bottom"/>
          </w:tcPr>
          <w:p w14:paraId="3ED6CB5E" w14:textId="77777777" w:rsidR="000A2A2B" w:rsidRPr="007C3060" w:rsidRDefault="000A2A2B" w:rsidP="007C3060">
            <w:r w:rsidRPr="007C3060">
              <w:t>2 565 000 000</w:t>
            </w:r>
          </w:p>
        </w:tc>
      </w:tr>
      <w:tr w:rsidR="004B729E" w:rsidRPr="007C3060" w14:paraId="7485BE9A" w14:textId="77777777">
        <w:trPr>
          <w:trHeight w:val="380"/>
        </w:trPr>
        <w:tc>
          <w:tcPr>
            <w:tcW w:w="680" w:type="dxa"/>
            <w:tcBorders>
              <w:top w:val="nil"/>
              <w:left w:val="nil"/>
              <w:bottom w:val="nil"/>
              <w:right w:val="nil"/>
            </w:tcBorders>
            <w:tcMar>
              <w:top w:w="128" w:type="dxa"/>
              <w:left w:w="43" w:type="dxa"/>
              <w:bottom w:w="43" w:type="dxa"/>
              <w:right w:w="123" w:type="dxa"/>
            </w:tcMar>
          </w:tcPr>
          <w:p w14:paraId="5422044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80A5542"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F75936C" w14:textId="77777777" w:rsidR="000A2A2B" w:rsidRPr="007C3060" w:rsidRDefault="000A2A2B" w:rsidP="007C3060">
            <w:r w:rsidRPr="007C3060">
              <w:t>fra kr 10 465 000 000 til kr 7 900 000 000</w:t>
            </w:r>
          </w:p>
        </w:tc>
        <w:tc>
          <w:tcPr>
            <w:tcW w:w="1580" w:type="dxa"/>
            <w:tcBorders>
              <w:top w:val="nil"/>
              <w:left w:val="nil"/>
              <w:bottom w:val="nil"/>
              <w:right w:val="nil"/>
            </w:tcBorders>
            <w:tcMar>
              <w:top w:w="128" w:type="dxa"/>
              <w:left w:w="43" w:type="dxa"/>
              <w:bottom w:w="43" w:type="dxa"/>
              <w:right w:w="43" w:type="dxa"/>
            </w:tcMar>
            <w:vAlign w:val="bottom"/>
          </w:tcPr>
          <w:p w14:paraId="5CA59D4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88EACBD" w14:textId="77777777" w:rsidR="000A2A2B" w:rsidRPr="007C3060" w:rsidRDefault="000A2A2B" w:rsidP="007C3060"/>
        </w:tc>
      </w:tr>
      <w:tr w:rsidR="004B729E" w:rsidRPr="007C3060" w14:paraId="0BD2C1AF" w14:textId="77777777">
        <w:trPr>
          <w:trHeight w:val="380"/>
        </w:trPr>
        <w:tc>
          <w:tcPr>
            <w:tcW w:w="680" w:type="dxa"/>
            <w:tcBorders>
              <w:top w:val="nil"/>
              <w:left w:val="nil"/>
              <w:bottom w:val="nil"/>
              <w:right w:val="nil"/>
            </w:tcBorders>
            <w:tcMar>
              <w:top w:w="128" w:type="dxa"/>
              <w:left w:w="43" w:type="dxa"/>
              <w:bottom w:w="43" w:type="dxa"/>
              <w:right w:w="123" w:type="dxa"/>
            </w:tcMar>
          </w:tcPr>
          <w:p w14:paraId="49EE0205"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AD05F32" w14:textId="77777777" w:rsidR="000A2A2B" w:rsidRPr="007C3060" w:rsidRDefault="000A2A2B" w:rsidP="007C3060">
            <w:r w:rsidRPr="007C3060">
              <w:t>82</w:t>
            </w:r>
          </w:p>
        </w:tc>
        <w:tc>
          <w:tcPr>
            <w:tcW w:w="5040" w:type="dxa"/>
            <w:tcBorders>
              <w:top w:val="nil"/>
              <w:left w:val="nil"/>
              <w:bottom w:val="nil"/>
              <w:right w:val="nil"/>
            </w:tcBorders>
            <w:tcMar>
              <w:top w:w="128" w:type="dxa"/>
              <w:left w:w="43" w:type="dxa"/>
              <w:bottom w:w="43" w:type="dxa"/>
              <w:right w:w="43" w:type="dxa"/>
            </w:tcMar>
            <w:vAlign w:val="bottom"/>
          </w:tcPr>
          <w:p w14:paraId="36E0D1CA" w14:textId="77777777" w:rsidR="000A2A2B" w:rsidRPr="007C3060" w:rsidRDefault="000A2A2B" w:rsidP="007C3060">
            <w:r w:rsidRPr="007C3060">
              <w:t>Av innenlandske verdipapirer, nedsettes med</w:t>
            </w:r>
          </w:p>
        </w:tc>
        <w:tc>
          <w:tcPr>
            <w:tcW w:w="1580" w:type="dxa"/>
            <w:tcBorders>
              <w:top w:val="nil"/>
              <w:left w:val="nil"/>
              <w:bottom w:val="nil"/>
              <w:right w:val="nil"/>
            </w:tcBorders>
            <w:tcMar>
              <w:top w:w="128" w:type="dxa"/>
              <w:left w:w="43" w:type="dxa"/>
              <w:bottom w:w="43" w:type="dxa"/>
              <w:right w:w="43" w:type="dxa"/>
            </w:tcMar>
            <w:vAlign w:val="bottom"/>
          </w:tcPr>
          <w:p w14:paraId="69DCF6F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CFA5D1B" w14:textId="77777777" w:rsidR="000A2A2B" w:rsidRPr="007C3060" w:rsidRDefault="000A2A2B" w:rsidP="007C3060">
            <w:r w:rsidRPr="007C3060">
              <w:t>80 900 000</w:t>
            </w:r>
          </w:p>
        </w:tc>
      </w:tr>
      <w:tr w:rsidR="004B729E" w:rsidRPr="007C3060" w14:paraId="24219DB1" w14:textId="77777777">
        <w:trPr>
          <w:trHeight w:val="380"/>
        </w:trPr>
        <w:tc>
          <w:tcPr>
            <w:tcW w:w="680" w:type="dxa"/>
            <w:tcBorders>
              <w:top w:val="nil"/>
              <w:left w:val="nil"/>
              <w:bottom w:val="nil"/>
              <w:right w:val="nil"/>
            </w:tcBorders>
            <w:tcMar>
              <w:top w:w="128" w:type="dxa"/>
              <w:left w:w="43" w:type="dxa"/>
              <w:bottom w:w="43" w:type="dxa"/>
              <w:right w:w="123" w:type="dxa"/>
            </w:tcMar>
          </w:tcPr>
          <w:p w14:paraId="2F5D072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EE74B71"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A45E859" w14:textId="77777777" w:rsidR="000A2A2B" w:rsidRPr="007C3060" w:rsidRDefault="000A2A2B" w:rsidP="007C3060">
            <w:r w:rsidRPr="007C3060">
              <w:t>fra kr 1 859 300 000 til kr 1 778 400 000</w:t>
            </w:r>
          </w:p>
        </w:tc>
        <w:tc>
          <w:tcPr>
            <w:tcW w:w="1580" w:type="dxa"/>
            <w:tcBorders>
              <w:top w:val="nil"/>
              <w:left w:val="nil"/>
              <w:bottom w:val="nil"/>
              <w:right w:val="nil"/>
            </w:tcBorders>
            <w:tcMar>
              <w:top w:w="128" w:type="dxa"/>
              <w:left w:w="43" w:type="dxa"/>
              <w:bottom w:w="43" w:type="dxa"/>
              <w:right w:w="43" w:type="dxa"/>
            </w:tcMar>
            <w:vAlign w:val="bottom"/>
          </w:tcPr>
          <w:p w14:paraId="56EF5DF2"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7F3EEEC" w14:textId="77777777" w:rsidR="000A2A2B" w:rsidRPr="007C3060" w:rsidRDefault="000A2A2B" w:rsidP="007C3060"/>
        </w:tc>
      </w:tr>
      <w:tr w:rsidR="004B729E" w:rsidRPr="007C3060" w14:paraId="74544B01" w14:textId="77777777">
        <w:trPr>
          <w:trHeight w:val="380"/>
        </w:trPr>
        <w:tc>
          <w:tcPr>
            <w:tcW w:w="680" w:type="dxa"/>
            <w:tcBorders>
              <w:top w:val="nil"/>
              <w:left w:val="nil"/>
              <w:bottom w:val="nil"/>
              <w:right w:val="nil"/>
            </w:tcBorders>
            <w:tcMar>
              <w:top w:w="128" w:type="dxa"/>
              <w:left w:w="43" w:type="dxa"/>
              <w:bottom w:w="43" w:type="dxa"/>
              <w:right w:w="123" w:type="dxa"/>
            </w:tcMar>
          </w:tcPr>
          <w:p w14:paraId="38AB4D7E"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EC8AB79" w14:textId="77777777" w:rsidR="000A2A2B" w:rsidRPr="007C3060" w:rsidRDefault="000A2A2B" w:rsidP="007C3060">
            <w:r w:rsidRPr="007C3060">
              <w:t>84</w:t>
            </w:r>
          </w:p>
        </w:tc>
        <w:tc>
          <w:tcPr>
            <w:tcW w:w="5040" w:type="dxa"/>
            <w:tcBorders>
              <w:top w:val="nil"/>
              <w:left w:val="nil"/>
              <w:bottom w:val="nil"/>
              <w:right w:val="nil"/>
            </w:tcBorders>
            <w:tcMar>
              <w:top w:w="128" w:type="dxa"/>
              <w:left w:w="43" w:type="dxa"/>
              <w:bottom w:w="43" w:type="dxa"/>
              <w:right w:w="43" w:type="dxa"/>
            </w:tcMar>
            <w:vAlign w:val="bottom"/>
          </w:tcPr>
          <w:p w14:paraId="13670C7D" w14:textId="77777777" w:rsidR="000A2A2B" w:rsidRPr="007C3060" w:rsidRDefault="000A2A2B" w:rsidP="007C3060">
            <w:r w:rsidRPr="007C3060">
              <w:t>Av driftskreditt til statsbedrifter, nedsettes med</w:t>
            </w:r>
          </w:p>
        </w:tc>
        <w:tc>
          <w:tcPr>
            <w:tcW w:w="1580" w:type="dxa"/>
            <w:tcBorders>
              <w:top w:val="nil"/>
              <w:left w:val="nil"/>
              <w:bottom w:val="nil"/>
              <w:right w:val="nil"/>
            </w:tcBorders>
            <w:tcMar>
              <w:top w:w="128" w:type="dxa"/>
              <w:left w:w="43" w:type="dxa"/>
              <w:bottom w:w="43" w:type="dxa"/>
              <w:right w:w="43" w:type="dxa"/>
            </w:tcMar>
            <w:vAlign w:val="bottom"/>
          </w:tcPr>
          <w:p w14:paraId="7356CE7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43C31ED" w14:textId="77777777" w:rsidR="000A2A2B" w:rsidRPr="007C3060" w:rsidRDefault="000A2A2B" w:rsidP="007C3060">
            <w:r w:rsidRPr="007C3060">
              <w:t>159 600 000</w:t>
            </w:r>
          </w:p>
        </w:tc>
      </w:tr>
      <w:tr w:rsidR="004B729E" w:rsidRPr="007C3060" w14:paraId="4D912A87" w14:textId="77777777">
        <w:trPr>
          <w:trHeight w:val="380"/>
        </w:trPr>
        <w:tc>
          <w:tcPr>
            <w:tcW w:w="680" w:type="dxa"/>
            <w:tcBorders>
              <w:top w:val="nil"/>
              <w:left w:val="nil"/>
              <w:bottom w:val="nil"/>
              <w:right w:val="nil"/>
            </w:tcBorders>
            <w:tcMar>
              <w:top w:w="128" w:type="dxa"/>
              <w:left w:w="43" w:type="dxa"/>
              <w:bottom w:w="43" w:type="dxa"/>
              <w:right w:w="123" w:type="dxa"/>
            </w:tcMar>
          </w:tcPr>
          <w:p w14:paraId="60CE5382"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6667CAA"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4C968D1" w14:textId="77777777" w:rsidR="000A2A2B" w:rsidRPr="007C3060" w:rsidRDefault="000A2A2B" w:rsidP="007C3060">
            <w:r w:rsidRPr="007C3060">
              <w:t>fra kr 3 163 200 000 til kr 3 003 600 000</w:t>
            </w:r>
          </w:p>
        </w:tc>
        <w:tc>
          <w:tcPr>
            <w:tcW w:w="1580" w:type="dxa"/>
            <w:tcBorders>
              <w:top w:val="nil"/>
              <w:left w:val="nil"/>
              <w:bottom w:val="nil"/>
              <w:right w:val="nil"/>
            </w:tcBorders>
            <w:tcMar>
              <w:top w:w="128" w:type="dxa"/>
              <w:left w:w="43" w:type="dxa"/>
              <w:bottom w:w="43" w:type="dxa"/>
              <w:right w:w="43" w:type="dxa"/>
            </w:tcMar>
            <w:vAlign w:val="bottom"/>
          </w:tcPr>
          <w:p w14:paraId="3DC6D259"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0F80718F" w14:textId="77777777" w:rsidR="000A2A2B" w:rsidRPr="007C3060" w:rsidRDefault="000A2A2B" w:rsidP="007C3060"/>
        </w:tc>
      </w:tr>
      <w:tr w:rsidR="004B729E" w:rsidRPr="007C3060" w14:paraId="2F25F8BB" w14:textId="77777777">
        <w:trPr>
          <w:trHeight w:val="380"/>
        </w:trPr>
        <w:tc>
          <w:tcPr>
            <w:tcW w:w="680" w:type="dxa"/>
            <w:tcBorders>
              <w:top w:val="nil"/>
              <w:left w:val="nil"/>
              <w:bottom w:val="nil"/>
              <w:right w:val="nil"/>
            </w:tcBorders>
            <w:tcMar>
              <w:top w:w="128" w:type="dxa"/>
              <w:left w:w="43" w:type="dxa"/>
              <w:bottom w:w="43" w:type="dxa"/>
              <w:right w:w="123" w:type="dxa"/>
            </w:tcMar>
          </w:tcPr>
          <w:p w14:paraId="551963FE" w14:textId="77777777" w:rsidR="000A2A2B" w:rsidRPr="007C3060" w:rsidRDefault="000A2A2B" w:rsidP="007C3060">
            <w:r w:rsidRPr="007C3060">
              <w:t>5607</w:t>
            </w:r>
          </w:p>
        </w:tc>
        <w:tc>
          <w:tcPr>
            <w:tcW w:w="680" w:type="dxa"/>
            <w:tcBorders>
              <w:top w:val="nil"/>
              <w:left w:val="nil"/>
              <w:bottom w:val="nil"/>
              <w:right w:val="nil"/>
            </w:tcBorders>
            <w:tcMar>
              <w:top w:w="128" w:type="dxa"/>
              <w:left w:w="43" w:type="dxa"/>
              <w:bottom w:w="43" w:type="dxa"/>
              <w:right w:w="123" w:type="dxa"/>
            </w:tcMar>
            <w:vAlign w:val="bottom"/>
          </w:tcPr>
          <w:p w14:paraId="4A1DF724"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A9F012F" w14:textId="77777777" w:rsidR="000A2A2B" w:rsidRPr="007C3060" w:rsidRDefault="000A2A2B" w:rsidP="007C3060">
            <w:r w:rsidRPr="007C3060">
              <w:t>Renter av boliglånsordningen i Statens pensjonskasse:</w:t>
            </w:r>
          </w:p>
        </w:tc>
        <w:tc>
          <w:tcPr>
            <w:tcW w:w="1580" w:type="dxa"/>
            <w:tcBorders>
              <w:top w:val="nil"/>
              <w:left w:val="nil"/>
              <w:bottom w:val="nil"/>
              <w:right w:val="nil"/>
            </w:tcBorders>
            <w:tcMar>
              <w:top w:w="128" w:type="dxa"/>
              <w:left w:w="43" w:type="dxa"/>
              <w:bottom w:w="43" w:type="dxa"/>
              <w:right w:w="43" w:type="dxa"/>
            </w:tcMar>
            <w:vAlign w:val="bottom"/>
          </w:tcPr>
          <w:p w14:paraId="40FD5180"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12C64DB" w14:textId="77777777" w:rsidR="000A2A2B" w:rsidRPr="007C3060" w:rsidRDefault="000A2A2B" w:rsidP="007C3060"/>
        </w:tc>
      </w:tr>
      <w:tr w:rsidR="004B729E" w:rsidRPr="007C3060" w14:paraId="53D30B75" w14:textId="77777777">
        <w:trPr>
          <w:trHeight w:val="380"/>
        </w:trPr>
        <w:tc>
          <w:tcPr>
            <w:tcW w:w="680" w:type="dxa"/>
            <w:tcBorders>
              <w:top w:val="nil"/>
              <w:left w:val="nil"/>
              <w:bottom w:val="nil"/>
              <w:right w:val="nil"/>
            </w:tcBorders>
            <w:tcMar>
              <w:top w:w="128" w:type="dxa"/>
              <w:left w:w="43" w:type="dxa"/>
              <w:bottom w:w="43" w:type="dxa"/>
              <w:right w:w="123" w:type="dxa"/>
            </w:tcMar>
          </w:tcPr>
          <w:p w14:paraId="5EC3E93C"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CD791B1" w14:textId="77777777" w:rsidR="000A2A2B" w:rsidRPr="007C3060" w:rsidRDefault="000A2A2B" w:rsidP="007C3060">
            <w:r w:rsidRPr="007C3060">
              <w:t>80</w:t>
            </w:r>
          </w:p>
        </w:tc>
        <w:tc>
          <w:tcPr>
            <w:tcW w:w="5040" w:type="dxa"/>
            <w:tcBorders>
              <w:top w:val="nil"/>
              <w:left w:val="nil"/>
              <w:bottom w:val="nil"/>
              <w:right w:val="nil"/>
            </w:tcBorders>
            <w:tcMar>
              <w:top w:w="128" w:type="dxa"/>
              <w:left w:w="43" w:type="dxa"/>
              <w:bottom w:w="43" w:type="dxa"/>
              <w:right w:w="43" w:type="dxa"/>
            </w:tcMar>
            <w:vAlign w:val="bottom"/>
          </w:tcPr>
          <w:p w14:paraId="14FD068D" w14:textId="77777777" w:rsidR="000A2A2B" w:rsidRPr="007C3060" w:rsidRDefault="000A2A2B" w:rsidP="007C3060">
            <w:r w:rsidRPr="007C3060">
              <w:t>Renter, forhøyes med</w:t>
            </w:r>
          </w:p>
        </w:tc>
        <w:tc>
          <w:tcPr>
            <w:tcW w:w="1580" w:type="dxa"/>
            <w:tcBorders>
              <w:top w:val="nil"/>
              <w:left w:val="nil"/>
              <w:bottom w:val="nil"/>
              <w:right w:val="nil"/>
            </w:tcBorders>
            <w:tcMar>
              <w:top w:w="128" w:type="dxa"/>
              <w:left w:w="43" w:type="dxa"/>
              <w:bottom w:w="43" w:type="dxa"/>
              <w:right w:w="43" w:type="dxa"/>
            </w:tcMar>
            <w:vAlign w:val="bottom"/>
          </w:tcPr>
          <w:p w14:paraId="49F0FB2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CDF0BC3" w14:textId="77777777" w:rsidR="000A2A2B" w:rsidRPr="007C3060" w:rsidRDefault="000A2A2B" w:rsidP="007C3060">
            <w:r w:rsidRPr="007C3060">
              <w:t>7 000 000</w:t>
            </w:r>
          </w:p>
        </w:tc>
      </w:tr>
      <w:tr w:rsidR="004B729E" w:rsidRPr="007C3060" w14:paraId="4978D56B" w14:textId="77777777">
        <w:trPr>
          <w:trHeight w:val="380"/>
        </w:trPr>
        <w:tc>
          <w:tcPr>
            <w:tcW w:w="680" w:type="dxa"/>
            <w:tcBorders>
              <w:top w:val="nil"/>
              <w:left w:val="nil"/>
              <w:bottom w:val="nil"/>
              <w:right w:val="nil"/>
            </w:tcBorders>
            <w:tcMar>
              <w:top w:w="128" w:type="dxa"/>
              <w:left w:w="43" w:type="dxa"/>
              <w:bottom w:w="43" w:type="dxa"/>
              <w:right w:w="123" w:type="dxa"/>
            </w:tcMar>
          </w:tcPr>
          <w:p w14:paraId="626B7C9D"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0988F91"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7C8832C" w14:textId="77777777" w:rsidR="000A2A2B" w:rsidRPr="007C3060" w:rsidRDefault="000A2A2B" w:rsidP="007C3060">
            <w:r w:rsidRPr="007C3060">
              <w:t>fra kr 3 944 000 000 til kr 3 951 000 000</w:t>
            </w:r>
          </w:p>
        </w:tc>
        <w:tc>
          <w:tcPr>
            <w:tcW w:w="1580" w:type="dxa"/>
            <w:tcBorders>
              <w:top w:val="nil"/>
              <w:left w:val="nil"/>
              <w:bottom w:val="nil"/>
              <w:right w:val="nil"/>
            </w:tcBorders>
            <w:tcMar>
              <w:top w:w="128" w:type="dxa"/>
              <w:left w:w="43" w:type="dxa"/>
              <w:bottom w:w="43" w:type="dxa"/>
              <w:right w:w="43" w:type="dxa"/>
            </w:tcMar>
            <w:vAlign w:val="bottom"/>
          </w:tcPr>
          <w:p w14:paraId="325CEC2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1DB69DB" w14:textId="77777777" w:rsidR="000A2A2B" w:rsidRPr="007C3060" w:rsidRDefault="000A2A2B" w:rsidP="007C3060"/>
        </w:tc>
      </w:tr>
      <w:tr w:rsidR="004B729E" w:rsidRPr="007C3060" w14:paraId="455E8C8E" w14:textId="77777777">
        <w:trPr>
          <w:trHeight w:val="380"/>
        </w:trPr>
        <w:tc>
          <w:tcPr>
            <w:tcW w:w="680" w:type="dxa"/>
            <w:tcBorders>
              <w:top w:val="nil"/>
              <w:left w:val="nil"/>
              <w:bottom w:val="nil"/>
              <w:right w:val="nil"/>
            </w:tcBorders>
            <w:tcMar>
              <w:top w:w="128" w:type="dxa"/>
              <w:left w:w="43" w:type="dxa"/>
              <w:bottom w:w="43" w:type="dxa"/>
              <w:right w:w="123" w:type="dxa"/>
            </w:tcMar>
          </w:tcPr>
          <w:p w14:paraId="3BA04210" w14:textId="77777777" w:rsidR="000A2A2B" w:rsidRPr="007C3060" w:rsidRDefault="000A2A2B" w:rsidP="007C3060">
            <w:r w:rsidRPr="007C3060">
              <w:t>5615</w:t>
            </w:r>
          </w:p>
        </w:tc>
        <w:tc>
          <w:tcPr>
            <w:tcW w:w="680" w:type="dxa"/>
            <w:tcBorders>
              <w:top w:val="nil"/>
              <w:left w:val="nil"/>
              <w:bottom w:val="nil"/>
              <w:right w:val="nil"/>
            </w:tcBorders>
            <w:tcMar>
              <w:top w:w="128" w:type="dxa"/>
              <w:left w:w="43" w:type="dxa"/>
              <w:bottom w:w="43" w:type="dxa"/>
              <w:right w:w="123" w:type="dxa"/>
            </w:tcMar>
            <w:vAlign w:val="bottom"/>
          </w:tcPr>
          <w:p w14:paraId="0E1331A3"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163FB2E" w14:textId="77777777" w:rsidR="000A2A2B" w:rsidRPr="007C3060" w:rsidRDefault="000A2A2B" w:rsidP="007C3060">
            <w:r w:rsidRPr="007C3060">
              <w:t>Husbanken:</w:t>
            </w:r>
          </w:p>
        </w:tc>
        <w:tc>
          <w:tcPr>
            <w:tcW w:w="1580" w:type="dxa"/>
            <w:tcBorders>
              <w:top w:val="nil"/>
              <w:left w:val="nil"/>
              <w:bottom w:val="nil"/>
              <w:right w:val="nil"/>
            </w:tcBorders>
            <w:tcMar>
              <w:top w:w="128" w:type="dxa"/>
              <w:left w:w="43" w:type="dxa"/>
              <w:bottom w:w="43" w:type="dxa"/>
              <w:right w:w="43" w:type="dxa"/>
            </w:tcMar>
            <w:vAlign w:val="bottom"/>
          </w:tcPr>
          <w:p w14:paraId="43A7D9B2"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9574E2B" w14:textId="77777777" w:rsidR="000A2A2B" w:rsidRPr="007C3060" w:rsidRDefault="000A2A2B" w:rsidP="007C3060"/>
        </w:tc>
      </w:tr>
      <w:tr w:rsidR="004B729E" w:rsidRPr="007C3060" w14:paraId="1BF141AE" w14:textId="77777777">
        <w:trPr>
          <w:trHeight w:val="380"/>
        </w:trPr>
        <w:tc>
          <w:tcPr>
            <w:tcW w:w="680" w:type="dxa"/>
            <w:tcBorders>
              <w:top w:val="nil"/>
              <w:left w:val="nil"/>
              <w:bottom w:val="nil"/>
              <w:right w:val="nil"/>
            </w:tcBorders>
            <w:tcMar>
              <w:top w:w="128" w:type="dxa"/>
              <w:left w:w="43" w:type="dxa"/>
              <w:bottom w:w="43" w:type="dxa"/>
              <w:right w:w="123" w:type="dxa"/>
            </w:tcMar>
          </w:tcPr>
          <w:p w14:paraId="5743019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0A20907" w14:textId="77777777" w:rsidR="000A2A2B" w:rsidRPr="007C3060" w:rsidRDefault="000A2A2B" w:rsidP="007C3060">
            <w:r w:rsidRPr="007C3060">
              <w:t>80</w:t>
            </w:r>
          </w:p>
        </w:tc>
        <w:tc>
          <w:tcPr>
            <w:tcW w:w="5040" w:type="dxa"/>
            <w:tcBorders>
              <w:top w:val="nil"/>
              <w:left w:val="nil"/>
              <w:bottom w:val="nil"/>
              <w:right w:val="nil"/>
            </w:tcBorders>
            <w:tcMar>
              <w:top w:w="128" w:type="dxa"/>
              <w:left w:w="43" w:type="dxa"/>
              <w:bottom w:w="43" w:type="dxa"/>
              <w:right w:w="43" w:type="dxa"/>
            </w:tcMar>
            <w:vAlign w:val="bottom"/>
          </w:tcPr>
          <w:p w14:paraId="23412A56" w14:textId="77777777" w:rsidR="000A2A2B" w:rsidRPr="007C3060" w:rsidRDefault="000A2A2B" w:rsidP="007C3060">
            <w:r w:rsidRPr="007C3060">
              <w:t>Renter, forhøyes med</w:t>
            </w:r>
          </w:p>
        </w:tc>
        <w:tc>
          <w:tcPr>
            <w:tcW w:w="1580" w:type="dxa"/>
            <w:tcBorders>
              <w:top w:val="nil"/>
              <w:left w:val="nil"/>
              <w:bottom w:val="nil"/>
              <w:right w:val="nil"/>
            </w:tcBorders>
            <w:tcMar>
              <w:top w:w="128" w:type="dxa"/>
              <w:left w:w="43" w:type="dxa"/>
              <w:bottom w:w="43" w:type="dxa"/>
              <w:right w:w="43" w:type="dxa"/>
            </w:tcMar>
            <w:vAlign w:val="bottom"/>
          </w:tcPr>
          <w:p w14:paraId="1601E21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14B2C59" w14:textId="77777777" w:rsidR="000A2A2B" w:rsidRPr="007C3060" w:rsidRDefault="000A2A2B" w:rsidP="007C3060">
            <w:r w:rsidRPr="007C3060">
              <w:t>40 400 000</w:t>
            </w:r>
          </w:p>
        </w:tc>
      </w:tr>
      <w:tr w:rsidR="004B729E" w:rsidRPr="007C3060" w14:paraId="5969449D" w14:textId="77777777">
        <w:trPr>
          <w:trHeight w:val="380"/>
        </w:trPr>
        <w:tc>
          <w:tcPr>
            <w:tcW w:w="680" w:type="dxa"/>
            <w:tcBorders>
              <w:top w:val="nil"/>
              <w:left w:val="nil"/>
              <w:bottom w:val="nil"/>
              <w:right w:val="nil"/>
            </w:tcBorders>
            <w:tcMar>
              <w:top w:w="128" w:type="dxa"/>
              <w:left w:w="43" w:type="dxa"/>
              <w:bottom w:w="43" w:type="dxa"/>
              <w:right w:w="123" w:type="dxa"/>
            </w:tcMar>
          </w:tcPr>
          <w:p w14:paraId="1171608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5916E0A"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73762A7" w14:textId="77777777" w:rsidR="000A2A2B" w:rsidRPr="007C3060" w:rsidRDefault="000A2A2B" w:rsidP="007C3060">
            <w:r w:rsidRPr="007C3060">
              <w:t>fra kr 7 661 000 000 til kr 7 701 400 000</w:t>
            </w:r>
          </w:p>
        </w:tc>
        <w:tc>
          <w:tcPr>
            <w:tcW w:w="1580" w:type="dxa"/>
            <w:tcBorders>
              <w:top w:val="nil"/>
              <w:left w:val="nil"/>
              <w:bottom w:val="nil"/>
              <w:right w:val="nil"/>
            </w:tcBorders>
            <w:tcMar>
              <w:top w:w="128" w:type="dxa"/>
              <w:left w:w="43" w:type="dxa"/>
              <w:bottom w:w="43" w:type="dxa"/>
              <w:right w:w="43" w:type="dxa"/>
            </w:tcMar>
            <w:vAlign w:val="bottom"/>
          </w:tcPr>
          <w:p w14:paraId="22D0858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49F2C0A" w14:textId="77777777" w:rsidR="000A2A2B" w:rsidRPr="007C3060" w:rsidRDefault="000A2A2B" w:rsidP="007C3060"/>
        </w:tc>
      </w:tr>
      <w:tr w:rsidR="004B729E" w:rsidRPr="007C3060" w14:paraId="232ECE63" w14:textId="77777777">
        <w:trPr>
          <w:trHeight w:val="380"/>
        </w:trPr>
        <w:tc>
          <w:tcPr>
            <w:tcW w:w="680" w:type="dxa"/>
            <w:tcBorders>
              <w:top w:val="nil"/>
              <w:left w:val="nil"/>
              <w:bottom w:val="nil"/>
              <w:right w:val="nil"/>
            </w:tcBorders>
            <w:tcMar>
              <w:top w:w="128" w:type="dxa"/>
              <w:left w:w="43" w:type="dxa"/>
              <w:bottom w:w="43" w:type="dxa"/>
              <w:right w:w="123" w:type="dxa"/>
            </w:tcMar>
          </w:tcPr>
          <w:p w14:paraId="367A11BA" w14:textId="77777777" w:rsidR="000A2A2B" w:rsidRPr="007C3060" w:rsidRDefault="000A2A2B" w:rsidP="007C3060">
            <w:r w:rsidRPr="007C3060">
              <w:t>5617</w:t>
            </w:r>
          </w:p>
        </w:tc>
        <w:tc>
          <w:tcPr>
            <w:tcW w:w="680" w:type="dxa"/>
            <w:tcBorders>
              <w:top w:val="nil"/>
              <w:left w:val="nil"/>
              <w:bottom w:val="nil"/>
              <w:right w:val="nil"/>
            </w:tcBorders>
            <w:tcMar>
              <w:top w:w="128" w:type="dxa"/>
              <w:left w:w="43" w:type="dxa"/>
              <w:bottom w:w="43" w:type="dxa"/>
              <w:right w:w="123" w:type="dxa"/>
            </w:tcMar>
            <w:vAlign w:val="bottom"/>
          </w:tcPr>
          <w:p w14:paraId="0406EC7C"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8AAF158" w14:textId="77777777" w:rsidR="000A2A2B" w:rsidRPr="007C3060" w:rsidRDefault="000A2A2B" w:rsidP="007C3060">
            <w:r w:rsidRPr="007C3060">
              <w:t>Renter fra Statens lånekasse for utdanning:</w:t>
            </w:r>
          </w:p>
        </w:tc>
        <w:tc>
          <w:tcPr>
            <w:tcW w:w="1580" w:type="dxa"/>
            <w:tcBorders>
              <w:top w:val="nil"/>
              <w:left w:val="nil"/>
              <w:bottom w:val="nil"/>
              <w:right w:val="nil"/>
            </w:tcBorders>
            <w:tcMar>
              <w:top w:w="128" w:type="dxa"/>
              <w:left w:w="43" w:type="dxa"/>
              <w:bottom w:w="43" w:type="dxa"/>
              <w:right w:w="43" w:type="dxa"/>
            </w:tcMar>
            <w:vAlign w:val="bottom"/>
          </w:tcPr>
          <w:p w14:paraId="70F97B75"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E022414" w14:textId="77777777" w:rsidR="000A2A2B" w:rsidRPr="007C3060" w:rsidRDefault="000A2A2B" w:rsidP="007C3060"/>
        </w:tc>
      </w:tr>
      <w:tr w:rsidR="004B729E" w:rsidRPr="007C3060" w14:paraId="2C663456" w14:textId="77777777">
        <w:trPr>
          <w:trHeight w:val="380"/>
        </w:trPr>
        <w:tc>
          <w:tcPr>
            <w:tcW w:w="680" w:type="dxa"/>
            <w:tcBorders>
              <w:top w:val="nil"/>
              <w:left w:val="nil"/>
              <w:bottom w:val="nil"/>
              <w:right w:val="nil"/>
            </w:tcBorders>
            <w:tcMar>
              <w:top w:w="128" w:type="dxa"/>
              <w:left w:w="43" w:type="dxa"/>
              <w:bottom w:w="43" w:type="dxa"/>
              <w:right w:w="123" w:type="dxa"/>
            </w:tcMar>
          </w:tcPr>
          <w:p w14:paraId="55B06B8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C190EE6" w14:textId="77777777" w:rsidR="000A2A2B" w:rsidRPr="007C3060" w:rsidRDefault="000A2A2B" w:rsidP="007C3060">
            <w:r w:rsidRPr="007C3060">
              <w:t>80</w:t>
            </w:r>
          </w:p>
        </w:tc>
        <w:tc>
          <w:tcPr>
            <w:tcW w:w="5040" w:type="dxa"/>
            <w:tcBorders>
              <w:top w:val="nil"/>
              <w:left w:val="nil"/>
              <w:bottom w:val="nil"/>
              <w:right w:val="nil"/>
            </w:tcBorders>
            <w:tcMar>
              <w:top w:w="128" w:type="dxa"/>
              <w:left w:w="43" w:type="dxa"/>
              <w:bottom w:w="43" w:type="dxa"/>
              <w:right w:w="43" w:type="dxa"/>
            </w:tcMar>
            <w:vAlign w:val="bottom"/>
          </w:tcPr>
          <w:p w14:paraId="185D81FF" w14:textId="77777777" w:rsidR="000A2A2B" w:rsidRPr="007C3060" w:rsidRDefault="000A2A2B" w:rsidP="007C3060">
            <w:r w:rsidRPr="007C3060">
              <w:t>Renter, forhøyes med</w:t>
            </w:r>
          </w:p>
        </w:tc>
        <w:tc>
          <w:tcPr>
            <w:tcW w:w="1580" w:type="dxa"/>
            <w:tcBorders>
              <w:top w:val="nil"/>
              <w:left w:val="nil"/>
              <w:bottom w:val="nil"/>
              <w:right w:val="nil"/>
            </w:tcBorders>
            <w:tcMar>
              <w:top w:w="128" w:type="dxa"/>
              <w:left w:w="43" w:type="dxa"/>
              <w:bottom w:w="43" w:type="dxa"/>
              <w:right w:w="43" w:type="dxa"/>
            </w:tcMar>
            <w:vAlign w:val="bottom"/>
          </w:tcPr>
          <w:p w14:paraId="5650D19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585E319" w14:textId="77777777" w:rsidR="000A2A2B" w:rsidRPr="007C3060" w:rsidRDefault="000A2A2B" w:rsidP="007C3060">
            <w:r w:rsidRPr="007C3060">
              <w:t>451 682 000</w:t>
            </w:r>
          </w:p>
        </w:tc>
      </w:tr>
      <w:tr w:rsidR="004B729E" w:rsidRPr="007C3060" w14:paraId="36216444" w14:textId="77777777">
        <w:trPr>
          <w:trHeight w:val="380"/>
        </w:trPr>
        <w:tc>
          <w:tcPr>
            <w:tcW w:w="680" w:type="dxa"/>
            <w:tcBorders>
              <w:top w:val="nil"/>
              <w:left w:val="nil"/>
              <w:bottom w:val="nil"/>
              <w:right w:val="nil"/>
            </w:tcBorders>
            <w:tcMar>
              <w:top w:w="128" w:type="dxa"/>
              <w:left w:w="43" w:type="dxa"/>
              <w:bottom w:w="43" w:type="dxa"/>
              <w:right w:w="123" w:type="dxa"/>
            </w:tcMar>
          </w:tcPr>
          <w:p w14:paraId="67F2A3A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27C2FE7"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14697A5" w14:textId="77777777" w:rsidR="000A2A2B" w:rsidRPr="007C3060" w:rsidRDefault="000A2A2B" w:rsidP="007C3060">
            <w:r w:rsidRPr="007C3060">
              <w:t>fra kr 13 852 239 000 til kr 14 303 921 000</w:t>
            </w:r>
          </w:p>
        </w:tc>
        <w:tc>
          <w:tcPr>
            <w:tcW w:w="1580" w:type="dxa"/>
            <w:tcBorders>
              <w:top w:val="nil"/>
              <w:left w:val="nil"/>
              <w:bottom w:val="nil"/>
              <w:right w:val="nil"/>
            </w:tcBorders>
            <w:tcMar>
              <w:top w:w="128" w:type="dxa"/>
              <w:left w:w="43" w:type="dxa"/>
              <w:bottom w:w="43" w:type="dxa"/>
              <w:right w:w="43" w:type="dxa"/>
            </w:tcMar>
            <w:vAlign w:val="bottom"/>
          </w:tcPr>
          <w:p w14:paraId="1C346FE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2B5DE64" w14:textId="77777777" w:rsidR="000A2A2B" w:rsidRPr="007C3060" w:rsidRDefault="000A2A2B" w:rsidP="007C3060"/>
        </w:tc>
      </w:tr>
      <w:tr w:rsidR="004B729E" w:rsidRPr="007C3060" w14:paraId="1176A72D" w14:textId="77777777">
        <w:trPr>
          <w:trHeight w:val="380"/>
        </w:trPr>
        <w:tc>
          <w:tcPr>
            <w:tcW w:w="680" w:type="dxa"/>
            <w:tcBorders>
              <w:top w:val="nil"/>
              <w:left w:val="nil"/>
              <w:bottom w:val="nil"/>
              <w:right w:val="nil"/>
            </w:tcBorders>
            <w:tcMar>
              <w:top w:w="128" w:type="dxa"/>
              <w:left w:w="43" w:type="dxa"/>
              <w:bottom w:w="43" w:type="dxa"/>
              <w:right w:w="123" w:type="dxa"/>
            </w:tcMar>
          </w:tcPr>
          <w:p w14:paraId="3A10588C" w14:textId="77777777" w:rsidR="000A2A2B" w:rsidRPr="007C3060" w:rsidRDefault="000A2A2B" w:rsidP="007C3060">
            <w:r w:rsidRPr="007C3060">
              <w:t>5625</w:t>
            </w:r>
          </w:p>
        </w:tc>
        <w:tc>
          <w:tcPr>
            <w:tcW w:w="680" w:type="dxa"/>
            <w:tcBorders>
              <w:top w:val="nil"/>
              <w:left w:val="nil"/>
              <w:bottom w:val="nil"/>
              <w:right w:val="nil"/>
            </w:tcBorders>
            <w:tcMar>
              <w:top w:w="128" w:type="dxa"/>
              <w:left w:w="43" w:type="dxa"/>
              <w:bottom w:w="43" w:type="dxa"/>
              <w:right w:w="123" w:type="dxa"/>
            </w:tcMar>
            <w:vAlign w:val="bottom"/>
          </w:tcPr>
          <w:p w14:paraId="2021D684"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D2F4FC2" w14:textId="77777777" w:rsidR="000A2A2B" w:rsidRPr="007C3060" w:rsidRDefault="000A2A2B" w:rsidP="007C3060">
            <w:r w:rsidRPr="007C3060">
              <w:t>Renter og utbytte fra Innovasjon Norge:</w:t>
            </w:r>
          </w:p>
        </w:tc>
        <w:tc>
          <w:tcPr>
            <w:tcW w:w="1580" w:type="dxa"/>
            <w:tcBorders>
              <w:top w:val="nil"/>
              <w:left w:val="nil"/>
              <w:bottom w:val="nil"/>
              <w:right w:val="nil"/>
            </w:tcBorders>
            <w:tcMar>
              <w:top w:w="128" w:type="dxa"/>
              <w:left w:w="43" w:type="dxa"/>
              <w:bottom w:w="43" w:type="dxa"/>
              <w:right w:w="43" w:type="dxa"/>
            </w:tcMar>
            <w:vAlign w:val="bottom"/>
          </w:tcPr>
          <w:p w14:paraId="2B139C1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A581DA9" w14:textId="77777777" w:rsidR="000A2A2B" w:rsidRPr="007C3060" w:rsidRDefault="000A2A2B" w:rsidP="007C3060"/>
        </w:tc>
      </w:tr>
      <w:tr w:rsidR="004B729E" w:rsidRPr="007C3060" w14:paraId="2E5CB523" w14:textId="77777777">
        <w:trPr>
          <w:trHeight w:val="380"/>
        </w:trPr>
        <w:tc>
          <w:tcPr>
            <w:tcW w:w="680" w:type="dxa"/>
            <w:tcBorders>
              <w:top w:val="nil"/>
              <w:left w:val="nil"/>
              <w:bottom w:val="nil"/>
              <w:right w:val="nil"/>
            </w:tcBorders>
            <w:tcMar>
              <w:top w:w="128" w:type="dxa"/>
              <w:left w:w="43" w:type="dxa"/>
              <w:bottom w:w="43" w:type="dxa"/>
              <w:right w:w="123" w:type="dxa"/>
            </w:tcMar>
          </w:tcPr>
          <w:p w14:paraId="0FF82777"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E0EC9F6" w14:textId="77777777" w:rsidR="000A2A2B" w:rsidRPr="007C3060" w:rsidRDefault="000A2A2B" w:rsidP="007C3060">
            <w:r w:rsidRPr="007C3060">
              <w:t>80</w:t>
            </w:r>
          </w:p>
        </w:tc>
        <w:tc>
          <w:tcPr>
            <w:tcW w:w="5040" w:type="dxa"/>
            <w:tcBorders>
              <w:top w:val="nil"/>
              <w:left w:val="nil"/>
              <w:bottom w:val="nil"/>
              <w:right w:val="nil"/>
            </w:tcBorders>
            <w:tcMar>
              <w:top w:w="128" w:type="dxa"/>
              <w:left w:w="43" w:type="dxa"/>
              <w:bottom w:w="43" w:type="dxa"/>
              <w:right w:w="43" w:type="dxa"/>
            </w:tcMar>
            <w:vAlign w:val="bottom"/>
          </w:tcPr>
          <w:p w14:paraId="5866B204" w14:textId="77777777" w:rsidR="000A2A2B" w:rsidRPr="007C3060" w:rsidRDefault="000A2A2B" w:rsidP="007C3060">
            <w:r w:rsidRPr="007C3060">
              <w:t>Renter på lån fra statskassen, forhøyes med</w:t>
            </w:r>
          </w:p>
        </w:tc>
        <w:tc>
          <w:tcPr>
            <w:tcW w:w="1580" w:type="dxa"/>
            <w:tcBorders>
              <w:top w:val="nil"/>
              <w:left w:val="nil"/>
              <w:bottom w:val="nil"/>
              <w:right w:val="nil"/>
            </w:tcBorders>
            <w:tcMar>
              <w:top w:w="128" w:type="dxa"/>
              <w:left w:w="43" w:type="dxa"/>
              <w:bottom w:w="43" w:type="dxa"/>
              <w:right w:w="43" w:type="dxa"/>
            </w:tcMar>
            <w:vAlign w:val="bottom"/>
          </w:tcPr>
          <w:p w14:paraId="76C8208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694325B" w14:textId="77777777" w:rsidR="000A2A2B" w:rsidRPr="007C3060" w:rsidRDefault="000A2A2B" w:rsidP="007C3060">
            <w:r w:rsidRPr="007C3060">
              <w:t>30 000 000</w:t>
            </w:r>
          </w:p>
        </w:tc>
      </w:tr>
      <w:tr w:rsidR="004B729E" w:rsidRPr="007C3060" w14:paraId="080B7EDB" w14:textId="77777777">
        <w:trPr>
          <w:trHeight w:val="380"/>
        </w:trPr>
        <w:tc>
          <w:tcPr>
            <w:tcW w:w="680" w:type="dxa"/>
            <w:tcBorders>
              <w:top w:val="nil"/>
              <w:left w:val="nil"/>
              <w:bottom w:val="nil"/>
              <w:right w:val="nil"/>
            </w:tcBorders>
            <w:tcMar>
              <w:top w:w="128" w:type="dxa"/>
              <w:left w:w="43" w:type="dxa"/>
              <w:bottom w:w="43" w:type="dxa"/>
              <w:right w:w="123" w:type="dxa"/>
            </w:tcMar>
          </w:tcPr>
          <w:p w14:paraId="359DBEB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FAADC8E"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8DC1E82" w14:textId="77777777" w:rsidR="000A2A2B" w:rsidRPr="007C3060" w:rsidRDefault="000A2A2B" w:rsidP="007C3060">
            <w:r w:rsidRPr="007C3060">
              <w:t>fra kr 720 000 000 til kr 750 000 000</w:t>
            </w:r>
          </w:p>
        </w:tc>
        <w:tc>
          <w:tcPr>
            <w:tcW w:w="1580" w:type="dxa"/>
            <w:tcBorders>
              <w:top w:val="nil"/>
              <w:left w:val="nil"/>
              <w:bottom w:val="nil"/>
              <w:right w:val="nil"/>
            </w:tcBorders>
            <w:tcMar>
              <w:top w:w="128" w:type="dxa"/>
              <w:left w:w="43" w:type="dxa"/>
              <w:bottom w:w="43" w:type="dxa"/>
              <w:right w:w="43" w:type="dxa"/>
            </w:tcMar>
            <w:vAlign w:val="bottom"/>
          </w:tcPr>
          <w:p w14:paraId="0F8B42D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C90BF65" w14:textId="77777777" w:rsidR="000A2A2B" w:rsidRPr="007C3060" w:rsidRDefault="000A2A2B" w:rsidP="007C3060"/>
        </w:tc>
      </w:tr>
      <w:tr w:rsidR="004B729E" w:rsidRPr="007C3060" w14:paraId="5E155C2C" w14:textId="77777777">
        <w:trPr>
          <w:trHeight w:val="380"/>
        </w:trPr>
        <w:tc>
          <w:tcPr>
            <w:tcW w:w="680" w:type="dxa"/>
            <w:tcBorders>
              <w:top w:val="nil"/>
              <w:left w:val="nil"/>
              <w:bottom w:val="nil"/>
              <w:right w:val="nil"/>
            </w:tcBorders>
            <w:tcMar>
              <w:top w:w="128" w:type="dxa"/>
              <w:left w:w="43" w:type="dxa"/>
              <w:bottom w:w="43" w:type="dxa"/>
              <w:right w:w="123" w:type="dxa"/>
            </w:tcMar>
          </w:tcPr>
          <w:p w14:paraId="3C0E4018"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9BDBCD4" w14:textId="77777777" w:rsidR="000A2A2B" w:rsidRPr="007C3060" w:rsidRDefault="000A2A2B" w:rsidP="007C3060">
            <w:r w:rsidRPr="007C3060">
              <w:t>81</w:t>
            </w:r>
          </w:p>
        </w:tc>
        <w:tc>
          <w:tcPr>
            <w:tcW w:w="6620" w:type="dxa"/>
            <w:gridSpan w:val="2"/>
            <w:tcBorders>
              <w:top w:val="nil"/>
              <w:left w:val="nil"/>
              <w:bottom w:val="nil"/>
              <w:right w:val="nil"/>
            </w:tcBorders>
            <w:tcMar>
              <w:top w:w="128" w:type="dxa"/>
              <w:left w:w="43" w:type="dxa"/>
              <w:bottom w:w="43" w:type="dxa"/>
              <w:right w:w="43" w:type="dxa"/>
            </w:tcMar>
            <w:vAlign w:val="bottom"/>
          </w:tcPr>
          <w:p w14:paraId="4F01B7E7" w14:textId="77777777" w:rsidR="000A2A2B" w:rsidRPr="007C3060" w:rsidRDefault="000A2A2B" w:rsidP="007C3060">
            <w:r w:rsidRPr="007C3060">
              <w:t>Rentemargin, innovasjonslåneordningen, nedsettes med</w:t>
            </w:r>
          </w:p>
        </w:tc>
        <w:tc>
          <w:tcPr>
            <w:tcW w:w="1580" w:type="dxa"/>
            <w:tcBorders>
              <w:top w:val="nil"/>
              <w:left w:val="nil"/>
              <w:bottom w:val="nil"/>
              <w:right w:val="nil"/>
            </w:tcBorders>
            <w:tcMar>
              <w:top w:w="128" w:type="dxa"/>
              <w:left w:w="43" w:type="dxa"/>
              <w:bottom w:w="43" w:type="dxa"/>
              <w:right w:w="43" w:type="dxa"/>
            </w:tcMar>
            <w:vAlign w:val="bottom"/>
          </w:tcPr>
          <w:p w14:paraId="0FF8FD2D" w14:textId="77777777" w:rsidR="000A2A2B" w:rsidRPr="007C3060" w:rsidRDefault="000A2A2B" w:rsidP="007C3060">
            <w:r w:rsidRPr="007C3060">
              <w:t>7 900 000</w:t>
            </w:r>
          </w:p>
        </w:tc>
      </w:tr>
      <w:tr w:rsidR="004B729E" w:rsidRPr="007C3060" w14:paraId="341529D6" w14:textId="77777777">
        <w:trPr>
          <w:trHeight w:val="380"/>
        </w:trPr>
        <w:tc>
          <w:tcPr>
            <w:tcW w:w="680" w:type="dxa"/>
            <w:tcBorders>
              <w:top w:val="nil"/>
              <w:left w:val="nil"/>
              <w:bottom w:val="nil"/>
              <w:right w:val="nil"/>
            </w:tcBorders>
            <w:tcMar>
              <w:top w:w="128" w:type="dxa"/>
              <w:left w:w="43" w:type="dxa"/>
              <w:bottom w:w="43" w:type="dxa"/>
              <w:right w:w="123" w:type="dxa"/>
            </w:tcMar>
          </w:tcPr>
          <w:p w14:paraId="747DDFFE"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C071594"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6D37D72" w14:textId="77777777" w:rsidR="000A2A2B" w:rsidRPr="007C3060" w:rsidRDefault="000A2A2B" w:rsidP="007C3060">
            <w:r w:rsidRPr="007C3060">
              <w:t>fra kr 23 000 000 til kr 15 100 000</w:t>
            </w:r>
          </w:p>
        </w:tc>
        <w:tc>
          <w:tcPr>
            <w:tcW w:w="1580" w:type="dxa"/>
            <w:tcBorders>
              <w:top w:val="nil"/>
              <w:left w:val="nil"/>
              <w:bottom w:val="nil"/>
              <w:right w:val="nil"/>
            </w:tcBorders>
            <w:tcMar>
              <w:top w:w="128" w:type="dxa"/>
              <w:left w:w="43" w:type="dxa"/>
              <w:bottom w:w="43" w:type="dxa"/>
              <w:right w:w="43" w:type="dxa"/>
            </w:tcMar>
            <w:vAlign w:val="bottom"/>
          </w:tcPr>
          <w:p w14:paraId="0A805E7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9B51C8C" w14:textId="77777777" w:rsidR="000A2A2B" w:rsidRPr="007C3060" w:rsidRDefault="000A2A2B" w:rsidP="007C3060"/>
        </w:tc>
      </w:tr>
      <w:tr w:rsidR="004B729E" w:rsidRPr="007C3060" w14:paraId="46F09E86" w14:textId="77777777">
        <w:trPr>
          <w:trHeight w:val="380"/>
        </w:trPr>
        <w:tc>
          <w:tcPr>
            <w:tcW w:w="680" w:type="dxa"/>
            <w:tcBorders>
              <w:top w:val="nil"/>
              <w:left w:val="nil"/>
              <w:bottom w:val="nil"/>
              <w:right w:val="nil"/>
            </w:tcBorders>
            <w:tcMar>
              <w:top w:w="128" w:type="dxa"/>
              <w:left w:w="43" w:type="dxa"/>
              <w:bottom w:w="43" w:type="dxa"/>
              <w:right w:w="123" w:type="dxa"/>
            </w:tcMar>
          </w:tcPr>
          <w:p w14:paraId="2AF2BDB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D645664" w14:textId="77777777" w:rsidR="000A2A2B" w:rsidRPr="007C3060" w:rsidRDefault="000A2A2B" w:rsidP="007C3060">
            <w:r w:rsidRPr="007C3060">
              <w:t>85</w:t>
            </w:r>
          </w:p>
        </w:tc>
        <w:tc>
          <w:tcPr>
            <w:tcW w:w="5040" w:type="dxa"/>
            <w:tcBorders>
              <w:top w:val="nil"/>
              <w:left w:val="nil"/>
              <w:bottom w:val="nil"/>
              <w:right w:val="nil"/>
            </w:tcBorders>
            <w:tcMar>
              <w:top w:w="128" w:type="dxa"/>
              <w:left w:w="43" w:type="dxa"/>
              <w:bottom w:w="43" w:type="dxa"/>
              <w:right w:w="43" w:type="dxa"/>
            </w:tcMar>
            <w:vAlign w:val="bottom"/>
          </w:tcPr>
          <w:p w14:paraId="4D53166A" w14:textId="77777777" w:rsidR="000A2A2B" w:rsidRPr="007C3060" w:rsidRDefault="000A2A2B" w:rsidP="007C3060">
            <w:r w:rsidRPr="007C3060">
              <w:t>Utbytte, lavrisikolåneordningen, forhøyes med</w:t>
            </w:r>
          </w:p>
        </w:tc>
        <w:tc>
          <w:tcPr>
            <w:tcW w:w="1580" w:type="dxa"/>
            <w:tcBorders>
              <w:top w:val="nil"/>
              <w:left w:val="nil"/>
              <w:bottom w:val="nil"/>
              <w:right w:val="nil"/>
            </w:tcBorders>
            <w:tcMar>
              <w:top w:w="128" w:type="dxa"/>
              <w:left w:w="43" w:type="dxa"/>
              <w:bottom w:w="43" w:type="dxa"/>
              <w:right w:w="43" w:type="dxa"/>
            </w:tcMar>
            <w:vAlign w:val="bottom"/>
          </w:tcPr>
          <w:p w14:paraId="078FC36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1488A5B" w14:textId="77777777" w:rsidR="000A2A2B" w:rsidRPr="007C3060" w:rsidRDefault="000A2A2B" w:rsidP="007C3060">
            <w:r w:rsidRPr="007C3060">
              <w:t>184 000 000</w:t>
            </w:r>
          </w:p>
        </w:tc>
      </w:tr>
      <w:tr w:rsidR="004B729E" w:rsidRPr="007C3060" w14:paraId="0883ABF0" w14:textId="77777777">
        <w:trPr>
          <w:trHeight w:val="380"/>
        </w:trPr>
        <w:tc>
          <w:tcPr>
            <w:tcW w:w="680" w:type="dxa"/>
            <w:tcBorders>
              <w:top w:val="nil"/>
              <w:left w:val="nil"/>
              <w:bottom w:val="nil"/>
              <w:right w:val="nil"/>
            </w:tcBorders>
            <w:tcMar>
              <w:top w:w="128" w:type="dxa"/>
              <w:left w:w="43" w:type="dxa"/>
              <w:bottom w:w="43" w:type="dxa"/>
              <w:right w:w="123" w:type="dxa"/>
            </w:tcMar>
          </w:tcPr>
          <w:p w14:paraId="17FE4FE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24B0C02"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4187514" w14:textId="77777777" w:rsidR="000A2A2B" w:rsidRPr="007C3060" w:rsidRDefault="000A2A2B" w:rsidP="007C3060">
            <w:r w:rsidRPr="007C3060">
              <w:t>fra kr 70 000 000 til kr 254 000 000</w:t>
            </w:r>
          </w:p>
        </w:tc>
        <w:tc>
          <w:tcPr>
            <w:tcW w:w="1580" w:type="dxa"/>
            <w:tcBorders>
              <w:top w:val="nil"/>
              <w:left w:val="nil"/>
              <w:bottom w:val="nil"/>
              <w:right w:val="nil"/>
            </w:tcBorders>
            <w:tcMar>
              <w:top w:w="128" w:type="dxa"/>
              <w:left w:w="43" w:type="dxa"/>
              <w:bottom w:w="43" w:type="dxa"/>
              <w:right w:w="43" w:type="dxa"/>
            </w:tcMar>
            <w:vAlign w:val="bottom"/>
          </w:tcPr>
          <w:p w14:paraId="19505DA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B24A967" w14:textId="77777777" w:rsidR="000A2A2B" w:rsidRPr="007C3060" w:rsidRDefault="000A2A2B" w:rsidP="007C3060"/>
        </w:tc>
      </w:tr>
      <w:tr w:rsidR="004B729E" w:rsidRPr="007C3060" w14:paraId="370B67E7" w14:textId="77777777">
        <w:trPr>
          <w:trHeight w:val="380"/>
        </w:trPr>
        <w:tc>
          <w:tcPr>
            <w:tcW w:w="680" w:type="dxa"/>
            <w:tcBorders>
              <w:top w:val="nil"/>
              <w:left w:val="nil"/>
              <w:bottom w:val="nil"/>
              <w:right w:val="nil"/>
            </w:tcBorders>
            <w:tcMar>
              <w:top w:w="128" w:type="dxa"/>
              <w:left w:w="43" w:type="dxa"/>
              <w:bottom w:w="43" w:type="dxa"/>
              <w:right w:w="123" w:type="dxa"/>
            </w:tcMar>
          </w:tcPr>
          <w:p w14:paraId="3E67CFA8" w14:textId="77777777" w:rsidR="000A2A2B" w:rsidRPr="007C3060" w:rsidRDefault="000A2A2B" w:rsidP="007C3060">
            <w:r w:rsidRPr="007C3060">
              <w:t>5626</w:t>
            </w:r>
          </w:p>
        </w:tc>
        <w:tc>
          <w:tcPr>
            <w:tcW w:w="680" w:type="dxa"/>
            <w:tcBorders>
              <w:top w:val="nil"/>
              <w:left w:val="nil"/>
              <w:bottom w:val="nil"/>
              <w:right w:val="nil"/>
            </w:tcBorders>
            <w:tcMar>
              <w:top w:w="128" w:type="dxa"/>
              <w:left w:w="43" w:type="dxa"/>
              <w:bottom w:w="43" w:type="dxa"/>
              <w:right w:w="123" w:type="dxa"/>
            </w:tcMar>
            <w:vAlign w:val="bottom"/>
          </w:tcPr>
          <w:p w14:paraId="2F964616"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330B7C9B" w14:textId="77777777" w:rsidR="000A2A2B" w:rsidRPr="007C3060" w:rsidRDefault="000A2A2B" w:rsidP="007C3060">
            <w:r w:rsidRPr="007C3060">
              <w:t>Renter av lån til Institutt for energiteknikk:</w:t>
            </w:r>
          </w:p>
        </w:tc>
        <w:tc>
          <w:tcPr>
            <w:tcW w:w="1580" w:type="dxa"/>
            <w:tcBorders>
              <w:top w:val="nil"/>
              <w:left w:val="nil"/>
              <w:bottom w:val="nil"/>
              <w:right w:val="nil"/>
            </w:tcBorders>
            <w:tcMar>
              <w:top w:w="128" w:type="dxa"/>
              <w:left w:w="43" w:type="dxa"/>
              <w:bottom w:w="43" w:type="dxa"/>
              <w:right w:w="43" w:type="dxa"/>
            </w:tcMar>
            <w:vAlign w:val="bottom"/>
          </w:tcPr>
          <w:p w14:paraId="5AB80C24"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1B6A601" w14:textId="77777777" w:rsidR="000A2A2B" w:rsidRPr="007C3060" w:rsidRDefault="000A2A2B" w:rsidP="007C3060"/>
        </w:tc>
      </w:tr>
      <w:tr w:rsidR="004B729E" w:rsidRPr="007C3060" w14:paraId="3549604E" w14:textId="77777777">
        <w:trPr>
          <w:trHeight w:val="380"/>
        </w:trPr>
        <w:tc>
          <w:tcPr>
            <w:tcW w:w="680" w:type="dxa"/>
            <w:tcBorders>
              <w:top w:val="nil"/>
              <w:left w:val="nil"/>
              <w:bottom w:val="nil"/>
              <w:right w:val="nil"/>
            </w:tcBorders>
            <w:tcMar>
              <w:top w:w="128" w:type="dxa"/>
              <w:left w:w="43" w:type="dxa"/>
              <w:bottom w:w="43" w:type="dxa"/>
              <w:right w:w="123" w:type="dxa"/>
            </w:tcMar>
          </w:tcPr>
          <w:p w14:paraId="4B9DE634"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3953834" w14:textId="77777777" w:rsidR="000A2A2B" w:rsidRPr="007C3060" w:rsidRDefault="000A2A2B" w:rsidP="007C3060">
            <w:r w:rsidRPr="007C3060">
              <w:t>80</w:t>
            </w:r>
          </w:p>
        </w:tc>
        <w:tc>
          <w:tcPr>
            <w:tcW w:w="5040" w:type="dxa"/>
            <w:tcBorders>
              <w:top w:val="nil"/>
              <w:left w:val="nil"/>
              <w:bottom w:val="nil"/>
              <w:right w:val="nil"/>
            </w:tcBorders>
            <w:tcMar>
              <w:top w:w="128" w:type="dxa"/>
              <w:left w:w="43" w:type="dxa"/>
              <w:bottom w:w="43" w:type="dxa"/>
              <w:right w:w="43" w:type="dxa"/>
            </w:tcMar>
            <w:vAlign w:val="bottom"/>
          </w:tcPr>
          <w:p w14:paraId="0E99D82B" w14:textId="77777777" w:rsidR="000A2A2B" w:rsidRPr="007C3060" w:rsidRDefault="000A2A2B" w:rsidP="007C3060">
            <w:r w:rsidRPr="007C3060">
              <w:t>Renter, nedsettes med</w:t>
            </w:r>
          </w:p>
        </w:tc>
        <w:tc>
          <w:tcPr>
            <w:tcW w:w="1580" w:type="dxa"/>
            <w:tcBorders>
              <w:top w:val="nil"/>
              <w:left w:val="nil"/>
              <w:bottom w:val="nil"/>
              <w:right w:val="nil"/>
            </w:tcBorders>
            <w:tcMar>
              <w:top w:w="128" w:type="dxa"/>
              <w:left w:w="43" w:type="dxa"/>
              <w:bottom w:w="43" w:type="dxa"/>
              <w:right w:w="43" w:type="dxa"/>
            </w:tcMar>
            <w:vAlign w:val="bottom"/>
          </w:tcPr>
          <w:p w14:paraId="3F06A2B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C9D300D" w14:textId="77777777" w:rsidR="000A2A2B" w:rsidRPr="007C3060" w:rsidRDefault="000A2A2B" w:rsidP="007C3060">
            <w:r w:rsidRPr="007C3060">
              <w:t>2 300 000</w:t>
            </w:r>
          </w:p>
        </w:tc>
      </w:tr>
      <w:tr w:rsidR="004B729E" w:rsidRPr="007C3060" w14:paraId="6DA8FBFB" w14:textId="77777777">
        <w:trPr>
          <w:trHeight w:val="380"/>
        </w:trPr>
        <w:tc>
          <w:tcPr>
            <w:tcW w:w="680" w:type="dxa"/>
            <w:tcBorders>
              <w:top w:val="nil"/>
              <w:left w:val="nil"/>
              <w:bottom w:val="nil"/>
              <w:right w:val="nil"/>
            </w:tcBorders>
            <w:tcMar>
              <w:top w:w="128" w:type="dxa"/>
              <w:left w:w="43" w:type="dxa"/>
              <w:bottom w:w="43" w:type="dxa"/>
              <w:right w:w="123" w:type="dxa"/>
            </w:tcMar>
          </w:tcPr>
          <w:p w14:paraId="5B00544B"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6AEB7C9"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7CD5B21" w14:textId="77777777" w:rsidR="000A2A2B" w:rsidRPr="007C3060" w:rsidRDefault="000A2A2B" w:rsidP="007C3060">
            <w:r w:rsidRPr="007C3060">
              <w:t>fra kr 4 800 000 til kr 2 500 000</w:t>
            </w:r>
          </w:p>
        </w:tc>
        <w:tc>
          <w:tcPr>
            <w:tcW w:w="1580" w:type="dxa"/>
            <w:tcBorders>
              <w:top w:val="nil"/>
              <w:left w:val="nil"/>
              <w:bottom w:val="nil"/>
              <w:right w:val="nil"/>
            </w:tcBorders>
            <w:tcMar>
              <w:top w:w="128" w:type="dxa"/>
              <w:left w:w="43" w:type="dxa"/>
              <w:bottom w:w="43" w:type="dxa"/>
              <w:right w:w="43" w:type="dxa"/>
            </w:tcMar>
            <w:vAlign w:val="bottom"/>
          </w:tcPr>
          <w:p w14:paraId="4C2DFB45"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B0D70B1" w14:textId="77777777" w:rsidR="000A2A2B" w:rsidRPr="007C3060" w:rsidRDefault="000A2A2B" w:rsidP="007C3060"/>
        </w:tc>
      </w:tr>
      <w:tr w:rsidR="004B729E" w:rsidRPr="007C3060" w14:paraId="02F9C996" w14:textId="77777777">
        <w:trPr>
          <w:trHeight w:val="380"/>
        </w:trPr>
        <w:tc>
          <w:tcPr>
            <w:tcW w:w="680" w:type="dxa"/>
            <w:tcBorders>
              <w:top w:val="nil"/>
              <w:left w:val="nil"/>
              <w:bottom w:val="nil"/>
              <w:right w:val="nil"/>
            </w:tcBorders>
            <w:tcMar>
              <w:top w:w="128" w:type="dxa"/>
              <w:left w:w="43" w:type="dxa"/>
              <w:bottom w:w="43" w:type="dxa"/>
              <w:right w:w="123" w:type="dxa"/>
            </w:tcMar>
          </w:tcPr>
          <w:p w14:paraId="06D7C98B" w14:textId="77777777" w:rsidR="000A2A2B" w:rsidRPr="007C3060" w:rsidRDefault="000A2A2B" w:rsidP="007C3060">
            <w:r w:rsidRPr="007C3060">
              <w:t>5628</w:t>
            </w:r>
          </w:p>
        </w:tc>
        <w:tc>
          <w:tcPr>
            <w:tcW w:w="680" w:type="dxa"/>
            <w:tcBorders>
              <w:top w:val="nil"/>
              <w:left w:val="nil"/>
              <w:bottom w:val="nil"/>
              <w:right w:val="nil"/>
            </w:tcBorders>
            <w:tcMar>
              <w:top w:w="128" w:type="dxa"/>
              <w:left w:w="43" w:type="dxa"/>
              <w:bottom w:w="43" w:type="dxa"/>
              <w:right w:w="123" w:type="dxa"/>
            </w:tcMar>
            <w:vAlign w:val="bottom"/>
          </w:tcPr>
          <w:p w14:paraId="1F5B88A1"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59545A2" w14:textId="77777777" w:rsidR="000A2A2B" w:rsidRPr="007C3060" w:rsidRDefault="000A2A2B" w:rsidP="007C3060">
            <w:r w:rsidRPr="007C3060">
              <w:t xml:space="preserve">Renter fra </w:t>
            </w:r>
            <w:proofErr w:type="spellStart"/>
            <w:r w:rsidRPr="007C3060">
              <w:t>Investinor</w:t>
            </w:r>
            <w:proofErr w:type="spellEnd"/>
            <w:r w:rsidRPr="007C3060">
              <w:t xml:space="preserve"> AS:</w:t>
            </w:r>
          </w:p>
        </w:tc>
        <w:tc>
          <w:tcPr>
            <w:tcW w:w="1580" w:type="dxa"/>
            <w:tcBorders>
              <w:top w:val="nil"/>
              <w:left w:val="nil"/>
              <w:bottom w:val="nil"/>
              <w:right w:val="nil"/>
            </w:tcBorders>
            <w:tcMar>
              <w:top w:w="128" w:type="dxa"/>
              <w:left w:w="43" w:type="dxa"/>
              <w:bottom w:w="43" w:type="dxa"/>
              <w:right w:w="43" w:type="dxa"/>
            </w:tcMar>
            <w:vAlign w:val="bottom"/>
          </w:tcPr>
          <w:p w14:paraId="1A9D13B9"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70A58B5" w14:textId="77777777" w:rsidR="000A2A2B" w:rsidRPr="007C3060" w:rsidRDefault="000A2A2B" w:rsidP="007C3060"/>
        </w:tc>
      </w:tr>
      <w:tr w:rsidR="004B729E" w:rsidRPr="007C3060" w14:paraId="65BA7BDB" w14:textId="77777777">
        <w:trPr>
          <w:trHeight w:val="380"/>
        </w:trPr>
        <w:tc>
          <w:tcPr>
            <w:tcW w:w="680" w:type="dxa"/>
            <w:tcBorders>
              <w:top w:val="nil"/>
              <w:left w:val="nil"/>
              <w:bottom w:val="nil"/>
              <w:right w:val="nil"/>
            </w:tcBorders>
            <w:tcMar>
              <w:top w:w="128" w:type="dxa"/>
              <w:left w:w="43" w:type="dxa"/>
              <w:bottom w:w="43" w:type="dxa"/>
              <w:right w:w="123" w:type="dxa"/>
            </w:tcMar>
          </w:tcPr>
          <w:p w14:paraId="43B72AF3" w14:textId="77777777" w:rsidR="000A2A2B" w:rsidRPr="007C3060" w:rsidRDefault="000A2A2B" w:rsidP="007C3060">
            <w:r w:rsidRPr="007C3060">
              <w:t>(NY)</w:t>
            </w:r>
          </w:p>
        </w:tc>
        <w:tc>
          <w:tcPr>
            <w:tcW w:w="680" w:type="dxa"/>
            <w:tcBorders>
              <w:top w:val="nil"/>
              <w:left w:val="nil"/>
              <w:bottom w:val="nil"/>
              <w:right w:val="nil"/>
            </w:tcBorders>
            <w:tcMar>
              <w:top w:w="128" w:type="dxa"/>
              <w:left w:w="43" w:type="dxa"/>
              <w:bottom w:w="43" w:type="dxa"/>
              <w:right w:w="123" w:type="dxa"/>
            </w:tcMar>
            <w:vAlign w:val="bottom"/>
          </w:tcPr>
          <w:p w14:paraId="64F7939B" w14:textId="77777777" w:rsidR="000A2A2B" w:rsidRPr="007C3060" w:rsidRDefault="000A2A2B" w:rsidP="007C3060">
            <w:r w:rsidRPr="007C3060">
              <w:t>80</w:t>
            </w:r>
          </w:p>
        </w:tc>
        <w:tc>
          <w:tcPr>
            <w:tcW w:w="5040" w:type="dxa"/>
            <w:tcBorders>
              <w:top w:val="nil"/>
              <w:left w:val="nil"/>
              <w:bottom w:val="nil"/>
              <w:right w:val="nil"/>
            </w:tcBorders>
            <w:tcMar>
              <w:top w:w="128" w:type="dxa"/>
              <w:left w:w="43" w:type="dxa"/>
              <w:bottom w:w="43" w:type="dxa"/>
              <w:right w:w="43" w:type="dxa"/>
            </w:tcMar>
            <w:vAlign w:val="bottom"/>
          </w:tcPr>
          <w:p w14:paraId="08E67E4C" w14:textId="77777777" w:rsidR="000A2A2B" w:rsidRPr="007C3060" w:rsidRDefault="000A2A2B" w:rsidP="007C3060">
            <w:r w:rsidRPr="007C3060">
              <w:t>Renter fra såkornfond, bevilges med</w:t>
            </w:r>
          </w:p>
        </w:tc>
        <w:tc>
          <w:tcPr>
            <w:tcW w:w="1580" w:type="dxa"/>
            <w:tcBorders>
              <w:top w:val="nil"/>
              <w:left w:val="nil"/>
              <w:bottom w:val="nil"/>
              <w:right w:val="nil"/>
            </w:tcBorders>
            <w:tcMar>
              <w:top w:w="128" w:type="dxa"/>
              <w:left w:w="43" w:type="dxa"/>
              <w:bottom w:w="43" w:type="dxa"/>
              <w:right w:w="43" w:type="dxa"/>
            </w:tcMar>
            <w:vAlign w:val="bottom"/>
          </w:tcPr>
          <w:p w14:paraId="0D87ED0C"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29DAB1E" w14:textId="77777777" w:rsidR="000A2A2B" w:rsidRPr="007C3060" w:rsidRDefault="000A2A2B" w:rsidP="007C3060">
            <w:r w:rsidRPr="007C3060">
              <w:t>88 000 000</w:t>
            </w:r>
          </w:p>
        </w:tc>
      </w:tr>
      <w:tr w:rsidR="004B729E" w:rsidRPr="007C3060" w14:paraId="5EF89232" w14:textId="77777777">
        <w:trPr>
          <w:trHeight w:val="380"/>
        </w:trPr>
        <w:tc>
          <w:tcPr>
            <w:tcW w:w="680" w:type="dxa"/>
            <w:tcBorders>
              <w:top w:val="nil"/>
              <w:left w:val="nil"/>
              <w:bottom w:val="nil"/>
              <w:right w:val="nil"/>
            </w:tcBorders>
            <w:tcMar>
              <w:top w:w="128" w:type="dxa"/>
              <w:left w:w="43" w:type="dxa"/>
              <w:bottom w:w="43" w:type="dxa"/>
              <w:right w:w="123" w:type="dxa"/>
            </w:tcMar>
          </w:tcPr>
          <w:p w14:paraId="3E2E7838" w14:textId="77777777" w:rsidR="000A2A2B" w:rsidRPr="007C3060" w:rsidRDefault="000A2A2B" w:rsidP="007C3060">
            <w:r w:rsidRPr="007C3060">
              <w:t>5631</w:t>
            </w:r>
          </w:p>
        </w:tc>
        <w:tc>
          <w:tcPr>
            <w:tcW w:w="680" w:type="dxa"/>
            <w:tcBorders>
              <w:top w:val="nil"/>
              <w:left w:val="nil"/>
              <w:bottom w:val="nil"/>
              <w:right w:val="nil"/>
            </w:tcBorders>
            <w:tcMar>
              <w:top w:w="128" w:type="dxa"/>
              <w:left w:w="43" w:type="dxa"/>
              <w:bottom w:w="43" w:type="dxa"/>
              <w:right w:w="123" w:type="dxa"/>
            </w:tcMar>
            <w:vAlign w:val="bottom"/>
          </w:tcPr>
          <w:p w14:paraId="17C6D942"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2897572" w14:textId="77777777" w:rsidR="000A2A2B" w:rsidRPr="007C3060" w:rsidRDefault="000A2A2B" w:rsidP="007C3060">
            <w:r w:rsidRPr="007C3060">
              <w:t>Aksjer i AS Vinmonopolet:</w:t>
            </w:r>
          </w:p>
        </w:tc>
        <w:tc>
          <w:tcPr>
            <w:tcW w:w="1580" w:type="dxa"/>
            <w:tcBorders>
              <w:top w:val="nil"/>
              <w:left w:val="nil"/>
              <w:bottom w:val="nil"/>
              <w:right w:val="nil"/>
            </w:tcBorders>
            <w:tcMar>
              <w:top w:w="128" w:type="dxa"/>
              <w:left w:w="43" w:type="dxa"/>
              <w:bottom w:w="43" w:type="dxa"/>
              <w:right w:w="43" w:type="dxa"/>
            </w:tcMar>
            <w:vAlign w:val="bottom"/>
          </w:tcPr>
          <w:p w14:paraId="2E6B604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859FAD4" w14:textId="77777777" w:rsidR="000A2A2B" w:rsidRPr="007C3060" w:rsidRDefault="000A2A2B" w:rsidP="007C3060"/>
        </w:tc>
      </w:tr>
      <w:tr w:rsidR="004B729E" w:rsidRPr="007C3060" w14:paraId="2B431F6C" w14:textId="77777777">
        <w:trPr>
          <w:trHeight w:val="380"/>
        </w:trPr>
        <w:tc>
          <w:tcPr>
            <w:tcW w:w="680" w:type="dxa"/>
            <w:tcBorders>
              <w:top w:val="nil"/>
              <w:left w:val="nil"/>
              <w:bottom w:val="nil"/>
              <w:right w:val="nil"/>
            </w:tcBorders>
            <w:tcMar>
              <w:top w:w="128" w:type="dxa"/>
              <w:left w:w="43" w:type="dxa"/>
              <w:bottom w:w="43" w:type="dxa"/>
              <w:right w:w="123" w:type="dxa"/>
            </w:tcMar>
          </w:tcPr>
          <w:p w14:paraId="010D79A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D01E92A" w14:textId="77777777" w:rsidR="000A2A2B" w:rsidRPr="007C3060" w:rsidRDefault="000A2A2B" w:rsidP="007C3060">
            <w:r w:rsidRPr="007C3060">
              <w:t>85</w:t>
            </w:r>
          </w:p>
        </w:tc>
        <w:tc>
          <w:tcPr>
            <w:tcW w:w="5040" w:type="dxa"/>
            <w:tcBorders>
              <w:top w:val="nil"/>
              <w:left w:val="nil"/>
              <w:bottom w:val="nil"/>
              <w:right w:val="nil"/>
            </w:tcBorders>
            <w:tcMar>
              <w:top w:w="128" w:type="dxa"/>
              <w:left w:w="43" w:type="dxa"/>
              <w:bottom w:w="43" w:type="dxa"/>
              <w:right w:w="43" w:type="dxa"/>
            </w:tcMar>
            <w:vAlign w:val="bottom"/>
          </w:tcPr>
          <w:p w14:paraId="4D5AF21C" w14:textId="77777777" w:rsidR="000A2A2B" w:rsidRPr="007C3060" w:rsidRDefault="000A2A2B" w:rsidP="007C3060">
            <w:r w:rsidRPr="007C3060">
              <w:t>Statens overskuddsandel, forhøyes med</w:t>
            </w:r>
          </w:p>
        </w:tc>
        <w:tc>
          <w:tcPr>
            <w:tcW w:w="1580" w:type="dxa"/>
            <w:tcBorders>
              <w:top w:val="nil"/>
              <w:left w:val="nil"/>
              <w:bottom w:val="nil"/>
              <w:right w:val="nil"/>
            </w:tcBorders>
            <w:tcMar>
              <w:top w:w="128" w:type="dxa"/>
              <w:left w:w="43" w:type="dxa"/>
              <w:bottom w:w="43" w:type="dxa"/>
              <w:right w:w="43" w:type="dxa"/>
            </w:tcMar>
            <w:vAlign w:val="bottom"/>
          </w:tcPr>
          <w:p w14:paraId="3506F94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7971D12" w14:textId="77777777" w:rsidR="000A2A2B" w:rsidRPr="007C3060" w:rsidRDefault="000A2A2B" w:rsidP="007C3060">
            <w:r w:rsidRPr="007C3060">
              <w:t>10 800 000</w:t>
            </w:r>
          </w:p>
        </w:tc>
      </w:tr>
      <w:tr w:rsidR="004B729E" w:rsidRPr="007C3060" w14:paraId="3B036349" w14:textId="77777777">
        <w:trPr>
          <w:trHeight w:val="380"/>
        </w:trPr>
        <w:tc>
          <w:tcPr>
            <w:tcW w:w="680" w:type="dxa"/>
            <w:tcBorders>
              <w:top w:val="nil"/>
              <w:left w:val="nil"/>
              <w:bottom w:val="nil"/>
              <w:right w:val="nil"/>
            </w:tcBorders>
            <w:tcMar>
              <w:top w:w="128" w:type="dxa"/>
              <w:left w:w="43" w:type="dxa"/>
              <w:bottom w:w="43" w:type="dxa"/>
              <w:right w:w="123" w:type="dxa"/>
            </w:tcMar>
          </w:tcPr>
          <w:p w14:paraId="49192A95"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5836062"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C1569A9" w14:textId="77777777" w:rsidR="000A2A2B" w:rsidRPr="007C3060" w:rsidRDefault="000A2A2B" w:rsidP="007C3060">
            <w:r w:rsidRPr="007C3060">
              <w:t>fra kr 79 500 000 til kr 90 300 000</w:t>
            </w:r>
          </w:p>
        </w:tc>
        <w:tc>
          <w:tcPr>
            <w:tcW w:w="1580" w:type="dxa"/>
            <w:tcBorders>
              <w:top w:val="nil"/>
              <w:left w:val="nil"/>
              <w:bottom w:val="nil"/>
              <w:right w:val="nil"/>
            </w:tcBorders>
            <w:tcMar>
              <w:top w:w="128" w:type="dxa"/>
              <w:left w:w="43" w:type="dxa"/>
              <w:bottom w:w="43" w:type="dxa"/>
              <w:right w:w="43" w:type="dxa"/>
            </w:tcMar>
            <w:vAlign w:val="bottom"/>
          </w:tcPr>
          <w:p w14:paraId="5C838555"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C9F0158" w14:textId="77777777" w:rsidR="000A2A2B" w:rsidRPr="007C3060" w:rsidRDefault="000A2A2B" w:rsidP="007C3060"/>
        </w:tc>
      </w:tr>
      <w:tr w:rsidR="004B729E" w:rsidRPr="007C3060" w14:paraId="776BFB33" w14:textId="77777777">
        <w:trPr>
          <w:trHeight w:val="380"/>
        </w:trPr>
        <w:tc>
          <w:tcPr>
            <w:tcW w:w="680" w:type="dxa"/>
            <w:tcBorders>
              <w:top w:val="nil"/>
              <w:left w:val="nil"/>
              <w:bottom w:val="nil"/>
              <w:right w:val="nil"/>
            </w:tcBorders>
            <w:tcMar>
              <w:top w:w="128" w:type="dxa"/>
              <w:left w:w="43" w:type="dxa"/>
              <w:bottom w:w="43" w:type="dxa"/>
              <w:right w:w="123" w:type="dxa"/>
            </w:tcMar>
          </w:tcPr>
          <w:p w14:paraId="0C04CAF4" w14:textId="77777777" w:rsidR="000A2A2B" w:rsidRPr="007C3060" w:rsidRDefault="000A2A2B" w:rsidP="007C3060">
            <w:r w:rsidRPr="007C3060">
              <w:t>5652</w:t>
            </w:r>
          </w:p>
        </w:tc>
        <w:tc>
          <w:tcPr>
            <w:tcW w:w="680" w:type="dxa"/>
            <w:tcBorders>
              <w:top w:val="nil"/>
              <w:left w:val="nil"/>
              <w:bottom w:val="nil"/>
              <w:right w:val="nil"/>
            </w:tcBorders>
            <w:tcMar>
              <w:top w:w="128" w:type="dxa"/>
              <w:left w:w="43" w:type="dxa"/>
              <w:bottom w:w="43" w:type="dxa"/>
              <w:right w:w="123" w:type="dxa"/>
            </w:tcMar>
            <w:vAlign w:val="bottom"/>
          </w:tcPr>
          <w:p w14:paraId="2EEAA78B"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B2A3C1C" w14:textId="77777777" w:rsidR="000A2A2B" w:rsidRPr="007C3060" w:rsidRDefault="000A2A2B" w:rsidP="007C3060">
            <w:r w:rsidRPr="007C3060">
              <w:t>Statskog SF – renter og utbytte:</w:t>
            </w:r>
          </w:p>
        </w:tc>
        <w:tc>
          <w:tcPr>
            <w:tcW w:w="1580" w:type="dxa"/>
            <w:tcBorders>
              <w:top w:val="nil"/>
              <w:left w:val="nil"/>
              <w:bottom w:val="nil"/>
              <w:right w:val="nil"/>
            </w:tcBorders>
            <w:tcMar>
              <w:top w:w="128" w:type="dxa"/>
              <w:left w:w="43" w:type="dxa"/>
              <w:bottom w:w="43" w:type="dxa"/>
              <w:right w:w="43" w:type="dxa"/>
            </w:tcMar>
            <w:vAlign w:val="bottom"/>
          </w:tcPr>
          <w:p w14:paraId="1E50FC5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3EDDE0A" w14:textId="77777777" w:rsidR="000A2A2B" w:rsidRPr="007C3060" w:rsidRDefault="000A2A2B" w:rsidP="007C3060"/>
        </w:tc>
      </w:tr>
      <w:tr w:rsidR="004B729E" w:rsidRPr="007C3060" w14:paraId="59D059A0" w14:textId="77777777">
        <w:trPr>
          <w:trHeight w:val="380"/>
        </w:trPr>
        <w:tc>
          <w:tcPr>
            <w:tcW w:w="680" w:type="dxa"/>
            <w:tcBorders>
              <w:top w:val="nil"/>
              <w:left w:val="nil"/>
              <w:bottom w:val="nil"/>
              <w:right w:val="nil"/>
            </w:tcBorders>
            <w:tcMar>
              <w:top w:w="128" w:type="dxa"/>
              <w:left w:w="43" w:type="dxa"/>
              <w:bottom w:w="43" w:type="dxa"/>
              <w:right w:w="123" w:type="dxa"/>
            </w:tcMar>
          </w:tcPr>
          <w:p w14:paraId="0490BE0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FD5E42F" w14:textId="77777777" w:rsidR="000A2A2B" w:rsidRPr="007C3060" w:rsidRDefault="000A2A2B" w:rsidP="007C3060">
            <w:r w:rsidRPr="007C3060">
              <w:t>85</w:t>
            </w:r>
          </w:p>
        </w:tc>
        <w:tc>
          <w:tcPr>
            <w:tcW w:w="5040" w:type="dxa"/>
            <w:tcBorders>
              <w:top w:val="nil"/>
              <w:left w:val="nil"/>
              <w:bottom w:val="nil"/>
              <w:right w:val="nil"/>
            </w:tcBorders>
            <w:tcMar>
              <w:top w:w="128" w:type="dxa"/>
              <w:left w:w="43" w:type="dxa"/>
              <w:bottom w:w="43" w:type="dxa"/>
              <w:right w:w="43" w:type="dxa"/>
            </w:tcMar>
            <w:vAlign w:val="bottom"/>
          </w:tcPr>
          <w:p w14:paraId="0B9FC548" w14:textId="77777777" w:rsidR="000A2A2B" w:rsidRPr="007C3060" w:rsidRDefault="000A2A2B" w:rsidP="007C3060">
            <w:r w:rsidRPr="007C3060">
              <w:t>Utbytte, forhøyes med</w:t>
            </w:r>
          </w:p>
        </w:tc>
        <w:tc>
          <w:tcPr>
            <w:tcW w:w="1580" w:type="dxa"/>
            <w:tcBorders>
              <w:top w:val="nil"/>
              <w:left w:val="nil"/>
              <w:bottom w:val="nil"/>
              <w:right w:val="nil"/>
            </w:tcBorders>
            <w:tcMar>
              <w:top w:w="128" w:type="dxa"/>
              <w:left w:w="43" w:type="dxa"/>
              <w:bottom w:w="43" w:type="dxa"/>
              <w:right w:w="43" w:type="dxa"/>
            </w:tcMar>
            <w:vAlign w:val="bottom"/>
          </w:tcPr>
          <w:p w14:paraId="0B60055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DB9BE8E" w14:textId="77777777" w:rsidR="000A2A2B" w:rsidRPr="007C3060" w:rsidRDefault="000A2A2B" w:rsidP="007C3060">
            <w:r w:rsidRPr="007C3060">
              <w:t>4 500 000</w:t>
            </w:r>
          </w:p>
        </w:tc>
      </w:tr>
      <w:tr w:rsidR="004B729E" w:rsidRPr="007C3060" w14:paraId="51859C5B" w14:textId="77777777">
        <w:trPr>
          <w:trHeight w:val="380"/>
        </w:trPr>
        <w:tc>
          <w:tcPr>
            <w:tcW w:w="680" w:type="dxa"/>
            <w:tcBorders>
              <w:top w:val="nil"/>
              <w:left w:val="nil"/>
              <w:bottom w:val="nil"/>
              <w:right w:val="nil"/>
            </w:tcBorders>
            <w:tcMar>
              <w:top w:w="128" w:type="dxa"/>
              <w:left w:w="43" w:type="dxa"/>
              <w:bottom w:w="43" w:type="dxa"/>
              <w:right w:w="123" w:type="dxa"/>
            </w:tcMar>
          </w:tcPr>
          <w:p w14:paraId="290B3BB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EFDFD12"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0E27A79" w14:textId="77777777" w:rsidR="000A2A2B" w:rsidRPr="007C3060" w:rsidRDefault="000A2A2B" w:rsidP="007C3060">
            <w:r w:rsidRPr="007C3060">
              <w:t>fra kr 29 000 000 til kr 33 500 000</w:t>
            </w:r>
          </w:p>
        </w:tc>
        <w:tc>
          <w:tcPr>
            <w:tcW w:w="1580" w:type="dxa"/>
            <w:tcBorders>
              <w:top w:val="nil"/>
              <w:left w:val="nil"/>
              <w:bottom w:val="nil"/>
              <w:right w:val="nil"/>
            </w:tcBorders>
            <w:tcMar>
              <w:top w:w="128" w:type="dxa"/>
              <w:left w:w="43" w:type="dxa"/>
              <w:bottom w:w="43" w:type="dxa"/>
              <w:right w:w="43" w:type="dxa"/>
            </w:tcMar>
            <w:vAlign w:val="bottom"/>
          </w:tcPr>
          <w:p w14:paraId="6B81531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B5E7399" w14:textId="77777777" w:rsidR="000A2A2B" w:rsidRPr="007C3060" w:rsidRDefault="000A2A2B" w:rsidP="007C3060"/>
        </w:tc>
      </w:tr>
      <w:tr w:rsidR="004B729E" w:rsidRPr="007C3060" w14:paraId="3E527B54" w14:textId="77777777">
        <w:trPr>
          <w:trHeight w:val="380"/>
        </w:trPr>
        <w:tc>
          <w:tcPr>
            <w:tcW w:w="680" w:type="dxa"/>
            <w:tcBorders>
              <w:top w:val="nil"/>
              <w:left w:val="nil"/>
              <w:bottom w:val="nil"/>
              <w:right w:val="nil"/>
            </w:tcBorders>
            <w:tcMar>
              <w:top w:w="128" w:type="dxa"/>
              <w:left w:w="43" w:type="dxa"/>
              <w:bottom w:w="43" w:type="dxa"/>
              <w:right w:w="123" w:type="dxa"/>
            </w:tcMar>
          </w:tcPr>
          <w:p w14:paraId="0DCC3EDB" w14:textId="77777777" w:rsidR="000A2A2B" w:rsidRPr="007C3060" w:rsidRDefault="000A2A2B" w:rsidP="007C3060">
            <w:r w:rsidRPr="007C3060">
              <w:t>5656</w:t>
            </w:r>
          </w:p>
        </w:tc>
        <w:tc>
          <w:tcPr>
            <w:tcW w:w="680" w:type="dxa"/>
            <w:tcBorders>
              <w:top w:val="nil"/>
              <w:left w:val="nil"/>
              <w:bottom w:val="nil"/>
              <w:right w:val="nil"/>
            </w:tcBorders>
            <w:tcMar>
              <w:top w:w="128" w:type="dxa"/>
              <w:left w:w="43" w:type="dxa"/>
              <w:bottom w:w="43" w:type="dxa"/>
              <w:right w:w="123" w:type="dxa"/>
            </w:tcMar>
            <w:vAlign w:val="bottom"/>
          </w:tcPr>
          <w:p w14:paraId="6F940B55" w14:textId="77777777" w:rsidR="000A2A2B" w:rsidRPr="007C3060" w:rsidRDefault="000A2A2B" w:rsidP="007C3060"/>
        </w:tc>
        <w:tc>
          <w:tcPr>
            <w:tcW w:w="6620" w:type="dxa"/>
            <w:gridSpan w:val="2"/>
            <w:tcBorders>
              <w:top w:val="nil"/>
              <w:left w:val="nil"/>
              <w:bottom w:val="nil"/>
              <w:right w:val="nil"/>
            </w:tcBorders>
            <w:tcMar>
              <w:top w:w="128" w:type="dxa"/>
              <w:left w:w="43" w:type="dxa"/>
              <w:bottom w:w="43" w:type="dxa"/>
              <w:right w:w="43" w:type="dxa"/>
            </w:tcMar>
            <w:vAlign w:val="bottom"/>
          </w:tcPr>
          <w:p w14:paraId="1D83A96D" w14:textId="77777777" w:rsidR="000A2A2B" w:rsidRPr="007C3060" w:rsidRDefault="000A2A2B" w:rsidP="007C3060">
            <w:r w:rsidRPr="007C3060">
              <w:t>Aksjer under Nærings- og fiskeridepartementets forvaltning:</w:t>
            </w:r>
          </w:p>
        </w:tc>
        <w:tc>
          <w:tcPr>
            <w:tcW w:w="1580" w:type="dxa"/>
            <w:tcBorders>
              <w:top w:val="nil"/>
              <w:left w:val="nil"/>
              <w:bottom w:val="nil"/>
              <w:right w:val="nil"/>
            </w:tcBorders>
            <w:tcMar>
              <w:top w:w="128" w:type="dxa"/>
              <w:left w:w="43" w:type="dxa"/>
              <w:bottom w:w="43" w:type="dxa"/>
              <w:right w:w="43" w:type="dxa"/>
            </w:tcMar>
            <w:vAlign w:val="bottom"/>
          </w:tcPr>
          <w:p w14:paraId="5F0783A7" w14:textId="77777777" w:rsidR="000A2A2B" w:rsidRPr="007C3060" w:rsidRDefault="000A2A2B" w:rsidP="007C3060"/>
        </w:tc>
      </w:tr>
      <w:tr w:rsidR="004B729E" w:rsidRPr="007C3060" w14:paraId="76A69BD1" w14:textId="77777777">
        <w:trPr>
          <w:trHeight w:val="380"/>
        </w:trPr>
        <w:tc>
          <w:tcPr>
            <w:tcW w:w="680" w:type="dxa"/>
            <w:tcBorders>
              <w:top w:val="nil"/>
              <w:left w:val="nil"/>
              <w:bottom w:val="nil"/>
              <w:right w:val="nil"/>
            </w:tcBorders>
            <w:tcMar>
              <w:top w:w="128" w:type="dxa"/>
              <w:left w:w="43" w:type="dxa"/>
              <w:bottom w:w="43" w:type="dxa"/>
              <w:right w:w="123" w:type="dxa"/>
            </w:tcMar>
          </w:tcPr>
          <w:p w14:paraId="7D52214D"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2D4745E" w14:textId="77777777" w:rsidR="000A2A2B" w:rsidRPr="007C3060" w:rsidRDefault="000A2A2B" w:rsidP="007C3060">
            <w:r w:rsidRPr="007C3060">
              <w:t>85</w:t>
            </w:r>
          </w:p>
        </w:tc>
        <w:tc>
          <w:tcPr>
            <w:tcW w:w="5040" w:type="dxa"/>
            <w:tcBorders>
              <w:top w:val="nil"/>
              <w:left w:val="nil"/>
              <w:bottom w:val="nil"/>
              <w:right w:val="nil"/>
            </w:tcBorders>
            <w:tcMar>
              <w:top w:w="128" w:type="dxa"/>
              <w:left w:w="43" w:type="dxa"/>
              <w:bottom w:w="43" w:type="dxa"/>
              <w:right w:w="43" w:type="dxa"/>
            </w:tcMar>
            <w:vAlign w:val="bottom"/>
          </w:tcPr>
          <w:p w14:paraId="3B811B7B" w14:textId="77777777" w:rsidR="000A2A2B" w:rsidRPr="007C3060" w:rsidRDefault="000A2A2B" w:rsidP="007C3060">
            <w:r w:rsidRPr="007C3060">
              <w:t>Utbytte, forhøyes med</w:t>
            </w:r>
          </w:p>
        </w:tc>
        <w:tc>
          <w:tcPr>
            <w:tcW w:w="1580" w:type="dxa"/>
            <w:tcBorders>
              <w:top w:val="nil"/>
              <w:left w:val="nil"/>
              <w:bottom w:val="nil"/>
              <w:right w:val="nil"/>
            </w:tcBorders>
            <w:tcMar>
              <w:top w:w="128" w:type="dxa"/>
              <w:left w:w="43" w:type="dxa"/>
              <w:bottom w:w="43" w:type="dxa"/>
              <w:right w:w="43" w:type="dxa"/>
            </w:tcMar>
            <w:vAlign w:val="bottom"/>
          </w:tcPr>
          <w:p w14:paraId="630815A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8336496" w14:textId="77777777" w:rsidR="000A2A2B" w:rsidRPr="007C3060" w:rsidRDefault="000A2A2B" w:rsidP="007C3060">
            <w:r w:rsidRPr="007C3060">
              <w:t>81 200 000</w:t>
            </w:r>
          </w:p>
        </w:tc>
      </w:tr>
      <w:tr w:rsidR="004B729E" w:rsidRPr="007C3060" w14:paraId="1A711611" w14:textId="77777777">
        <w:trPr>
          <w:trHeight w:val="380"/>
        </w:trPr>
        <w:tc>
          <w:tcPr>
            <w:tcW w:w="680" w:type="dxa"/>
            <w:tcBorders>
              <w:top w:val="nil"/>
              <w:left w:val="nil"/>
              <w:bottom w:val="nil"/>
              <w:right w:val="nil"/>
            </w:tcBorders>
            <w:tcMar>
              <w:top w:w="128" w:type="dxa"/>
              <w:left w:w="43" w:type="dxa"/>
              <w:bottom w:w="43" w:type="dxa"/>
              <w:right w:w="123" w:type="dxa"/>
            </w:tcMar>
          </w:tcPr>
          <w:p w14:paraId="70B48C25"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97164F2"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E3A7B57" w14:textId="77777777" w:rsidR="000A2A2B" w:rsidRPr="007C3060" w:rsidRDefault="000A2A2B" w:rsidP="007C3060">
            <w:r w:rsidRPr="007C3060">
              <w:t>fra kr 28 699 000 000 til kr 28 780 200 000</w:t>
            </w:r>
          </w:p>
        </w:tc>
        <w:tc>
          <w:tcPr>
            <w:tcW w:w="1580" w:type="dxa"/>
            <w:tcBorders>
              <w:top w:val="nil"/>
              <w:left w:val="nil"/>
              <w:bottom w:val="nil"/>
              <w:right w:val="nil"/>
            </w:tcBorders>
            <w:tcMar>
              <w:top w:w="128" w:type="dxa"/>
              <w:left w:w="43" w:type="dxa"/>
              <w:bottom w:w="43" w:type="dxa"/>
              <w:right w:w="43" w:type="dxa"/>
            </w:tcMar>
            <w:vAlign w:val="bottom"/>
          </w:tcPr>
          <w:p w14:paraId="549ABA3B"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EE74C90" w14:textId="77777777" w:rsidR="000A2A2B" w:rsidRPr="007C3060" w:rsidRDefault="000A2A2B" w:rsidP="007C3060"/>
        </w:tc>
      </w:tr>
      <w:tr w:rsidR="004B729E" w:rsidRPr="007C3060" w14:paraId="65430E9C" w14:textId="77777777">
        <w:trPr>
          <w:trHeight w:val="380"/>
        </w:trPr>
        <w:tc>
          <w:tcPr>
            <w:tcW w:w="680" w:type="dxa"/>
            <w:tcBorders>
              <w:top w:val="nil"/>
              <w:left w:val="nil"/>
              <w:bottom w:val="nil"/>
              <w:right w:val="nil"/>
            </w:tcBorders>
            <w:tcMar>
              <w:top w:w="128" w:type="dxa"/>
              <w:left w:w="43" w:type="dxa"/>
              <w:bottom w:w="43" w:type="dxa"/>
              <w:right w:w="123" w:type="dxa"/>
            </w:tcMar>
          </w:tcPr>
          <w:p w14:paraId="7F685746" w14:textId="77777777" w:rsidR="000A2A2B" w:rsidRPr="007C3060" w:rsidRDefault="000A2A2B" w:rsidP="007C3060">
            <w:r w:rsidRPr="007C3060">
              <w:t>5680</w:t>
            </w:r>
          </w:p>
        </w:tc>
        <w:tc>
          <w:tcPr>
            <w:tcW w:w="680" w:type="dxa"/>
            <w:tcBorders>
              <w:top w:val="nil"/>
              <w:left w:val="nil"/>
              <w:bottom w:val="nil"/>
              <w:right w:val="nil"/>
            </w:tcBorders>
            <w:tcMar>
              <w:top w:w="128" w:type="dxa"/>
              <w:left w:w="43" w:type="dxa"/>
              <w:bottom w:w="43" w:type="dxa"/>
              <w:right w:w="123" w:type="dxa"/>
            </w:tcMar>
            <w:vAlign w:val="bottom"/>
          </w:tcPr>
          <w:p w14:paraId="60E9151C"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8DBB699" w14:textId="77777777" w:rsidR="000A2A2B" w:rsidRPr="007C3060" w:rsidRDefault="000A2A2B" w:rsidP="007C3060">
            <w:r w:rsidRPr="007C3060">
              <w:t>Statnett SF:</w:t>
            </w:r>
          </w:p>
        </w:tc>
        <w:tc>
          <w:tcPr>
            <w:tcW w:w="1580" w:type="dxa"/>
            <w:tcBorders>
              <w:top w:val="nil"/>
              <w:left w:val="nil"/>
              <w:bottom w:val="nil"/>
              <w:right w:val="nil"/>
            </w:tcBorders>
            <w:tcMar>
              <w:top w:w="128" w:type="dxa"/>
              <w:left w:w="43" w:type="dxa"/>
              <w:bottom w:w="43" w:type="dxa"/>
              <w:right w:w="43" w:type="dxa"/>
            </w:tcMar>
            <w:vAlign w:val="bottom"/>
          </w:tcPr>
          <w:p w14:paraId="4FF90D35"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07C8D3D" w14:textId="77777777" w:rsidR="000A2A2B" w:rsidRPr="007C3060" w:rsidRDefault="000A2A2B" w:rsidP="007C3060"/>
        </w:tc>
      </w:tr>
      <w:tr w:rsidR="004B729E" w:rsidRPr="007C3060" w14:paraId="1A62D3FF" w14:textId="77777777">
        <w:trPr>
          <w:trHeight w:val="380"/>
        </w:trPr>
        <w:tc>
          <w:tcPr>
            <w:tcW w:w="680" w:type="dxa"/>
            <w:tcBorders>
              <w:top w:val="nil"/>
              <w:left w:val="nil"/>
              <w:bottom w:val="nil"/>
              <w:right w:val="nil"/>
            </w:tcBorders>
            <w:tcMar>
              <w:top w:w="128" w:type="dxa"/>
              <w:left w:w="43" w:type="dxa"/>
              <w:bottom w:w="43" w:type="dxa"/>
              <w:right w:w="123" w:type="dxa"/>
            </w:tcMar>
          </w:tcPr>
          <w:p w14:paraId="5894726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1F4C8CE" w14:textId="77777777" w:rsidR="000A2A2B" w:rsidRPr="007C3060" w:rsidRDefault="000A2A2B" w:rsidP="007C3060">
            <w:r w:rsidRPr="007C3060">
              <w:t>85</w:t>
            </w:r>
          </w:p>
        </w:tc>
        <w:tc>
          <w:tcPr>
            <w:tcW w:w="5040" w:type="dxa"/>
            <w:tcBorders>
              <w:top w:val="nil"/>
              <w:left w:val="nil"/>
              <w:bottom w:val="nil"/>
              <w:right w:val="nil"/>
            </w:tcBorders>
            <w:tcMar>
              <w:top w:w="128" w:type="dxa"/>
              <w:left w:w="43" w:type="dxa"/>
              <w:bottom w:w="43" w:type="dxa"/>
              <w:right w:w="43" w:type="dxa"/>
            </w:tcMar>
            <w:vAlign w:val="bottom"/>
          </w:tcPr>
          <w:p w14:paraId="36C8714F" w14:textId="77777777" w:rsidR="000A2A2B" w:rsidRPr="007C3060" w:rsidRDefault="000A2A2B" w:rsidP="007C3060">
            <w:r w:rsidRPr="007C3060">
              <w:t>Utbytte, nedsettes med</w:t>
            </w:r>
          </w:p>
        </w:tc>
        <w:tc>
          <w:tcPr>
            <w:tcW w:w="1580" w:type="dxa"/>
            <w:tcBorders>
              <w:top w:val="nil"/>
              <w:left w:val="nil"/>
              <w:bottom w:val="nil"/>
              <w:right w:val="nil"/>
            </w:tcBorders>
            <w:tcMar>
              <w:top w:w="128" w:type="dxa"/>
              <w:left w:w="43" w:type="dxa"/>
              <w:bottom w:w="43" w:type="dxa"/>
              <w:right w:w="43" w:type="dxa"/>
            </w:tcMar>
            <w:vAlign w:val="bottom"/>
          </w:tcPr>
          <w:p w14:paraId="42AFC1C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BAB016E" w14:textId="77777777" w:rsidR="000A2A2B" w:rsidRPr="007C3060" w:rsidRDefault="000A2A2B" w:rsidP="007C3060">
            <w:r w:rsidRPr="007C3060">
              <w:t>1 051 000 000</w:t>
            </w:r>
          </w:p>
        </w:tc>
      </w:tr>
      <w:tr w:rsidR="004B729E" w:rsidRPr="007C3060" w14:paraId="3EF32F81" w14:textId="77777777">
        <w:trPr>
          <w:trHeight w:val="380"/>
        </w:trPr>
        <w:tc>
          <w:tcPr>
            <w:tcW w:w="680" w:type="dxa"/>
            <w:tcBorders>
              <w:top w:val="nil"/>
              <w:left w:val="nil"/>
              <w:bottom w:val="nil"/>
              <w:right w:val="nil"/>
            </w:tcBorders>
            <w:tcMar>
              <w:top w:w="128" w:type="dxa"/>
              <w:left w:w="43" w:type="dxa"/>
              <w:bottom w:w="43" w:type="dxa"/>
              <w:right w:w="123" w:type="dxa"/>
            </w:tcMar>
          </w:tcPr>
          <w:p w14:paraId="5C6B9B0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7264623"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025D7F37" w14:textId="77777777" w:rsidR="000A2A2B" w:rsidRPr="007C3060" w:rsidRDefault="000A2A2B" w:rsidP="007C3060">
            <w:r w:rsidRPr="007C3060">
              <w:t>fra kr 1 660 000 000 til kr 609 000 000</w:t>
            </w:r>
          </w:p>
        </w:tc>
        <w:tc>
          <w:tcPr>
            <w:tcW w:w="1580" w:type="dxa"/>
            <w:tcBorders>
              <w:top w:val="nil"/>
              <w:left w:val="nil"/>
              <w:bottom w:val="nil"/>
              <w:right w:val="nil"/>
            </w:tcBorders>
            <w:tcMar>
              <w:top w:w="128" w:type="dxa"/>
              <w:left w:w="43" w:type="dxa"/>
              <w:bottom w:w="43" w:type="dxa"/>
              <w:right w:w="43" w:type="dxa"/>
            </w:tcMar>
            <w:vAlign w:val="bottom"/>
          </w:tcPr>
          <w:p w14:paraId="57E613EE"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0977F16" w14:textId="77777777" w:rsidR="000A2A2B" w:rsidRPr="007C3060" w:rsidRDefault="000A2A2B" w:rsidP="007C3060"/>
        </w:tc>
      </w:tr>
      <w:tr w:rsidR="004B729E" w:rsidRPr="007C3060" w14:paraId="0E0580D8" w14:textId="77777777">
        <w:trPr>
          <w:trHeight w:val="380"/>
        </w:trPr>
        <w:tc>
          <w:tcPr>
            <w:tcW w:w="680" w:type="dxa"/>
            <w:tcBorders>
              <w:top w:val="nil"/>
              <w:left w:val="nil"/>
              <w:bottom w:val="nil"/>
              <w:right w:val="nil"/>
            </w:tcBorders>
            <w:tcMar>
              <w:top w:w="128" w:type="dxa"/>
              <w:left w:w="43" w:type="dxa"/>
              <w:bottom w:w="43" w:type="dxa"/>
              <w:right w:w="123" w:type="dxa"/>
            </w:tcMar>
          </w:tcPr>
          <w:p w14:paraId="127250C4" w14:textId="77777777" w:rsidR="000A2A2B" w:rsidRPr="007C3060" w:rsidRDefault="000A2A2B" w:rsidP="007C3060">
            <w:r w:rsidRPr="007C3060">
              <w:lastRenderedPageBreak/>
              <w:t>5685</w:t>
            </w:r>
          </w:p>
        </w:tc>
        <w:tc>
          <w:tcPr>
            <w:tcW w:w="680" w:type="dxa"/>
            <w:tcBorders>
              <w:top w:val="nil"/>
              <w:left w:val="nil"/>
              <w:bottom w:val="nil"/>
              <w:right w:val="nil"/>
            </w:tcBorders>
            <w:tcMar>
              <w:top w:w="128" w:type="dxa"/>
              <w:left w:w="43" w:type="dxa"/>
              <w:bottom w:w="43" w:type="dxa"/>
              <w:right w:w="123" w:type="dxa"/>
            </w:tcMar>
            <w:vAlign w:val="bottom"/>
          </w:tcPr>
          <w:p w14:paraId="46912E11"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AA12B3A" w14:textId="77777777" w:rsidR="000A2A2B" w:rsidRPr="007C3060" w:rsidRDefault="000A2A2B" w:rsidP="007C3060">
            <w:r w:rsidRPr="007C3060">
              <w:t xml:space="preserve">Aksjer i </w:t>
            </w:r>
            <w:proofErr w:type="spellStart"/>
            <w:r w:rsidRPr="007C3060">
              <w:t>Equinor</w:t>
            </w:r>
            <w:proofErr w:type="spellEnd"/>
            <w:r w:rsidRPr="007C3060">
              <w:t xml:space="preserve"> ASA:</w:t>
            </w:r>
          </w:p>
        </w:tc>
        <w:tc>
          <w:tcPr>
            <w:tcW w:w="1580" w:type="dxa"/>
            <w:tcBorders>
              <w:top w:val="nil"/>
              <w:left w:val="nil"/>
              <w:bottom w:val="nil"/>
              <w:right w:val="nil"/>
            </w:tcBorders>
            <w:tcMar>
              <w:top w:w="128" w:type="dxa"/>
              <w:left w:w="43" w:type="dxa"/>
              <w:bottom w:w="43" w:type="dxa"/>
              <w:right w:w="43" w:type="dxa"/>
            </w:tcMar>
            <w:vAlign w:val="bottom"/>
          </w:tcPr>
          <w:p w14:paraId="24041CE0"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CD477D2" w14:textId="77777777" w:rsidR="000A2A2B" w:rsidRPr="007C3060" w:rsidRDefault="000A2A2B" w:rsidP="007C3060"/>
        </w:tc>
      </w:tr>
      <w:tr w:rsidR="004B729E" w:rsidRPr="007C3060" w14:paraId="51E28723" w14:textId="77777777">
        <w:trPr>
          <w:trHeight w:val="380"/>
        </w:trPr>
        <w:tc>
          <w:tcPr>
            <w:tcW w:w="680" w:type="dxa"/>
            <w:tcBorders>
              <w:top w:val="nil"/>
              <w:left w:val="nil"/>
              <w:bottom w:val="nil"/>
              <w:right w:val="nil"/>
            </w:tcBorders>
            <w:tcMar>
              <w:top w:w="128" w:type="dxa"/>
              <w:left w:w="43" w:type="dxa"/>
              <w:bottom w:w="43" w:type="dxa"/>
              <w:right w:w="123" w:type="dxa"/>
            </w:tcMar>
          </w:tcPr>
          <w:p w14:paraId="042C91E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CE4E2B7" w14:textId="77777777" w:rsidR="000A2A2B" w:rsidRPr="007C3060" w:rsidRDefault="000A2A2B" w:rsidP="007C3060">
            <w:r w:rsidRPr="007C3060">
              <w:t>85</w:t>
            </w:r>
          </w:p>
        </w:tc>
        <w:tc>
          <w:tcPr>
            <w:tcW w:w="5040" w:type="dxa"/>
            <w:tcBorders>
              <w:top w:val="nil"/>
              <w:left w:val="nil"/>
              <w:bottom w:val="nil"/>
              <w:right w:val="nil"/>
            </w:tcBorders>
            <w:tcMar>
              <w:top w:w="128" w:type="dxa"/>
              <w:left w:w="43" w:type="dxa"/>
              <w:bottom w:w="43" w:type="dxa"/>
              <w:right w:w="43" w:type="dxa"/>
            </w:tcMar>
            <w:vAlign w:val="bottom"/>
          </w:tcPr>
          <w:p w14:paraId="33DA63FE" w14:textId="77777777" w:rsidR="000A2A2B" w:rsidRPr="007C3060" w:rsidRDefault="000A2A2B" w:rsidP="007C3060">
            <w:r w:rsidRPr="007C3060">
              <w:t xml:space="preserve">Utbytte, forhøyes med </w:t>
            </w:r>
          </w:p>
        </w:tc>
        <w:tc>
          <w:tcPr>
            <w:tcW w:w="1580" w:type="dxa"/>
            <w:tcBorders>
              <w:top w:val="nil"/>
              <w:left w:val="nil"/>
              <w:bottom w:val="nil"/>
              <w:right w:val="nil"/>
            </w:tcBorders>
            <w:tcMar>
              <w:top w:w="128" w:type="dxa"/>
              <w:left w:w="43" w:type="dxa"/>
              <w:bottom w:w="43" w:type="dxa"/>
              <w:right w:w="43" w:type="dxa"/>
            </w:tcMar>
            <w:vAlign w:val="bottom"/>
          </w:tcPr>
          <w:p w14:paraId="5C3AD51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80EFBE6" w14:textId="77777777" w:rsidR="000A2A2B" w:rsidRPr="007C3060" w:rsidRDefault="000A2A2B" w:rsidP="007C3060">
            <w:r w:rsidRPr="007C3060">
              <w:t>10 000 000 000</w:t>
            </w:r>
          </w:p>
        </w:tc>
      </w:tr>
      <w:tr w:rsidR="004B729E" w:rsidRPr="007C3060" w14:paraId="2C548037" w14:textId="77777777">
        <w:trPr>
          <w:trHeight w:val="380"/>
        </w:trPr>
        <w:tc>
          <w:tcPr>
            <w:tcW w:w="680" w:type="dxa"/>
            <w:tcBorders>
              <w:top w:val="nil"/>
              <w:left w:val="nil"/>
              <w:bottom w:val="nil"/>
              <w:right w:val="nil"/>
            </w:tcBorders>
            <w:tcMar>
              <w:top w:w="128" w:type="dxa"/>
              <w:left w:w="43" w:type="dxa"/>
              <w:bottom w:w="43" w:type="dxa"/>
              <w:right w:w="123" w:type="dxa"/>
            </w:tcMar>
          </w:tcPr>
          <w:p w14:paraId="7A6728B8"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2922755"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BFBD7E6" w14:textId="77777777" w:rsidR="000A2A2B" w:rsidRPr="007C3060" w:rsidRDefault="000A2A2B" w:rsidP="007C3060">
            <w:r w:rsidRPr="007C3060">
              <w:t>fra kr 27 768 100 000 til kr 37 768 100 000</w:t>
            </w:r>
          </w:p>
        </w:tc>
        <w:tc>
          <w:tcPr>
            <w:tcW w:w="1580" w:type="dxa"/>
            <w:tcBorders>
              <w:top w:val="nil"/>
              <w:left w:val="nil"/>
              <w:bottom w:val="nil"/>
              <w:right w:val="nil"/>
            </w:tcBorders>
            <w:tcMar>
              <w:top w:w="128" w:type="dxa"/>
              <w:left w:w="43" w:type="dxa"/>
              <w:bottom w:w="43" w:type="dxa"/>
              <w:right w:w="43" w:type="dxa"/>
            </w:tcMar>
            <w:vAlign w:val="bottom"/>
          </w:tcPr>
          <w:p w14:paraId="27965B3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4E36EDFA" w14:textId="77777777" w:rsidR="000A2A2B" w:rsidRPr="007C3060" w:rsidRDefault="000A2A2B" w:rsidP="007C3060"/>
        </w:tc>
      </w:tr>
      <w:tr w:rsidR="004B729E" w:rsidRPr="007C3060" w14:paraId="3F348D4D" w14:textId="77777777">
        <w:trPr>
          <w:trHeight w:val="380"/>
        </w:trPr>
        <w:tc>
          <w:tcPr>
            <w:tcW w:w="680" w:type="dxa"/>
            <w:tcBorders>
              <w:top w:val="nil"/>
              <w:left w:val="nil"/>
              <w:bottom w:val="nil"/>
              <w:right w:val="nil"/>
            </w:tcBorders>
            <w:tcMar>
              <w:top w:w="128" w:type="dxa"/>
              <w:left w:w="43" w:type="dxa"/>
              <w:bottom w:w="43" w:type="dxa"/>
              <w:right w:w="123" w:type="dxa"/>
            </w:tcMar>
          </w:tcPr>
          <w:p w14:paraId="40C78324" w14:textId="77777777" w:rsidR="000A2A2B" w:rsidRPr="007C3060" w:rsidRDefault="000A2A2B" w:rsidP="007C3060">
            <w:r w:rsidRPr="007C3060">
              <w:t>5692</w:t>
            </w:r>
          </w:p>
        </w:tc>
        <w:tc>
          <w:tcPr>
            <w:tcW w:w="680" w:type="dxa"/>
            <w:tcBorders>
              <w:top w:val="nil"/>
              <w:left w:val="nil"/>
              <w:bottom w:val="nil"/>
              <w:right w:val="nil"/>
            </w:tcBorders>
            <w:tcMar>
              <w:top w:w="128" w:type="dxa"/>
              <w:left w:w="43" w:type="dxa"/>
              <w:bottom w:w="43" w:type="dxa"/>
              <w:right w:w="123" w:type="dxa"/>
            </w:tcMar>
            <w:vAlign w:val="bottom"/>
          </w:tcPr>
          <w:p w14:paraId="40FEC8A8" w14:textId="77777777" w:rsidR="000A2A2B" w:rsidRPr="007C3060" w:rsidRDefault="000A2A2B" w:rsidP="007C3060"/>
        </w:tc>
        <w:tc>
          <w:tcPr>
            <w:tcW w:w="6620" w:type="dxa"/>
            <w:gridSpan w:val="2"/>
            <w:tcBorders>
              <w:top w:val="nil"/>
              <w:left w:val="nil"/>
              <w:bottom w:val="nil"/>
              <w:right w:val="nil"/>
            </w:tcBorders>
            <w:tcMar>
              <w:top w:w="128" w:type="dxa"/>
              <w:left w:w="43" w:type="dxa"/>
              <w:bottom w:w="43" w:type="dxa"/>
              <w:right w:w="43" w:type="dxa"/>
            </w:tcMar>
            <w:vAlign w:val="bottom"/>
          </w:tcPr>
          <w:p w14:paraId="0964A0F0" w14:textId="77777777" w:rsidR="000A2A2B" w:rsidRPr="007C3060" w:rsidRDefault="000A2A2B" w:rsidP="007C3060">
            <w:r w:rsidRPr="007C3060">
              <w:t>Utbytte av statens kapital i Den nordiske investeringsbank:</w:t>
            </w:r>
          </w:p>
        </w:tc>
        <w:tc>
          <w:tcPr>
            <w:tcW w:w="1580" w:type="dxa"/>
            <w:tcBorders>
              <w:top w:val="nil"/>
              <w:left w:val="nil"/>
              <w:bottom w:val="nil"/>
              <w:right w:val="nil"/>
            </w:tcBorders>
            <w:tcMar>
              <w:top w:w="128" w:type="dxa"/>
              <w:left w:w="43" w:type="dxa"/>
              <w:bottom w:w="43" w:type="dxa"/>
              <w:right w:w="43" w:type="dxa"/>
            </w:tcMar>
            <w:vAlign w:val="bottom"/>
          </w:tcPr>
          <w:p w14:paraId="747ECABC" w14:textId="77777777" w:rsidR="000A2A2B" w:rsidRPr="007C3060" w:rsidRDefault="000A2A2B" w:rsidP="007C3060"/>
        </w:tc>
      </w:tr>
      <w:tr w:rsidR="004B729E" w:rsidRPr="007C3060" w14:paraId="2B57332F" w14:textId="77777777">
        <w:trPr>
          <w:trHeight w:val="380"/>
        </w:trPr>
        <w:tc>
          <w:tcPr>
            <w:tcW w:w="680" w:type="dxa"/>
            <w:tcBorders>
              <w:top w:val="nil"/>
              <w:left w:val="nil"/>
              <w:bottom w:val="nil"/>
              <w:right w:val="nil"/>
            </w:tcBorders>
            <w:tcMar>
              <w:top w:w="128" w:type="dxa"/>
              <w:left w:w="43" w:type="dxa"/>
              <w:bottom w:w="43" w:type="dxa"/>
              <w:right w:w="123" w:type="dxa"/>
            </w:tcMar>
          </w:tcPr>
          <w:p w14:paraId="5E1D985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306930FF" w14:textId="77777777" w:rsidR="000A2A2B" w:rsidRPr="007C3060" w:rsidRDefault="000A2A2B" w:rsidP="007C3060">
            <w:r w:rsidRPr="007C3060">
              <w:t>85</w:t>
            </w:r>
          </w:p>
        </w:tc>
        <w:tc>
          <w:tcPr>
            <w:tcW w:w="5040" w:type="dxa"/>
            <w:tcBorders>
              <w:top w:val="nil"/>
              <w:left w:val="nil"/>
              <w:bottom w:val="nil"/>
              <w:right w:val="nil"/>
            </w:tcBorders>
            <w:tcMar>
              <w:top w:w="128" w:type="dxa"/>
              <w:left w:w="43" w:type="dxa"/>
              <w:bottom w:w="43" w:type="dxa"/>
              <w:right w:w="43" w:type="dxa"/>
            </w:tcMar>
            <w:vAlign w:val="bottom"/>
          </w:tcPr>
          <w:p w14:paraId="4E896ABF" w14:textId="77777777" w:rsidR="000A2A2B" w:rsidRPr="007C3060" w:rsidRDefault="000A2A2B" w:rsidP="007C3060">
            <w:r w:rsidRPr="007C3060">
              <w:t>Utbytte, forhøyes med</w:t>
            </w:r>
          </w:p>
        </w:tc>
        <w:tc>
          <w:tcPr>
            <w:tcW w:w="1580" w:type="dxa"/>
            <w:tcBorders>
              <w:top w:val="nil"/>
              <w:left w:val="nil"/>
              <w:bottom w:val="nil"/>
              <w:right w:val="nil"/>
            </w:tcBorders>
            <w:tcMar>
              <w:top w:w="128" w:type="dxa"/>
              <w:left w:w="43" w:type="dxa"/>
              <w:bottom w:w="43" w:type="dxa"/>
              <w:right w:w="43" w:type="dxa"/>
            </w:tcMar>
            <w:vAlign w:val="bottom"/>
          </w:tcPr>
          <w:p w14:paraId="08D0FF80"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4E68A5F" w14:textId="77777777" w:rsidR="000A2A2B" w:rsidRPr="007C3060" w:rsidRDefault="000A2A2B" w:rsidP="007C3060">
            <w:r w:rsidRPr="007C3060">
              <w:t>125 600 000</w:t>
            </w:r>
          </w:p>
        </w:tc>
      </w:tr>
      <w:tr w:rsidR="004B729E" w:rsidRPr="007C3060" w14:paraId="174ADE74" w14:textId="77777777">
        <w:trPr>
          <w:trHeight w:val="380"/>
        </w:trPr>
        <w:tc>
          <w:tcPr>
            <w:tcW w:w="680" w:type="dxa"/>
            <w:tcBorders>
              <w:top w:val="nil"/>
              <w:left w:val="nil"/>
              <w:bottom w:val="nil"/>
              <w:right w:val="nil"/>
            </w:tcBorders>
            <w:tcMar>
              <w:top w:w="128" w:type="dxa"/>
              <w:left w:w="43" w:type="dxa"/>
              <w:bottom w:w="43" w:type="dxa"/>
              <w:right w:w="123" w:type="dxa"/>
            </w:tcMar>
          </w:tcPr>
          <w:p w14:paraId="4B534F4A"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615B315"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984075F" w14:textId="77777777" w:rsidR="000A2A2B" w:rsidRPr="007C3060" w:rsidRDefault="000A2A2B" w:rsidP="007C3060">
            <w:r w:rsidRPr="007C3060">
              <w:t>fra kr 64 400 000 til kr 190 000 000</w:t>
            </w:r>
          </w:p>
        </w:tc>
        <w:tc>
          <w:tcPr>
            <w:tcW w:w="1580" w:type="dxa"/>
            <w:tcBorders>
              <w:top w:val="nil"/>
              <w:left w:val="nil"/>
              <w:bottom w:val="nil"/>
              <w:right w:val="nil"/>
            </w:tcBorders>
            <w:tcMar>
              <w:top w:w="128" w:type="dxa"/>
              <w:left w:w="43" w:type="dxa"/>
              <w:bottom w:w="43" w:type="dxa"/>
              <w:right w:w="43" w:type="dxa"/>
            </w:tcMar>
            <w:vAlign w:val="bottom"/>
          </w:tcPr>
          <w:p w14:paraId="791B79B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E192FC8" w14:textId="77777777" w:rsidR="000A2A2B" w:rsidRPr="007C3060" w:rsidRDefault="000A2A2B" w:rsidP="007C3060"/>
        </w:tc>
      </w:tr>
      <w:tr w:rsidR="004B729E" w:rsidRPr="007C3060" w14:paraId="09F71322" w14:textId="77777777">
        <w:trPr>
          <w:trHeight w:val="380"/>
        </w:trPr>
        <w:tc>
          <w:tcPr>
            <w:tcW w:w="680" w:type="dxa"/>
            <w:tcBorders>
              <w:top w:val="nil"/>
              <w:left w:val="nil"/>
              <w:bottom w:val="nil"/>
              <w:right w:val="nil"/>
            </w:tcBorders>
            <w:tcMar>
              <w:top w:w="128" w:type="dxa"/>
              <w:left w:w="43" w:type="dxa"/>
              <w:bottom w:w="43" w:type="dxa"/>
              <w:right w:w="123" w:type="dxa"/>
            </w:tcMar>
          </w:tcPr>
          <w:p w14:paraId="2E44D6F7" w14:textId="77777777" w:rsidR="000A2A2B" w:rsidRPr="007C3060" w:rsidRDefault="000A2A2B" w:rsidP="007C3060">
            <w:r w:rsidRPr="007C3060">
              <w:t>5700</w:t>
            </w:r>
          </w:p>
        </w:tc>
        <w:tc>
          <w:tcPr>
            <w:tcW w:w="680" w:type="dxa"/>
            <w:tcBorders>
              <w:top w:val="nil"/>
              <w:left w:val="nil"/>
              <w:bottom w:val="nil"/>
              <w:right w:val="nil"/>
            </w:tcBorders>
            <w:tcMar>
              <w:top w:w="128" w:type="dxa"/>
              <w:left w:w="43" w:type="dxa"/>
              <w:bottom w:w="43" w:type="dxa"/>
              <w:right w:w="123" w:type="dxa"/>
            </w:tcMar>
            <w:vAlign w:val="bottom"/>
          </w:tcPr>
          <w:p w14:paraId="21F79EDE"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33967C06" w14:textId="77777777" w:rsidR="000A2A2B" w:rsidRPr="007C3060" w:rsidRDefault="000A2A2B" w:rsidP="007C3060">
            <w:r w:rsidRPr="007C3060">
              <w:t>Folketrygdens inntekter:</w:t>
            </w:r>
          </w:p>
        </w:tc>
        <w:tc>
          <w:tcPr>
            <w:tcW w:w="1580" w:type="dxa"/>
            <w:tcBorders>
              <w:top w:val="nil"/>
              <w:left w:val="nil"/>
              <w:bottom w:val="nil"/>
              <w:right w:val="nil"/>
            </w:tcBorders>
            <w:tcMar>
              <w:top w:w="128" w:type="dxa"/>
              <w:left w:w="43" w:type="dxa"/>
              <w:bottom w:w="43" w:type="dxa"/>
              <w:right w:w="43" w:type="dxa"/>
            </w:tcMar>
            <w:vAlign w:val="bottom"/>
          </w:tcPr>
          <w:p w14:paraId="2F20AFB2"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4011E60" w14:textId="77777777" w:rsidR="000A2A2B" w:rsidRPr="007C3060" w:rsidRDefault="000A2A2B" w:rsidP="007C3060"/>
        </w:tc>
      </w:tr>
      <w:tr w:rsidR="004B729E" w:rsidRPr="007C3060" w14:paraId="4D60FBFD" w14:textId="77777777">
        <w:trPr>
          <w:trHeight w:val="380"/>
        </w:trPr>
        <w:tc>
          <w:tcPr>
            <w:tcW w:w="680" w:type="dxa"/>
            <w:tcBorders>
              <w:top w:val="nil"/>
              <w:left w:val="nil"/>
              <w:bottom w:val="nil"/>
              <w:right w:val="nil"/>
            </w:tcBorders>
            <w:tcMar>
              <w:top w:w="128" w:type="dxa"/>
              <w:left w:w="43" w:type="dxa"/>
              <w:bottom w:w="43" w:type="dxa"/>
              <w:right w:w="123" w:type="dxa"/>
            </w:tcMar>
          </w:tcPr>
          <w:p w14:paraId="66A5B30D"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DD2E04C" w14:textId="77777777" w:rsidR="000A2A2B" w:rsidRPr="007C3060" w:rsidRDefault="000A2A2B" w:rsidP="007C3060">
            <w:r w:rsidRPr="007C3060">
              <w:t>71</w:t>
            </w:r>
          </w:p>
        </w:tc>
        <w:tc>
          <w:tcPr>
            <w:tcW w:w="5040" w:type="dxa"/>
            <w:tcBorders>
              <w:top w:val="nil"/>
              <w:left w:val="nil"/>
              <w:bottom w:val="nil"/>
              <w:right w:val="nil"/>
            </w:tcBorders>
            <w:tcMar>
              <w:top w:w="128" w:type="dxa"/>
              <w:left w:w="43" w:type="dxa"/>
              <w:bottom w:w="43" w:type="dxa"/>
              <w:right w:w="43" w:type="dxa"/>
            </w:tcMar>
            <w:vAlign w:val="bottom"/>
          </w:tcPr>
          <w:p w14:paraId="1DF3B700" w14:textId="77777777" w:rsidR="000A2A2B" w:rsidRPr="007C3060" w:rsidRDefault="000A2A2B" w:rsidP="007C3060">
            <w:r w:rsidRPr="007C3060">
              <w:t>Trygdeavgift, nedsettes med</w:t>
            </w:r>
          </w:p>
        </w:tc>
        <w:tc>
          <w:tcPr>
            <w:tcW w:w="1580" w:type="dxa"/>
            <w:tcBorders>
              <w:top w:val="nil"/>
              <w:left w:val="nil"/>
              <w:bottom w:val="nil"/>
              <w:right w:val="nil"/>
            </w:tcBorders>
            <w:tcMar>
              <w:top w:w="128" w:type="dxa"/>
              <w:left w:w="43" w:type="dxa"/>
              <w:bottom w:w="43" w:type="dxa"/>
              <w:right w:w="43" w:type="dxa"/>
            </w:tcMar>
            <w:vAlign w:val="bottom"/>
          </w:tcPr>
          <w:p w14:paraId="29C04A5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0F11FE2" w14:textId="77777777" w:rsidR="000A2A2B" w:rsidRPr="007C3060" w:rsidRDefault="000A2A2B" w:rsidP="007C3060">
            <w:r w:rsidRPr="007C3060">
              <w:t>170 000 000</w:t>
            </w:r>
          </w:p>
        </w:tc>
      </w:tr>
      <w:tr w:rsidR="004B729E" w:rsidRPr="007C3060" w14:paraId="2C89BBD1" w14:textId="77777777">
        <w:trPr>
          <w:trHeight w:val="380"/>
        </w:trPr>
        <w:tc>
          <w:tcPr>
            <w:tcW w:w="680" w:type="dxa"/>
            <w:tcBorders>
              <w:top w:val="nil"/>
              <w:left w:val="nil"/>
              <w:bottom w:val="nil"/>
              <w:right w:val="nil"/>
            </w:tcBorders>
            <w:tcMar>
              <w:top w:w="128" w:type="dxa"/>
              <w:left w:w="43" w:type="dxa"/>
              <w:bottom w:w="43" w:type="dxa"/>
              <w:right w:w="123" w:type="dxa"/>
            </w:tcMar>
          </w:tcPr>
          <w:p w14:paraId="1CAFFF6A"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6E64B91"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6BEDCD25" w14:textId="77777777" w:rsidR="000A2A2B" w:rsidRPr="007C3060" w:rsidRDefault="000A2A2B" w:rsidP="007C3060">
            <w:r w:rsidRPr="007C3060">
              <w:t>fra kr 197 169 500 000 til kr 196 999 500 000</w:t>
            </w:r>
          </w:p>
        </w:tc>
        <w:tc>
          <w:tcPr>
            <w:tcW w:w="1580" w:type="dxa"/>
            <w:tcBorders>
              <w:top w:val="nil"/>
              <w:left w:val="nil"/>
              <w:bottom w:val="nil"/>
              <w:right w:val="nil"/>
            </w:tcBorders>
            <w:tcMar>
              <w:top w:w="128" w:type="dxa"/>
              <w:left w:w="43" w:type="dxa"/>
              <w:bottom w:w="43" w:type="dxa"/>
              <w:right w:w="43" w:type="dxa"/>
            </w:tcMar>
            <w:vAlign w:val="bottom"/>
          </w:tcPr>
          <w:p w14:paraId="1CE3EB9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ED2EAE1" w14:textId="77777777" w:rsidR="000A2A2B" w:rsidRPr="007C3060" w:rsidRDefault="000A2A2B" w:rsidP="007C3060"/>
        </w:tc>
      </w:tr>
      <w:tr w:rsidR="004B729E" w:rsidRPr="007C3060" w14:paraId="1795C4A5" w14:textId="77777777">
        <w:trPr>
          <w:trHeight w:val="380"/>
        </w:trPr>
        <w:tc>
          <w:tcPr>
            <w:tcW w:w="680" w:type="dxa"/>
            <w:tcBorders>
              <w:top w:val="nil"/>
              <w:left w:val="nil"/>
              <w:bottom w:val="nil"/>
              <w:right w:val="nil"/>
            </w:tcBorders>
            <w:tcMar>
              <w:top w:w="128" w:type="dxa"/>
              <w:left w:w="43" w:type="dxa"/>
              <w:bottom w:w="43" w:type="dxa"/>
              <w:right w:w="123" w:type="dxa"/>
            </w:tcMar>
          </w:tcPr>
          <w:p w14:paraId="3AF700FD" w14:textId="77777777" w:rsidR="000A2A2B" w:rsidRPr="007C3060" w:rsidRDefault="000A2A2B" w:rsidP="007C3060">
            <w:r w:rsidRPr="007C3060">
              <w:t>5701</w:t>
            </w:r>
          </w:p>
        </w:tc>
        <w:tc>
          <w:tcPr>
            <w:tcW w:w="680" w:type="dxa"/>
            <w:tcBorders>
              <w:top w:val="nil"/>
              <w:left w:val="nil"/>
              <w:bottom w:val="nil"/>
              <w:right w:val="nil"/>
            </w:tcBorders>
            <w:tcMar>
              <w:top w:w="128" w:type="dxa"/>
              <w:left w:w="43" w:type="dxa"/>
              <w:bottom w:w="43" w:type="dxa"/>
              <w:right w:w="123" w:type="dxa"/>
            </w:tcMar>
            <w:vAlign w:val="bottom"/>
          </w:tcPr>
          <w:p w14:paraId="30EDCF5D"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E38FA61" w14:textId="77777777" w:rsidR="000A2A2B" w:rsidRPr="007C3060" w:rsidRDefault="000A2A2B" w:rsidP="007C3060">
            <w:r w:rsidRPr="007C3060">
              <w:t>Diverse inntekter:</w:t>
            </w:r>
          </w:p>
        </w:tc>
        <w:tc>
          <w:tcPr>
            <w:tcW w:w="1580" w:type="dxa"/>
            <w:tcBorders>
              <w:top w:val="nil"/>
              <w:left w:val="nil"/>
              <w:bottom w:val="nil"/>
              <w:right w:val="nil"/>
            </w:tcBorders>
            <w:tcMar>
              <w:top w:w="128" w:type="dxa"/>
              <w:left w:w="43" w:type="dxa"/>
              <w:bottom w:w="43" w:type="dxa"/>
              <w:right w:w="43" w:type="dxa"/>
            </w:tcMar>
            <w:vAlign w:val="bottom"/>
          </w:tcPr>
          <w:p w14:paraId="5AEA1BA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2349DC7" w14:textId="77777777" w:rsidR="000A2A2B" w:rsidRPr="007C3060" w:rsidRDefault="000A2A2B" w:rsidP="007C3060"/>
        </w:tc>
      </w:tr>
      <w:tr w:rsidR="004B729E" w:rsidRPr="007C3060" w14:paraId="550EB88A" w14:textId="77777777">
        <w:trPr>
          <w:trHeight w:val="380"/>
        </w:trPr>
        <w:tc>
          <w:tcPr>
            <w:tcW w:w="680" w:type="dxa"/>
            <w:tcBorders>
              <w:top w:val="nil"/>
              <w:left w:val="nil"/>
              <w:bottom w:val="nil"/>
              <w:right w:val="nil"/>
            </w:tcBorders>
            <w:tcMar>
              <w:top w:w="128" w:type="dxa"/>
              <w:left w:w="43" w:type="dxa"/>
              <w:bottom w:w="43" w:type="dxa"/>
              <w:right w:w="123" w:type="dxa"/>
            </w:tcMar>
          </w:tcPr>
          <w:p w14:paraId="67A5B040"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A677DEF" w14:textId="77777777" w:rsidR="000A2A2B" w:rsidRPr="007C3060" w:rsidRDefault="000A2A2B" w:rsidP="007C3060">
            <w:r w:rsidRPr="007C3060">
              <w:t>71</w:t>
            </w:r>
          </w:p>
        </w:tc>
        <w:tc>
          <w:tcPr>
            <w:tcW w:w="5040" w:type="dxa"/>
            <w:tcBorders>
              <w:top w:val="nil"/>
              <w:left w:val="nil"/>
              <w:bottom w:val="nil"/>
              <w:right w:val="nil"/>
            </w:tcBorders>
            <w:tcMar>
              <w:top w:w="128" w:type="dxa"/>
              <w:left w:w="43" w:type="dxa"/>
              <w:bottom w:w="43" w:type="dxa"/>
              <w:right w:w="43" w:type="dxa"/>
            </w:tcMar>
            <w:vAlign w:val="bottom"/>
          </w:tcPr>
          <w:p w14:paraId="4F572F3C" w14:textId="77777777" w:rsidR="000A2A2B" w:rsidRPr="007C3060" w:rsidRDefault="000A2A2B" w:rsidP="007C3060">
            <w:r w:rsidRPr="007C3060">
              <w:t>Refusjon ved yrkesskade, forhøyes med</w:t>
            </w:r>
          </w:p>
        </w:tc>
        <w:tc>
          <w:tcPr>
            <w:tcW w:w="1580" w:type="dxa"/>
            <w:tcBorders>
              <w:top w:val="nil"/>
              <w:left w:val="nil"/>
              <w:bottom w:val="nil"/>
              <w:right w:val="nil"/>
            </w:tcBorders>
            <w:tcMar>
              <w:top w:w="128" w:type="dxa"/>
              <w:left w:w="43" w:type="dxa"/>
              <w:bottom w:w="43" w:type="dxa"/>
              <w:right w:w="43" w:type="dxa"/>
            </w:tcMar>
            <w:vAlign w:val="bottom"/>
          </w:tcPr>
          <w:p w14:paraId="5EBC02D6"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DC5B71D" w14:textId="77777777" w:rsidR="000A2A2B" w:rsidRPr="007C3060" w:rsidRDefault="000A2A2B" w:rsidP="007C3060">
            <w:r w:rsidRPr="007C3060">
              <w:t>72 000 000</w:t>
            </w:r>
          </w:p>
        </w:tc>
      </w:tr>
      <w:tr w:rsidR="004B729E" w:rsidRPr="007C3060" w14:paraId="1D13CDA3" w14:textId="77777777">
        <w:trPr>
          <w:trHeight w:val="380"/>
        </w:trPr>
        <w:tc>
          <w:tcPr>
            <w:tcW w:w="680" w:type="dxa"/>
            <w:tcBorders>
              <w:top w:val="nil"/>
              <w:left w:val="nil"/>
              <w:bottom w:val="nil"/>
              <w:right w:val="nil"/>
            </w:tcBorders>
            <w:tcMar>
              <w:top w:w="128" w:type="dxa"/>
              <w:left w:w="43" w:type="dxa"/>
              <w:bottom w:w="43" w:type="dxa"/>
              <w:right w:w="123" w:type="dxa"/>
            </w:tcMar>
          </w:tcPr>
          <w:p w14:paraId="30CA5A47"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5DF62EF5"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8744CB0" w14:textId="77777777" w:rsidR="000A2A2B" w:rsidRPr="007C3060" w:rsidRDefault="000A2A2B" w:rsidP="007C3060">
            <w:r w:rsidRPr="007C3060">
              <w:t>fra kr 768 500 000 til kr 840 500 000</w:t>
            </w:r>
          </w:p>
        </w:tc>
        <w:tc>
          <w:tcPr>
            <w:tcW w:w="1580" w:type="dxa"/>
            <w:tcBorders>
              <w:top w:val="nil"/>
              <w:left w:val="nil"/>
              <w:bottom w:val="nil"/>
              <w:right w:val="nil"/>
            </w:tcBorders>
            <w:tcMar>
              <w:top w:w="128" w:type="dxa"/>
              <w:left w:w="43" w:type="dxa"/>
              <w:bottom w:w="43" w:type="dxa"/>
              <w:right w:w="43" w:type="dxa"/>
            </w:tcMar>
            <w:vAlign w:val="bottom"/>
          </w:tcPr>
          <w:p w14:paraId="30AED40E"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E09E7F1" w14:textId="77777777" w:rsidR="000A2A2B" w:rsidRPr="007C3060" w:rsidRDefault="000A2A2B" w:rsidP="007C3060"/>
        </w:tc>
      </w:tr>
      <w:tr w:rsidR="004B729E" w:rsidRPr="007C3060" w14:paraId="4B35793A" w14:textId="77777777">
        <w:trPr>
          <w:trHeight w:val="380"/>
        </w:trPr>
        <w:tc>
          <w:tcPr>
            <w:tcW w:w="680" w:type="dxa"/>
            <w:tcBorders>
              <w:top w:val="nil"/>
              <w:left w:val="nil"/>
              <w:bottom w:val="nil"/>
              <w:right w:val="nil"/>
            </w:tcBorders>
            <w:tcMar>
              <w:top w:w="128" w:type="dxa"/>
              <w:left w:w="43" w:type="dxa"/>
              <w:bottom w:w="43" w:type="dxa"/>
              <w:right w:w="123" w:type="dxa"/>
            </w:tcMar>
          </w:tcPr>
          <w:p w14:paraId="1BC4ABD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3008DAD" w14:textId="77777777" w:rsidR="000A2A2B" w:rsidRPr="007C3060" w:rsidRDefault="000A2A2B" w:rsidP="007C3060">
            <w:r w:rsidRPr="007C3060">
              <w:t>86</w:t>
            </w:r>
          </w:p>
        </w:tc>
        <w:tc>
          <w:tcPr>
            <w:tcW w:w="5040" w:type="dxa"/>
            <w:tcBorders>
              <w:top w:val="nil"/>
              <w:left w:val="nil"/>
              <w:bottom w:val="nil"/>
              <w:right w:val="nil"/>
            </w:tcBorders>
            <w:tcMar>
              <w:top w:w="128" w:type="dxa"/>
              <w:left w:w="43" w:type="dxa"/>
              <w:bottom w:w="43" w:type="dxa"/>
              <w:right w:w="43" w:type="dxa"/>
            </w:tcMar>
            <w:vAlign w:val="bottom"/>
          </w:tcPr>
          <w:p w14:paraId="2747FF64" w14:textId="77777777" w:rsidR="000A2A2B" w:rsidRPr="007C3060" w:rsidRDefault="000A2A2B" w:rsidP="007C3060">
            <w:r w:rsidRPr="007C3060">
              <w:t>Innkreving feilutbetalinger, nedsettes med</w:t>
            </w:r>
          </w:p>
        </w:tc>
        <w:tc>
          <w:tcPr>
            <w:tcW w:w="1580" w:type="dxa"/>
            <w:tcBorders>
              <w:top w:val="nil"/>
              <w:left w:val="nil"/>
              <w:bottom w:val="nil"/>
              <w:right w:val="nil"/>
            </w:tcBorders>
            <w:tcMar>
              <w:top w:w="128" w:type="dxa"/>
              <w:left w:w="43" w:type="dxa"/>
              <w:bottom w:w="43" w:type="dxa"/>
              <w:right w:w="43" w:type="dxa"/>
            </w:tcMar>
            <w:vAlign w:val="bottom"/>
          </w:tcPr>
          <w:p w14:paraId="101D552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057967F" w14:textId="77777777" w:rsidR="000A2A2B" w:rsidRPr="007C3060" w:rsidRDefault="000A2A2B" w:rsidP="007C3060">
            <w:r w:rsidRPr="007C3060">
              <w:t>62 000 000</w:t>
            </w:r>
          </w:p>
        </w:tc>
      </w:tr>
      <w:tr w:rsidR="004B729E" w:rsidRPr="007C3060" w14:paraId="6B7DE59A" w14:textId="77777777">
        <w:trPr>
          <w:trHeight w:val="380"/>
        </w:trPr>
        <w:tc>
          <w:tcPr>
            <w:tcW w:w="680" w:type="dxa"/>
            <w:tcBorders>
              <w:top w:val="nil"/>
              <w:left w:val="nil"/>
              <w:bottom w:val="nil"/>
              <w:right w:val="nil"/>
            </w:tcBorders>
            <w:tcMar>
              <w:top w:w="128" w:type="dxa"/>
              <w:left w:w="43" w:type="dxa"/>
              <w:bottom w:w="43" w:type="dxa"/>
              <w:right w:w="123" w:type="dxa"/>
            </w:tcMar>
          </w:tcPr>
          <w:p w14:paraId="5D787FE8"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72CFDF50"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2BB6FFD1" w14:textId="77777777" w:rsidR="000A2A2B" w:rsidRPr="007C3060" w:rsidRDefault="000A2A2B" w:rsidP="007C3060">
            <w:r w:rsidRPr="007C3060">
              <w:t>fra kr 1 492 000 000 til kr 1 430 000 000</w:t>
            </w:r>
          </w:p>
        </w:tc>
        <w:tc>
          <w:tcPr>
            <w:tcW w:w="1580" w:type="dxa"/>
            <w:tcBorders>
              <w:top w:val="nil"/>
              <w:left w:val="nil"/>
              <w:bottom w:val="nil"/>
              <w:right w:val="nil"/>
            </w:tcBorders>
            <w:tcMar>
              <w:top w:w="128" w:type="dxa"/>
              <w:left w:w="43" w:type="dxa"/>
              <w:bottom w:w="43" w:type="dxa"/>
              <w:right w:w="43" w:type="dxa"/>
            </w:tcMar>
            <w:vAlign w:val="bottom"/>
          </w:tcPr>
          <w:p w14:paraId="2680C33A"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34CE5ACB" w14:textId="77777777" w:rsidR="000A2A2B" w:rsidRPr="007C3060" w:rsidRDefault="000A2A2B" w:rsidP="007C3060"/>
        </w:tc>
      </w:tr>
      <w:tr w:rsidR="004B729E" w:rsidRPr="007C3060" w14:paraId="58BD6BC6" w14:textId="77777777">
        <w:trPr>
          <w:trHeight w:val="380"/>
        </w:trPr>
        <w:tc>
          <w:tcPr>
            <w:tcW w:w="680" w:type="dxa"/>
            <w:tcBorders>
              <w:top w:val="nil"/>
              <w:left w:val="nil"/>
              <w:bottom w:val="nil"/>
              <w:right w:val="nil"/>
            </w:tcBorders>
            <w:tcMar>
              <w:top w:w="128" w:type="dxa"/>
              <w:left w:w="43" w:type="dxa"/>
              <w:bottom w:w="43" w:type="dxa"/>
              <w:right w:w="123" w:type="dxa"/>
            </w:tcMar>
          </w:tcPr>
          <w:p w14:paraId="57DE2633"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06C6A0B" w14:textId="77777777" w:rsidR="000A2A2B" w:rsidRPr="007C3060" w:rsidRDefault="000A2A2B" w:rsidP="007C3060">
            <w:r w:rsidRPr="007C3060">
              <w:t>88</w:t>
            </w:r>
          </w:p>
        </w:tc>
        <w:tc>
          <w:tcPr>
            <w:tcW w:w="5040" w:type="dxa"/>
            <w:tcBorders>
              <w:top w:val="nil"/>
              <w:left w:val="nil"/>
              <w:bottom w:val="nil"/>
              <w:right w:val="nil"/>
            </w:tcBorders>
            <w:tcMar>
              <w:top w:w="128" w:type="dxa"/>
              <w:left w:w="43" w:type="dxa"/>
              <w:bottom w:w="43" w:type="dxa"/>
              <w:right w:w="43" w:type="dxa"/>
            </w:tcMar>
            <w:vAlign w:val="bottom"/>
          </w:tcPr>
          <w:p w14:paraId="5A2CD09B" w14:textId="77777777" w:rsidR="000A2A2B" w:rsidRPr="007C3060" w:rsidRDefault="000A2A2B" w:rsidP="007C3060">
            <w:r w:rsidRPr="007C3060">
              <w:t>Hjelpemiddelsentraler mv., nedsettes med</w:t>
            </w:r>
          </w:p>
        </w:tc>
        <w:tc>
          <w:tcPr>
            <w:tcW w:w="1580" w:type="dxa"/>
            <w:tcBorders>
              <w:top w:val="nil"/>
              <w:left w:val="nil"/>
              <w:bottom w:val="nil"/>
              <w:right w:val="nil"/>
            </w:tcBorders>
            <w:tcMar>
              <w:top w:w="128" w:type="dxa"/>
              <w:left w:w="43" w:type="dxa"/>
              <w:bottom w:w="43" w:type="dxa"/>
              <w:right w:w="43" w:type="dxa"/>
            </w:tcMar>
            <w:vAlign w:val="bottom"/>
          </w:tcPr>
          <w:p w14:paraId="044BB563"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77A4532" w14:textId="77777777" w:rsidR="000A2A2B" w:rsidRPr="007C3060" w:rsidRDefault="000A2A2B" w:rsidP="007C3060">
            <w:r w:rsidRPr="007C3060">
              <w:t>10 000 000</w:t>
            </w:r>
          </w:p>
        </w:tc>
      </w:tr>
      <w:tr w:rsidR="004B729E" w:rsidRPr="007C3060" w14:paraId="65C07F89" w14:textId="77777777">
        <w:trPr>
          <w:trHeight w:val="380"/>
        </w:trPr>
        <w:tc>
          <w:tcPr>
            <w:tcW w:w="680" w:type="dxa"/>
            <w:tcBorders>
              <w:top w:val="nil"/>
              <w:left w:val="nil"/>
              <w:bottom w:val="nil"/>
              <w:right w:val="nil"/>
            </w:tcBorders>
            <w:tcMar>
              <w:top w:w="128" w:type="dxa"/>
              <w:left w:w="43" w:type="dxa"/>
              <w:bottom w:w="43" w:type="dxa"/>
              <w:right w:w="123" w:type="dxa"/>
            </w:tcMar>
          </w:tcPr>
          <w:p w14:paraId="75DC783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25FE099E"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DC3A846" w14:textId="77777777" w:rsidR="000A2A2B" w:rsidRPr="007C3060" w:rsidRDefault="000A2A2B" w:rsidP="007C3060">
            <w:r w:rsidRPr="007C3060">
              <w:t>fra kr 110 000 000 til kr 100 000 000</w:t>
            </w:r>
          </w:p>
        </w:tc>
        <w:tc>
          <w:tcPr>
            <w:tcW w:w="1580" w:type="dxa"/>
            <w:tcBorders>
              <w:top w:val="nil"/>
              <w:left w:val="nil"/>
              <w:bottom w:val="nil"/>
              <w:right w:val="nil"/>
            </w:tcBorders>
            <w:tcMar>
              <w:top w:w="128" w:type="dxa"/>
              <w:left w:w="43" w:type="dxa"/>
              <w:bottom w:w="43" w:type="dxa"/>
              <w:right w:w="43" w:type="dxa"/>
            </w:tcMar>
            <w:vAlign w:val="bottom"/>
          </w:tcPr>
          <w:p w14:paraId="761B4FE8"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10D56641" w14:textId="77777777" w:rsidR="000A2A2B" w:rsidRPr="007C3060" w:rsidRDefault="000A2A2B" w:rsidP="007C3060"/>
        </w:tc>
      </w:tr>
      <w:tr w:rsidR="004B729E" w:rsidRPr="007C3060" w14:paraId="4051A26B" w14:textId="77777777">
        <w:trPr>
          <w:trHeight w:val="380"/>
        </w:trPr>
        <w:tc>
          <w:tcPr>
            <w:tcW w:w="680" w:type="dxa"/>
            <w:tcBorders>
              <w:top w:val="nil"/>
              <w:left w:val="nil"/>
              <w:bottom w:val="nil"/>
              <w:right w:val="nil"/>
            </w:tcBorders>
            <w:tcMar>
              <w:top w:w="128" w:type="dxa"/>
              <w:left w:w="43" w:type="dxa"/>
              <w:bottom w:w="43" w:type="dxa"/>
              <w:right w:w="123" w:type="dxa"/>
            </w:tcMar>
          </w:tcPr>
          <w:p w14:paraId="24E9A641" w14:textId="77777777" w:rsidR="000A2A2B" w:rsidRPr="007C3060" w:rsidRDefault="000A2A2B" w:rsidP="007C3060">
            <w:r w:rsidRPr="007C3060">
              <w:t>5704</w:t>
            </w:r>
          </w:p>
        </w:tc>
        <w:tc>
          <w:tcPr>
            <w:tcW w:w="680" w:type="dxa"/>
            <w:tcBorders>
              <w:top w:val="nil"/>
              <w:left w:val="nil"/>
              <w:bottom w:val="nil"/>
              <w:right w:val="nil"/>
            </w:tcBorders>
            <w:tcMar>
              <w:top w:w="128" w:type="dxa"/>
              <w:left w:w="43" w:type="dxa"/>
              <w:bottom w:w="43" w:type="dxa"/>
              <w:right w:w="123" w:type="dxa"/>
            </w:tcMar>
            <w:vAlign w:val="bottom"/>
          </w:tcPr>
          <w:p w14:paraId="329BCC47"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1DF89045" w14:textId="77777777" w:rsidR="000A2A2B" w:rsidRPr="007C3060" w:rsidRDefault="000A2A2B" w:rsidP="007C3060">
            <w:r w:rsidRPr="007C3060">
              <w:t>Statsgaranti for lønnskrav ved konkurs:</w:t>
            </w:r>
          </w:p>
        </w:tc>
        <w:tc>
          <w:tcPr>
            <w:tcW w:w="1580" w:type="dxa"/>
            <w:tcBorders>
              <w:top w:val="nil"/>
              <w:left w:val="nil"/>
              <w:bottom w:val="nil"/>
              <w:right w:val="nil"/>
            </w:tcBorders>
            <w:tcMar>
              <w:top w:w="128" w:type="dxa"/>
              <w:left w:w="43" w:type="dxa"/>
              <w:bottom w:w="43" w:type="dxa"/>
              <w:right w:w="43" w:type="dxa"/>
            </w:tcMar>
            <w:vAlign w:val="bottom"/>
          </w:tcPr>
          <w:p w14:paraId="63C35DB0"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8EE12BC" w14:textId="77777777" w:rsidR="000A2A2B" w:rsidRPr="007C3060" w:rsidRDefault="000A2A2B" w:rsidP="007C3060"/>
        </w:tc>
      </w:tr>
      <w:tr w:rsidR="004B729E" w:rsidRPr="007C3060" w14:paraId="4EDCB15A" w14:textId="77777777">
        <w:trPr>
          <w:trHeight w:val="380"/>
        </w:trPr>
        <w:tc>
          <w:tcPr>
            <w:tcW w:w="680" w:type="dxa"/>
            <w:tcBorders>
              <w:top w:val="nil"/>
              <w:left w:val="nil"/>
              <w:bottom w:val="nil"/>
              <w:right w:val="nil"/>
            </w:tcBorders>
            <w:tcMar>
              <w:top w:w="128" w:type="dxa"/>
              <w:left w:w="43" w:type="dxa"/>
              <w:bottom w:w="43" w:type="dxa"/>
              <w:right w:w="123" w:type="dxa"/>
            </w:tcMar>
          </w:tcPr>
          <w:p w14:paraId="16D0C0D6"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1827CAD" w14:textId="77777777" w:rsidR="000A2A2B" w:rsidRPr="007C3060" w:rsidRDefault="000A2A2B" w:rsidP="007C3060">
            <w:r w:rsidRPr="007C3060">
              <w:t>70</w:t>
            </w:r>
          </w:p>
        </w:tc>
        <w:tc>
          <w:tcPr>
            <w:tcW w:w="5040" w:type="dxa"/>
            <w:tcBorders>
              <w:top w:val="nil"/>
              <w:left w:val="nil"/>
              <w:bottom w:val="nil"/>
              <w:right w:val="nil"/>
            </w:tcBorders>
            <w:tcMar>
              <w:top w:w="128" w:type="dxa"/>
              <w:left w:w="43" w:type="dxa"/>
              <w:bottom w:w="43" w:type="dxa"/>
              <w:right w:w="43" w:type="dxa"/>
            </w:tcMar>
            <w:vAlign w:val="bottom"/>
          </w:tcPr>
          <w:p w14:paraId="65F5D5C2" w14:textId="77777777" w:rsidR="000A2A2B" w:rsidRPr="007C3060" w:rsidRDefault="000A2A2B" w:rsidP="007C3060">
            <w:r w:rsidRPr="007C3060">
              <w:t>Dividende, forhøyes med</w:t>
            </w:r>
          </w:p>
        </w:tc>
        <w:tc>
          <w:tcPr>
            <w:tcW w:w="1580" w:type="dxa"/>
            <w:tcBorders>
              <w:top w:val="nil"/>
              <w:left w:val="nil"/>
              <w:bottom w:val="nil"/>
              <w:right w:val="nil"/>
            </w:tcBorders>
            <w:tcMar>
              <w:top w:w="128" w:type="dxa"/>
              <w:left w:w="43" w:type="dxa"/>
              <w:bottom w:w="43" w:type="dxa"/>
              <w:right w:w="43" w:type="dxa"/>
            </w:tcMar>
            <w:vAlign w:val="bottom"/>
          </w:tcPr>
          <w:p w14:paraId="2316564F"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AF9DE95" w14:textId="77777777" w:rsidR="000A2A2B" w:rsidRPr="007C3060" w:rsidRDefault="000A2A2B" w:rsidP="007C3060">
            <w:r w:rsidRPr="007C3060">
              <w:t>70 000 000</w:t>
            </w:r>
          </w:p>
        </w:tc>
      </w:tr>
      <w:tr w:rsidR="004B729E" w:rsidRPr="007C3060" w14:paraId="6C02741A" w14:textId="77777777">
        <w:trPr>
          <w:trHeight w:val="380"/>
        </w:trPr>
        <w:tc>
          <w:tcPr>
            <w:tcW w:w="680" w:type="dxa"/>
            <w:tcBorders>
              <w:top w:val="nil"/>
              <w:left w:val="nil"/>
              <w:bottom w:val="nil"/>
              <w:right w:val="nil"/>
            </w:tcBorders>
            <w:tcMar>
              <w:top w:w="128" w:type="dxa"/>
              <w:left w:w="43" w:type="dxa"/>
              <w:bottom w:w="43" w:type="dxa"/>
              <w:right w:w="123" w:type="dxa"/>
            </w:tcMar>
          </w:tcPr>
          <w:p w14:paraId="038C9E85"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44A9F91B"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47C661C4" w14:textId="77777777" w:rsidR="000A2A2B" w:rsidRPr="007C3060" w:rsidRDefault="000A2A2B" w:rsidP="007C3060">
            <w:r w:rsidRPr="007C3060">
              <w:t>fra kr 230 000 000 til kr 300 000 000</w:t>
            </w:r>
          </w:p>
        </w:tc>
        <w:tc>
          <w:tcPr>
            <w:tcW w:w="1580" w:type="dxa"/>
            <w:tcBorders>
              <w:top w:val="nil"/>
              <w:left w:val="nil"/>
              <w:bottom w:val="nil"/>
              <w:right w:val="nil"/>
            </w:tcBorders>
            <w:tcMar>
              <w:top w:w="128" w:type="dxa"/>
              <w:left w:w="43" w:type="dxa"/>
              <w:bottom w:w="43" w:type="dxa"/>
              <w:right w:w="43" w:type="dxa"/>
            </w:tcMar>
            <w:vAlign w:val="bottom"/>
          </w:tcPr>
          <w:p w14:paraId="20A177B1"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6D7992D2" w14:textId="77777777" w:rsidR="000A2A2B" w:rsidRPr="007C3060" w:rsidRDefault="000A2A2B" w:rsidP="007C3060"/>
        </w:tc>
      </w:tr>
      <w:tr w:rsidR="004B729E" w:rsidRPr="007C3060" w14:paraId="7505232B" w14:textId="77777777">
        <w:trPr>
          <w:trHeight w:val="380"/>
        </w:trPr>
        <w:tc>
          <w:tcPr>
            <w:tcW w:w="680" w:type="dxa"/>
            <w:tcBorders>
              <w:top w:val="nil"/>
              <w:left w:val="nil"/>
              <w:bottom w:val="nil"/>
              <w:right w:val="nil"/>
            </w:tcBorders>
            <w:tcMar>
              <w:top w:w="128" w:type="dxa"/>
              <w:left w:w="43" w:type="dxa"/>
              <w:bottom w:w="43" w:type="dxa"/>
              <w:right w:w="123" w:type="dxa"/>
            </w:tcMar>
          </w:tcPr>
          <w:p w14:paraId="352D065A" w14:textId="77777777" w:rsidR="000A2A2B" w:rsidRPr="007C3060" w:rsidRDefault="000A2A2B" w:rsidP="007C3060">
            <w:r w:rsidRPr="007C3060">
              <w:t>5705</w:t>
            </w:r>
          </w:p>
        </w:tc>
        <w:tc>
          <w:tcPr>
            <w:tcW w:w="680" w:type="dxa"/>
            <w:tcBorders>
              <w:top w:val="nil"/>
              <w:left w:val="nil"/>
              <w:bottom w:val="nil"/>
              <w:right w:val="nil"/>
            </w:tcBorders>
            <w:tcMar>
              <w:top w:w="128" w:type="dxa"/>
              <w:left w:w="43" w:type="dxa"/>
              <w:bottom w:w="43" w:type="dxa"/>
              <w:right w:w="123" w:type="dxa"/>
            </w:tcMar>
            <w:vAlign w:val="bottom"/>
          </w:tcPr>
          <w:p w14:paraId="1B597CBF"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53135AE4" w14:textId="77777777" w:rsidR="000A2A2B" w:rsidRPr="007C3060" w:rsidRDefault="000A2A2B" w:rsidP="007C3060">
            <w:r w:rsidRPr="007C3060">
              <w:t>Refusjon av dagpenger:</w:t>
            </w:r>
          </w:p>
        </w:tc>
        <w:tc>
          <w:tcPr>
            <w:tcW w:w="1580" w:type="dxa"/>
            <w:tcBorders>
              <w:top w:val="nil"/>
              <w:left w:val="nil"/>
              <w:bottom w:val="nil"/>
              <w:right w:val="nil"/>
            </w:tcBorders>
            <w:tcMar>
              <w:top w:w="128" w:type="dxa"/>
              <w:left w:w="43" w:type="dxa"/>
              <w:bottom w:w="43" w:type="dxa"/>
              <w:right w:w="43" w:type="dxa"/>
            </w:tcMar>
            <w:vAlign w:val="bottom"/>
          </w:tcPr>
          <w:p w14:paraId="2892BCD0"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20624531" w14:textId="77777777" w:rsidR="000A2A2B" w:rsidRPr="007C3060" w:rsidRDefault="000A2A2B" w:rsidP="007C3060"/>
        </w:tc>
      </w:tr>
      <w:tr w:rsidR="004B729E" w:rsidRPr="007C3060" w14:paraId="3E75F29C" w14:textId="77777777">
        <w:trPr>
          <w:trHeight w:val="380"/>
        </w:trPr>
        <w:tc>
          <w:tcPr>
            <w:tcW w:w="680" w:type="dxa"/>
            <w:tcBorders>
              <w:top w:val="nil"/>
              <w:left w:val="nil"/>
              <w:bottom w:val="nil"/>
              <w:right w:val="nil"/>
            </w:tcBorders>
            <w:tcMar>
              <w:top w:w="128" w:type="dxa"/>
              <w:left w:w="43" w:type="dxa"/>
              <w:bottom w:w="43" w:type="dxa"/>
              <w:right w:w="123" w:type="dxa"/>
            </w:tcMar>
          </w:tcPr>
          <w:p w14:paraId="61231591"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19FF39B7" w14:textId="77777777" w:rsidR="000A2A2B" w:rsidRPr="007C3060" w:rsidRDefault="000A2A2B" w:rsidP="007C3060">
            <w:r w:rsidRPr="007C3060">
              <w:t>70</w:t>
            </w:r>
          </w:p>
        </w:tc>
        <w:tc>
          <w:tcPr>
            <w:tcW w:w="6620" w:type="dxa"/>
            <w:gridSpan w:val="2"/>
            <w:tcBorders>
              <w:top w:val="nil"/>
              <w:left w:val="nil"/>
              <w:bottom w:val="nil"/>
              <w:right w:val="nil"/>
            </w:tcBorders>
            <w:tcMar>
              <w:top w:w="128" w:type="dxa"/>
              <w:left w:w="43" w:type="dxa"/>
              <w:bottom w:w="43" w:type="dxa"/>
              <w:right w:w="43" w:type="dxa"/>
            </w:tcMar>
            <w:vAlign w:val="bottom"/>
          </w:tcPr>
          <w:p w14:paraId="6F55D361" w14:textId="77777777" w:rsidR="000A2A2B" w:rsidRPr="007C3060" w:rsidRDefault="000A2A2B" w:rsidP="007C3060">
            <w:r w:rsidRPr="007C3060">
              <w:t>Refusjon av dagpenger, statsgaranti ved konkurs, forhøyes med</w:t>
            </w:r>
          </w:p>
        </w:tc>
        <w:tc>
          <w:tcPr>
            <w:tcW w:w="1580" w:type="dxa"/>
            <w:tcBorders>
              <w:top w:val="nil"/>
              <w:left w:val="nil"/>
              <w:bottom w:val="nil"/>
              <w:right w:val="nil"/>
            </w:tcBorders>
            <w:tcMar>
              <w:top w:w="128" w:type="dxa"/>
              <w:left w:w="43" w:type="dxa"/>
              <w:bottom w:w="43" w:type="dxa"/>
              <w:right w:w="43" w:type="dxa"/>
            </w:tcMar>
            <w:vAlign w:val="bottom"/>
          </w:tcPr>
          <w:p w14:paraId="4A9B2F64" w14:textId="77777777" w:rsidR="000A2A2B" w:rsidRPr="007C3060" w:rsidRDefault="000A2A2B" w:rsidP="007C3060">
            <w:r w:rsidRPr="007C3060">
              <w:t>2 000 000</w:t>
            </w:r>
          </w:p>
        </w:tc>
      </w:tr>
      <w:tr w:rsidR="004B729E" w:rsidRPr="007C3060" w14:paraId="11C9C935" w14:textId="77777777">
        <w:trPr>
          <w:trHeight w:val="380"/>
        </w:trPr>
        <w:tc>
          <w:tcPr>
            <w:tcW w:w="680" w:type="dxa"/>
            <w:tcBorders>
              <w:top w:val="nil"/>
              <w:left w:val="nil"/>
              <w:bottom w:val="nil"/>
              <w:right w:val="nil"/>
            </w:tcBorders>
            <w:tcMar>
              <w:top w:w="128" w:type="dxa"/>
              <w:left w:w="43" w:type="dxa"/>
              <w:bottom w:w="43" w:type="dxa"/>
              <w:right w:w="123" w:type="dxa"/>
            </w:tcMar>
          </w:tcPr>
          <w:p w14:paraId="4DE917F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024A7CDD" w14:textId="77777777" w:rsidR="000A2A2B" w:rsidRPr="007C3060" w:rsidRDefault="000A2A2B" w:rsidP="007C3060"/>
        </w:tc>
        <w:tc>
          <w:tcPr>
            <w:tcW w:w="5040" w:type="dxa"/>
            <w:tcBorders>
              <w:top w:val="nil"/>
              <w:left w:val="nil"/>
              <w:bottom w:val="nil"/>
              <w:right w:val="nil"/>
            </w:tcBorders>
            <w:tcMar>
              <w:top w:w="128" w:type="dxa"/>
              <w:left w:w="43" w:type="dxa"/>
              <w:bottom w:w="43" w:type="dxa"/>
              <w:right w:w="43" w:type="dxa"/>
            </w:tcMar>
            <w:vAlign w:val="bottom"/>
          </w:tcPr>
          <w:p w14:paraId="7EA4DAFC" w14:textId="77777777" w:rsidR="000A2A2B" w:rsidRPr="007C3060" w:rsidRDefault="000A2A2B" w:rsidP="007C3060">
            <w:r w:rsidRPr="007C3060">
              <w:t>fra kr 27 000 000 til kr 29 000 000</w:t>
            </w:r>
          </w:p>
        </w:tc>
        <w:tc>
          <w:tcPr>
            <w:tcW w:w="1580" w:type="dxa"/>
            <w:tcBorders>
              <w:top w:val="nil"/>
              <w:left w:val="nil"/>
              <w:bottom w:val="nil"/>
              <w:right w:val="nil"/>
            </w:tcBorders>
            <w:tcMar>
              <w:top w:w="128" w:type="dxa"/>
              <w:left w:w="43" w:type="dxa"/>
              <w:bottom w:w="43" w:type="dxa"/>
              <w:right w:w="43" w:type="dxa"/>
            </w:tcMar>
            <w:vAlign w:val="bottom"/>
          </w:tcPr>
          <w:p w14:paraId="1571F84D"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504F6B07" w14:textId="77777777" w:rsidR="000A2A2B" w:rsidRPr="007C3060" w:rsidRDefault="000A2A2B" w:rsidP="007C3060"/>
        </w:tc>
      </w:tr>
      <w:tr w:rsidR="004B729E" w:rsidRPr="007C3060" w14:paraId="01F336B3" w14:textId="77777777">
        <w:trPr>
          <w:trHeight w:val="380"/>
        </w:trPr>
        <w:tc>
          <w:tcPr>
            <w:tcW w:w="680" w:type="dxa"/>
            <w:tcBorders>
              <w:top w:val="nil"/>
              <w:left w:val="nil"/>
              <w:bottom w:val="nil"/>
              <w:right w:val="nil"/>
            </w:tcBorders>
            <w:tcMar>
              <w:top w:w="128" w:type="dxa"/>
              <w:left w:w="43" w:type="dxa"/>
              <w:bottom w:w="43" w:type="dxa"/>
              <w:right w:w="123" w:type="dxa"/>
            </w:tcMar>
          </w:tcPr>
          <w:p w14:paraId="0538ABAF" w14:textId="77777777" w:rsidR="000A2A2B" w:rsidRPr="007C3060" w:rsidRDefault="000A2A2B" w:rsidP="007C3060"/>
        </w:tc>
        <w:tc>
          <w:tcPr>
            <w:tcW w:w="680" w:type="dxa"/>
            <w:tcBorders>
              <w:top w:val="nil"/>
              <w:left w:val="nil"/>
              <w:bottom w:val="nil"/>
              <w:right w:val="nil"/>
            </w:tcBorders>
            <w:tcMar>
              <w:top w:w="128" w:type="dxa"/>
              <w:left w:w="43" w:type="dxa"/>
              <w:bottom w:w="43" w:type="dxa"/>
              <w:right w:w="123" w:type="dxa"/>
            </w:tcMar>
            <w:vAlign w:val="bottom"/>
          </w:tcPr>
          <w:p w14:paraId="6A1EF93E" w14:textId="77777777" w:rsidR="000A2A2B" w:rsidRPr="007C3060" w:rsidRDefault="000A2A2B" w:rsidP="007C3060">
            <w:r w:rsidRPr="007C3060">
              <w:t>72</w:t>
            </w:r>
          </w:p>
        </w:tc>
        <w:tc>
          <w:tcPr>
            <w:tcW w:w="5040" w:type="dxa"/>
            <w:tcBorders>
              <w:top w:val="nil"/>
              <w:left w:val="nil"/>
              <w:bottom w:val="nil"/>
              <w:right w:val="nil"/>
            </w:tcBorders>
            <w:tcMar>
              <w:top w:w="128" w:type="dxa"/>
              <w:left w:w="43" w:type="dxa"/>
              <w:bottom w:w="43" w:type="dxa"/>
              <w:right w:w="43" w:type="dxa"/>
            </w:tcMar>
            <w:vAlign w:val="bottom"/>
          </w:tcPr>
          <w:p w14:paraId="414CA0DB" w14:textId="77777777" w:rsidR="000A2A2B" w:rsidRPr="007C3060" w:rsidRDefault="000A2A2B" w:rsidP="007C3060">
            <w:r w:rsidRPr="007C3060">
              <w:t>Innkreving av forskutterte dagpenger, nedsettes med</w:t>
            </w:r>
          </w:p>
        </w:tc>
        <w:tc>
          <w:tcPr>
            <w:tcW w:w="1580" w:type="dxa"/>
            <w:tcBorders>
              <w:top w:val="nil"/>
              <w:left w:val="nil"/>
              <w:bottom w:val="nil"/>
              <w:right w:val="nil"/>
            </w:tcBorders>
            <w:tcMar>
              <w:top w:w="128" w:type="dxa"/>
              <w:left w:w="43" w:type="dxa"/>
              <w:bottom w:w="43" w:type="dxa"/>
              <w:right w:w="43" w:type="dxa"/>
            </w:tcMar>
            <w:vAlign w:val="bottom"/>
          </w:tcPr>
          <w:p w14:paraId="33C3C987" w14:textId="77777777" w:rsidR="000A2A2B" w:rsidRPr="007C3060" w:rsidRDefault="000A2A2B" w:rsidP="007C3060"/>
        </w:tc>
        <w:tc>
          <w:tcPr>
            <w:tcW w:w="1580" w:type="dxa"/>
            <w:tcBorders>
              <w:top w:val="nil"/>
              <w:left w:val="nil"/>
              <w:bottom w:val="nil"/>
              <w:right w:val="nil"/>
            </w:tcBorders>
            <w:tcMar>
              <w:top w:w="128" w:type="dxa"/>
              <w:left w:w="43" w:type="dxa"/>
              <w:bottom w:w="43" w:type="dxa"/>
              <w:right w:w="43" w:type="dxa"/>
            </w:tcMar>
            <w:vAlign w:val="bottom"/>
          </w:tcPr>
          <w:p w14:paraId="7916FCF5" w14:textId="77777777" w:rsidR="000A2A2B" w:rsidRPr="007C3060" w:rsidRDefault="000A2A2B" w:rsidP="007C3060">
            <w:r w:rsidRPr="007C3060">
              <w:t>5 000 000</w:t>
            </w:r>
          </w:p>
        </w:tc>
      </w:tr>
      <w:tr w:rsidR="004B729E" w:rsidRPr="007C3060" w14:paraId="53B37CE0" w14:textId="77777777">
        <w:trPr>
          <w:trHeight w:val="380"/>
        </w:trPr>
        <w:tc>
          <w:tcPr>
            <w:tcW w:w="680" w:type="dxa"/>
            <w:tcBorders>
              <w:top w:val="nil"/>
              <w:left w:val="nil"/>
              <w:bottom w:val="single" w:sz="4" w:space="0" w:color="000000"/>
              <w:right w:val="nil"/>
            </w:tcBorders>
            <w:tcMar>
              <w:top w:w="128" w:type="dxa"/>
              <w:left w:w="43" w:type="dxa"/>
              <w:bottom w:w="43" w:type="dxa"/>
              <w:right w:w="123" w:type="dxa"/>
            </w:tcMar>
          </w:tcPr>
          <w:p w14:paraId="6A860F85" w14:textId="77777777" w:rsidR="000A2A2B" w:rsidRPr="007C3060" w:rsidRDefault="000A2A2B" w:rsidP="007C3060"/>
        </w:tc>
        <w:tc>
          <w:tcPr>
            <w:tcW w:w="680" w:type="dxa"/>
            <w:tcBorders>
              <w:top w:val="nil"/>
              <w:left w:val="nil"/>
              <w:bottom w:val="single" w:sz="4" w:space="0" w:color="000000"/>
              <w:right w:val="nil"/>
            </w:tcBorders>
            <w:tcMar>
              <w:top w:w="128" w:type="dxa"/>
              <w:left w:w="43" w:type="dxa"/>
              <w:bottom w:w="43" w:type="dxa"/>
              <w:right w:w="123" w:type="dxa"/>
            </w:tcMar>
            <w:vAlign w:val="bottom"/>
          </w:tcPr>
          <w:p w14:paraId="340E5EC0" w14:textId="77777777" w:rsidR="000A2A2B" w:rsidRPr="007C3060" w:rsidRDefault="000A2A2B" w:rsidP="007C3060"/>
        </w:tc>
        <w:tc>
          <w:tcPr>
            <w:tcW w:w="5040" w:type="dxa"/>
            <w:tcBorders>
              <w:top w:val="nil"/>
              <w:left w:val="nil"/>
              <w:bottom w:val="single" w:sz="4" w:space="0" w:color="000000"/>
              <w:right w:val="nil"/>
            </w:tcBorders>
            <w:tcMar>
              <w:top w:w="128" w:type="dxa"/>
              <w:left w:w="43" w:type="dxa"/>
              <w:bottom w:w="43" w:type="dxa"/>
              <w:right w:w="43" w:type="dxa"/>
            </w:tcMar>
            <w:vAlign w:val="bottom"/>
          </w:tcPr>
          <w:p w14:paraId="2655B8C7" w14:textId="77777777" w:rsidR="000A2A2B" w:rsidRPr="007C3060" w:rsidRDefault="000A2A2B" w:rsidP="007C3060">
            <w:r w:rsidRPr="007C3060">
              <w:t>fra kr 45 000 000 til kr 40 000 000</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19E79A4" w14:textId="77777777" w:rsidR="000A2A2B" w:rsidRPr="007C3060" w:rsidRDefault="000A2A2B" w:rsidP="007C3060"/>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7AD7020" w14:textId="77777777" w:rsidR="000A2A2B" w:rsidRPr="007C3060" w:rsidRDefault="000A2A2B" w:rsidP="007C3060"/>
        </w:tc>
      </w:tr>
    </w:tbl>
    <w:p w14:paraId="1F34F4AB" w14:textId="77777777" w:rsidR="000A2A2B" w:rsidRPr="007C3060" w:rsidRDefault="000A2A2B" w:rsidP="007C3060">
      <w:pPr>
        <w:pStyle w:val="Fullmakttit"/>
      </w:pPr>
      <w:r w:rsidRPr="007C3060">
        <w:t>Fullmakter til å overskride gitte bevilgninger</w:t>
      </w:r>
    </w:p>
    <w:p w14:paraId="4D9B1378" w14:textId="77777777" w:rsidR="000A2A2B" w:rsidRPr="007C3060" w:rsidRDefault="000A2A2B" w:rsidP="007C3060">
      <w:pPr>
        <w:pStyle w:val="a-vedtak-del"/>
      </w:pPr>
      <w:r w:rsidRPr="007C3060">
        <w:t>II</w:t>
      </w:r>
    </w:p>
    <w:p w14:paraId="5146CA25" w14:textId="77777777" w:rsidR="000A2A2B" w:rsidRPr="007C3060" w:rsidRDefault="000A2A2B" w:rsidP="007C3060">
      <w:pPr>
        <w:pStyle w:val="a-vedtak-tekst"/>
      </w:pPr>
      <w:r w:rsidRPr="007C3060">
        <w:t>EØS-finansieringsordningene</w:t>
      </w:r>
    </w:p>
    <w:p w14:paraId="23C5C855" w14:textId="77777777" w:rsidR="000A2A2B" w:rsidRPr="007C3060" w:rsidRDefault="000A2A2B" w:rsidP="007C3060">
      <w:r w:rsidRPr="007C3060">
        <w:t>Stortinget samtykker til at Utenriksdepartementet i 2025 kan overskride bevilgningene under kap. 117 EØS-finansieringsordningene, post 77 EØS-finansieringsordningen 2014–2021, post 78 Den norske finansieringsordningen 2014–2021, post 79 EØS-finansieringsordningen 2021–2028, post 80 Den norske finansieringsordningen 2021–2028 med en samlet øvre ramme på 100 mill. kroner som følge av usikkerhet i fremdrift og valutakursjusteringer, dersom dette er nødvendig for å oppfylle norske forpliktelser gjennom avtale inngått med EU.</w:t>
      </w:r>
    </w:p>
    <w:p w14:paraId="75A32504" w14:textId="77777777" w:rsidR="000A2A2B" w:rsidRPr="007C3060" w:rsidRDefault="000A2A2B" w:rsidP="007C3060">
      <w:pPr>
        <w:pStyle w:val="a-vedtak-del"/>
      </w:pPr>
      <w:r w:rsidRPr="007C3060">
        <w:t>III</w:t>
      </w:r>
    </w:p>
    <w:p w14:paraId="0ECFF6E1" w14:textId="77777777" w:rsidR="000A2A2B" w:rsidRPr="007C3060" w:rsidRDefault="000A2A2B" w:rsidP="007C3060">
      <w:pPr>
        <w:pStyle w:val="a-vedtak-tekst"/>
      </w:pPr>
      <w:r w:rsidRPr="007C3060">
        <w:t>Fullmakt til forskuttering i eksternt finansierte prosjekter</w:t>
      </w:r>
    </w:p>
    <w:p w14:paraId="5B3EC2EB" w14:textId="77777777" w:rsidR="000A2A2B" w:rsidRPr="007C3060" w:rsidRDefault="000A2A2B" w:rsidP="007C3060">
      <w:r w:rsidRPr="007C3060">
        <w:t xml:space="preserve">Stortinget samtykker i at Kommunal- og </w:t>
      </w:r>
      <w:proofErr w:type="spellStart"/>
      <w:r w:rsidRPr="007C3060">
        <w:t>distriktsdepartementet</w:t>
      </w:r>
      <w:proofErr w:type="spellEnd"/>
      <w:r w:rsidRPr="007C3060">
        <w:t xml:space="preserve"> i 2025 kan gi Internasjonalt reindriftssenter fullmakt til å starte opp prosjekter før ekstern finansiering i sin helhet er innbetalt, </w:t>
      </w:r>
      <w:proofErr w:type="gramStart"/>
      <w:r w:rsidRPr="007C3060">
        <w:t>så fremt</w:t>
      </w:r>
      <w:proofErr w:type="gramEnd"/>
      <w:r w:rsidRPr="007C3060">
        <w:t xml:space="preserve"> Internasjonalt reindriftssenter har fått bindende tilsagn om tilskudd fra eksterne parter. Fullmakten begrenses oppad til 5 mill. kroner og gjelder utgifter ført på kap. 563 Internasjonalt reindriftssenter, post 21 Spesielle driftsutgifter mot inntekter ført på kap. 3563 Internasjonalt reindriftssenter, post 02 Diverse inntekter.</w:t>
      </w:r>
    </w:p>
    <w:p w14:paraId="11C89F85" w14:textId="77777777" w:rsidR="000A2A2B" w:rsidRPr="007C3060" w:rsidRDefault="000A2A2B" w:rsidP="007C3060">
      <w:pPr>
        <w:pStyle w:val="a-vedtak-del"/>
      </w:pPr>
      <w:r w:rsidRPr="007C3060">
        <w:t>IV</w:t>
      </w:r>
    </w:p>
    <w:p w14:paraId="589C653E" w14:textId="77777777" w:rsidR="000A2A2B" w:rsidRPr="007C3060" w:rsidRDefault="000A2A2B" w:rsidP="007C3060">
      <w:pPr>
        <w:pStyle w:val="a-vedtak-tekst"/>
      </w:pPr>
      <w:r w:rsidRPr="007C3060">
        <w:t>Utbetaling ved midlertidig likviditetsmangel</w:t>
      </w:r>
    </w:p>
    <w:p w14:paraId="02E4D0A5" w14:textId="77777777" w:rsidR="000A2A2B" w:rsidRPr="007C3060" w:rsidRDefault="000A2A2B" w:rsidP="007C3060">
      <w:r w:rsidRPr="007C3060">
        <w:t>Stortinget samtykker i at Arbeids- og inkluderingsdepartementet i 2025 kan utgiftsføre uten bevilgning på kap. 665 Pensjonstrygden for fiskere, post 70 Tilskudd for å dekke midlertidig likviditetsbehov eller eventuelt underskudd i trygden.</w:t>
      </w:r>
    </w:p>
    <w:p w14:paraId="1F250A9B" w14:textId="77777777" w:rsidR="000A2A2B" w:rsidRPr="007C3060" w:rsidRDefault="000A2A2B" w:rsidP="007C3060">
      <w:pPr>
        <w:pStyle w:val="a-vedtak-del"/>
      </w:pPr>
      <w:r w:rsidRPr="007C3060">
        <w:t>V</w:t>
      </w:r>
    </w:p>
    <w:p w14:paraId="6B14ACC8" w14:textId="77777777" w:rsidR="000A2A2B" w:rsidRPr="007C3060" w:rsidRDefault="000A2A2B" w:rsidP="007C3060">
      <w:pPr>
        <w:pStyle w:val="a-vedtak-tekst"/>
      </w:pPr>
      <w:r w:rsidRPr="007C3060">
        <w:t>Merinntektsfullmakt</w:t>
      </w:r>
    </w:p>
    <w:p w14:paraId="133568A6" w14:textId="77777777" w:rsidR="000A2A2B" w:rsidRPr="007C3060" w:rsidRDefault="000A2A2B" w:rsidP="007C3060">
      <w:r w:rsidRPr="007C3060">
        <w:t>Stortinget samtykker i at Helse- og omsorgsdepartementet i 2025 kan:</w:t>
      </w:r>
    </w:p>
    <w:p w14:paraId="02FC62AE" w14:textId="77777777" w:rsidR="000A2A2B" w:rsidRPr="007C3060" w:rsidRDefault="000A2A2B" w:rsidP="007C3060">
      <w:pPr>
        <w:pStyle w:val="Tabellnavn"/>
      </w:pPr>
      <w:r w:rsidRPr="007C3060">
        <w:t>02N2tx2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800"/>
        <w:gridCol w:w="4760"/>
      </w:tblGrid>
      <w:tr w:rsidR="004B729E" w:rsidRPr="007C3060" w14:paraId="4214302A" w14:textId="77777777">
        <w:trPr>
          <w:trHeight w:val="380"/>
        </w:trPr>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624D6F" w14:textId="77777777" w:rsidR="000A2A2B" w:rsidRPr="007C3060" w:rsidRDefault="000A2A2B" w:rsidP="007C3060">
            <w:r w:rsidRPr="007C3060">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4152DA" w14:textId="77777777" w:rsidR="000A2A2B" w:rsidRPr="007C3060" w:rsidRDefault="000A2A2B" w:rsidP="007C3060">
            <w:r w:rsidRPr="007C3060">
              <w:t>mot tilsvarende merinntekter under</w:t>
            </w:r>
          </w:p>
        </w:tc>
      </w:tr>
      <w:tr w:rsidR="004B729E" w:rsidRPr="007C3060" w14:paraId="41A38773" w14:textId="77777777">
        <w:trPr>
          <w:trHeight w:val="380"/>
        </w:trPr>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B88933A" w14:textId="77777777" w:rsidR="000A2A2B" w:rsidRPr="007C3060" w:rsidRDefault="000A2A2B" w:rsidP="007C3060">
            <w:r w:rsidRPr="007C3060">
              <w:t>kap. 714 post 22</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84E073" w14:textId="77777777" w:rsidR="000A2A2B" w:rsidRPr="007C3060" w:rsidRDefault="000A2A2B" w:rsidP="007C3060">
            <w:r w:rsidRPr="007C3060">
              <w:t>kap. 5572 post 74</w:t>
            </w:r>
          </w:p>
        </w:tc>
      </w:tr>
    </w:tbl>
    <w:p w14:paraId="6959FDE7" w14:textId="77777777" w:rsidR="000A2A2B" w:rsidRPr="007C3060" w:rsidRDefault="000A2A2B" w:rsidP="007C3060">
      <w:r w:rsidRPr="007C3060">
        <w:lastRenderedPageBreak/>
        <w:t>Merinntekt som gir grunnlag for overskridelse, skal også dekke merverdiavgift knyttet til overskridelsen, og berører derfor også kap. 1633, post 01 for de statlige forvaltningsorganene som inngår i netto-ordningen for merverdiavgift.</w:t>
      </w:r>
    </w:p>
    <w:p w14:paraId="3C6E87F2" w14:textId="77777777" w:rsidR="000A2A2B" w:rsidRPr="007C3060" w:rsidRDefault="000A2A2B" w:rsidP="007C3060">
      <w:r w:rsidRPr="007C3060">
        <w:t>Merinntekter og eventuelle mindreinntekter tas med i beregningen av overføring av ubrukt bevilgning til neste år.</w:t>
      </w:r>
    </w:p>
    <w:p w14:paraId="77622082" w14:textId="77777777" w:rsidR="000A2A2B" w:rsidRPr="007C3060" w:rsidRDefault="000A2A2B" w:rsidP="007C3060">
      <w:pPr>
        <w:pStyle w:val="a-vedtak-del"/>
      </w:pPr>
      <w:r w:rsidRPr="007C3060">
        <w:t>VI</w:t>
      </w:r>
    </w:p>
    <w:p w14:paraId="0A861404" w14:textId="77777777" w:rsidR="000A2A2B" w:rsidRPr="007C3060" w:rsidRDefault="000A2A2B" w:rsidP="007C3060">
      <w:pPr>
        <w:pStyle w:val="a-vedtak-tekst"/>
      </w:pPr>
      <w:r w:rsidRPr="007C3060">
        <w:t>Merinntektsfullmakt</w:t>
      </w:r>
    </w:p>
    <w:p w14:paraId="54BA896F" w14:textId="77777777" w:rsidR="000A2A2B" w:rsidRPr="007C3060" w:rsidRDefault="000A2A2B" w:rsidP="007C3060">
      <w:r w:rsidRPr="007C3060">
        <w:t>Stortinget samtykker i at Nærings- og fiskeridepartementet i 2025 kan overskride bevilgningen under kap. 919 Diverse fiskeriformål, post 60 Tilskudd til kommuner og fylkeskommuner mot 55 pst. av merinntekter under kap. 3917 Fiskeridirektoratet, post 13 Inntekter fra salg av oppdrettstillatelser i forbindelse med tildeling av oppdrettstillatelser. Tilsvarende skal eventuelle mindreinntekter under kap. 3917, post 13 innebære at utbetalinger under kap. 919, post 60 reduseres forholdsmessig med 55 pst.</w:t>
      </w:r>
    </w:p>
    <w:p w14:paraId="13375912" w14:textId="77777777" w:rsidR="000A2A2B" w:rsidRPr="007C3060" w:rsidRDefault="000A2A2B" w:rsidP="007C3060">
      <w:pPr>
        <w:pStyle w:val="a-vedtak-del"/>
      </w:pPr>
      <w:r w:rsidRPr="007C3060">
        <w:t>VII</w:t>
      </w:r>
    </w:p>
    <w:p w14:paraId="4D60B0AD" w14:textId="77777777" w:rsidR="000A2A2B" w:rsidRPr="007C3060" w:rsidRDefault="000A2A2B" w:rsidP="007C3060">
      <w:pPr>
        <w:pStyle w:val="a-vedtak-tekst"/>
      </w:pPr>
      <w:r w:rsidRPr="007C3060">
        <w:t>Overskridelsesfullmakt</w:t>
      </w:r>
    </w:p>
    <w:p w14:paraId="1166ABFA" w14:textId="77777777" w:rsidR="000A2A2B" w:rsidRPr="007C3060" w:rsidRDefault="000A2A2B" w:rsidP="007C3060">
      <w:r w:rsidRPr="007C3060">
        <w:t>Stortinget samtykker i at Samferdselsdepartementet i 2025 kan overskride bevilgningen:</w:t>
      </w:r>
    </w:p>
    <w:p w14:paraId="2AE0421B" w14:textId="77777777" w:rsidR="000A2A2B" w:rsidRPr="007C3060" w:rsidRDefault="000A2A2B" w:rsidP="007C3060">
      <w:pPr>
        <w:pStyle w:val="Nummerertliste"/>
      </w:pPr>
      <w:r w:rsidRPr="007C3060">
        <w:t>på kap. 1300 Samferdselsdepartementet, post 22 Utgifter ved kjøp av obligasjonsgjeld i Norske tog AS, med inntil 27,9 mill. kroner</w:t>
      </w:r>
    </w:p>
    <w:p w14:paraId="7854C6B2" w14:textId="77777777" w:rsidR="000A2A2B" w:rsidRPr="007C3060" w:rsidRDefault="000A2A2B" w:rsidP="007C3060">
      <w:pPr>
        <w:pStyle w:val="Nummerertliste"/>
      </w:pPr>
      <w:r w:rsidRPr="007C3060">
        <w:t>på kap. 1300 Samferdselsdepartementet, post 90 Kjøp av obligasjonsgjeld i Norske tog AS, med inntil 6 750 mill. kroner</w:t>
      </w:r>
    </w:p>
    <w:p w14:paraId="6757800A" w14:textId="77777777" w:rsidR="000A2A2B" w:rsidRPr="007C3060" w:rsidRDefault="000A2A2B" w:rsidP="007C3060">
      <w:pPr>
        <w:pStyle w:val="Nummerertliste"/>
      </w:pPr>
      <w:r w:rsidRPr="007C3060">
        <w:t>på kap. 1358 Norske tog AS, post 70 Lån og post 90 Lån, med inntil 1 000 mill. kroner ved endringer av låneforutsetninger som er av ikke-prinsipiell betydning.</w:t>
      </w:r>
    </w:p>
    <w:p w14:paraId="22D7F6B2" w14:textId="77777777" w:rsidR="000A2A2B" w:rsidRPr="007C3060" w:rsidRDefault="000A2A2B" w:rsidP="007C3060">
      <w:pPr>
        <w:pStyle w:val="Fullmakttit"/>
      </w:pPr>
      <w:r w:rsidRPr="007C3060">
        <w:t>Fullmakter til å pådra staten forpliktelser utover gitte bevilgninger</w:t>
      </w:r>
    </w:p>
    <w:p w14:paraId="521FD631" w14:textId="77777777" w:rsidR="000A2A2B" w:rsidRPr="007C3060" w:rsidRDefault="000A2A2B" w:rsidP="007C3060">
      <w:pPr>
        <w:pStyle w:val="a-vedtak-del"/>
      </w:pPr>
      <w:r w:rsidRPr="007C3060">
        <w:t>VIII</w:t>
      </w:r>
    </w:p>
    <w:p w14:paraId="2A68F33D" w14:textId="77777777" w:rsidR="000A2A2B" w:rsidRPr="007C3060" w:rsidRDefault="000A2A2B" w:rsidP="007C3060">
      <w:pPr>
        <w:pStyle w:val="a-vedtak-tekst"/>
      </w:pPr>
      <w:r w:rsidRPr="007C3060">
        <w:t>Forprosjekt rehabilitering av Stortingets tilbygg</w:t>
      </w:r>
    </w:p>
    <w:p w14:paraId="1748320C" w14:textId="77777777" w:rsidR="000A2A2B" w:rsidRPr="007C3060" w:rsidRDefault="000A2A2B" w:rsidP="007C3060">
      <w:r w:rsidRPr="007C3060">
        <w:t>Stortinget samtykker i at det i 2025, i forbindelse med forprosjekt for rehabilitering av Stortingets tilbygg mot Akersgata, kan pådras forpliktelser utover gitt bevilgning under kap. 41 Stortinget, post 45 Større utstyrsanskaffelser og vedlikehold, med samlet ramme for nye forpliktelser og gammelt ansvar på inntil 72 mill. kroner.</w:t>
      </w:r>
    </w:p>
    <w:p w14:paraId="47B4A364" w14:textId="77777777" w:rsidR="000A2A2B" w:rsidRPr="007C3060" w:rsidRDefault="000A2A2B" w:rsidP="007C3060">
      <w:pPr>
        <w:pStyle w:val="a-vedtak-del"/>
      </w:pPr>
      <w:r w:rsidRPr="007C3060">
        <w:t>IX</w:t>
      </w:r>
    </w:p>
    <w:p w14:paraId="77ED1388" w14:textId="77777777" w:rsidR="000A2A2B" w:rsidRPr="007C3060" w:rsidRDefault="000A2A2B" w:rsidP="007C3060">
      <w:pPr>
        <w:pStyle w:val="a-vedtak-tekst"/>
      </w:pPr>
      <w:r w:rsidRPr="007C3060">
        <w:t>EØS-finansieringsordningene</w:t>
      </w:r>
    </w:p>
    <w:p w14:paraId="5D13514C" w14:textId="77777777" w:rsidR="000A2A2B" w:rsidRPr="007C3060" w:rsidRDefault="000A2A2B" w:rsidP="007C3060">
      <w:r w:rsidRPr="007C3060">
        <w:t>Stortinget samtykker til at Utenriksdepartementet i 2025 kan gi tilsagn om støtte utover gitte -bevilgninger under kap. 117 EØS-finansieringsordningene med 3,268 mrd. euro (tilsvarende om lag 37,2 mrd. kroner) samlet under post 79 EØS- finansieringsordningen 2021–2028 og post 80 Den norske finansieringsordningen 2021–2028.</w:t>
      </w:r>
    </w:p>
    <w:p w14:paraId="4922CB6B" w14:textId="77777777" w:rsidR="000A2A2B" w:rsidRPr="007C3060" w:rsidRDefault="000A2A2B" w:rsidP="007C3060">
      <w:pPr>
        <w:pStyle w:val="a-vedtak-del"/>
      </w:pPr>
      <w:proofErr w:type="spellStart"/>
      <w:r w:rsidRPr="007C3060">
        <w:lastRenderedPageBreak/>
        <w:t>X</w:t>
      </w:r>
      <w:proofErr w:type="spellEnd"/>
    </w:p>
    <w:p w14:paraId="56E2968B" w14:textId="77777777" w:rsidR="000A2A2B" w:rsidRPr="007C3060" w:rsidRDefault="000A2A2B" w:rsidP="007C3060">
      <w:pPr>
        <w:pStyle w:val="a-vedtak-tekst"/>
      </w:pPr>
      <w:r w:rsidRPr="007C3060">
        <w:t>Tilsagnsfullmakter</w:t>
      </w:r>
    </w:p>
    <w:p w14:paraId="4DB6480F" w14:textId="77777777" w:rsidR="000A2A2B" w:rsidRPr="007C3060" w:rsidRDefault="000A2A2B" w:rsidP="007C3060">
      <w:r w:rsidRPr="007C3060">
        <w:t>Stortinget samtykker i at Kunnskapsdepartementet i 2025 kan gi tilsagn om tilskudd utover gitte bevilgninger, men slik at samlet ramme for nye tilsagn og gammelt ansvar ikke overstiger følgende beløp:</w:t>
      </w:r>
    </w:p>
    <w:p w14:paraId="64F74110" w14:textId="77777777" w:rsidR="000A2A2B" w:rsidRPr="007C3060" w:rsidRDefault="000A2A2B" w:rsidP="007C3060">
      <w:pPr>
        <w:pStyle w:val="Tabellnavn"/>
      </w:pPr>
      <w:r w:rsidRPr="007C3060">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4B729E" w:rsidRPr="007C3060" w14:paraId="17DBC994"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7C87E5F0" w14:textId="77777777" w:rsidR="000A2A2B" w:rsidRPr="007C3060" w:rsidRDefault="000A2A2B" w:rsidP="007C3060">
            <w:r w:rsidRPr="007C306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048D344F" w14:textId="77777777" w:rsidR="000A2A2B" w:rsidRPr="007C3060" w:rsidRDefault="000A2A2B" w:rsidP="007C3060">
            <w:r w:rsidRPr="007C306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1C6196" w14:textId="77777777" w:rsidR="000A2A2B" w:rsidRPr="007C3060" w:rsidRDefault="000A2A2B" w:rsidP="007C3060">
            <w:r w:rsidRPr="007C306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tcPr>
          <w:p w14:paraId="33D89BBF" w14:textId="77777777" w:rsidR="000A2A2B" w:rsidRPr="007C3060" w:rsidRDefault="000A2A2B" w:rsidP="007C3060">
            <w:r w:rsidRPr="007C3060">
              <w:t>Samlet ramme</w:t>
            </w:r>
          </w:p>
        </w:tc>
      </w:tr>
      <w:tr w:rsidR="004B729E" w:rsidRPr="007C3060" w14:paraId="437B9F17"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65D0E86A" w14:textId="77777777" w:rsidR="000A2A2B" w:rsidRPr="007C3060" w:rsidRDefault="000A2A2B" w:rsidP="007C3060">
            <w:r w:rsidRPr="007C3060">
              <w:t>270</w:t>
            </w:r>
          </w:p>
        </w:tc>
        <w:tc>
          <w:tcPr>
            <w:tcW w:w="620" w:type="dxa"/>
            <w:tcBorders>
              <w:top w:val="single" w:sz="4" w:space="0" w:color="000000"/>
              <w:left w:val="nil"/>
              <w:bottom w:val="nil"/>
              <w:right w:val="nil"/>
            </w:tcBorders>
            <w:tcMar>
              <w:top w:w="128" w:type="dxa"/>
              <w:left w:w="43" w:type="dxa"/>
              <w:bottom w:w="43" w:type="dxa"/>
              <w:right w:w="43" w:type="dxa"/>
            </w:tcMar>
          </w:tcPr>
          <w:p w14:paraId="1A710673" w14:textId="77777777" w:rsidR="000A2A2B" w:rsidRPr="007C3060" w:rsidRDefault="000A2A2B" w:rsidP="007C3060"/>
        </w:tc>
        <w:tc>
          <w:tcPr>
            <w:tcW w:w="6060" w:type="dxa"/>
            <w:tcBorders>
              <w:top w:val="single" w:sz="4" w:space="0" w:color="000000"/>
              <w:left w:val="nil"/>
              <w:bottom w:val="nil"/>
              <w:right w:val="nil"/>
            </w:tcBorders>
            <w:tcMar>
              <w:top w:w="128" w:type="dxa"/>
              <w:left w:w="43" w:type="dxa"/>
              <w:bottom w:w="43" w:type="dxa"/>
              <w:right w:w="43" w:type="dxa"/>
            </w:tcMar>
            <w:vAlign w:val="bottom"/>
          </w:tcPr>
          <w:p w14:paraId="7D111861" w14:textId="77777777" w:rsidR="000A2A2B" w:rsidRPr="007C3060" w:rsidRDefault="000A2A2B" w:rsidP="007C3060">
            <w:r w:rsidRPr="007C3060">
              <w:t>Studentvelferd</w:t>
            </w:r>
          </w:p>
        </w:tc>
        <w:tc>
          <w:tcPr>
            <w:tcW w:w="2260" w:type="dxa"/>
            <w:tcBorders>
              <w:top w:val="single" w:sz="4" w:space="0" w:color="000000"/>
              <w:left w:val="nil"/>
              <w:bottom w:val="nil"/>
              <w:right w:val="nil"/>
            </w:tcBorders>
            <w:tcMar>
              <w:top w:w="128" w:type="dxa"/>
              <w:left w:w="43" w:type="dxa"/>
              <w:bottom w:w="43" w:type="dxa"/>
              <w:right w:w="43" w:type="dxa"/>
            </w:tcMar>
          </w:tcPr>
          <w:p w14:paraId="13E140B2" w14:textId="77777777" w:rsidR="000A2A2B" w:rsidRPr="007C3060" w:rsidRDefault="000A2A2B" w:rsidP="007C3060"/>
        </w:tc>
      </w:tr>
      <w:tr w:rsidR="004B729E" w:rsidRPr="007C3060" w14:paraId="15906789" w14:textId="77777777">
        <w:trPr>
          <w:trHeight w:val="380"/>
        </w:trPr>
        <w:tc>
          <w:tcPr>
            <w:tcW w:w="620" w:type="dxa"/>
            <w:tcBorders>
              <w:top w:val="nil"/>
              <w:left w:val="nil"/>
              <w:bottom w:val="nil"/>
              <w:right w:val="nil"/>
            </w:tcBorders>
            <w:tcMar>
              <w:top w:w="128" w:type="dxa"/>
              <w:left w:w="43" w:type="dxa"/>
              <w:bottom w:w="43" w:type="dxa"/>
              <w:right w:w="43" w:type="dxa"/>
            </w:tcMar>
          </w:tcPr>
          <w:p w14:paraId="7893188F" w14:textId="77777777" w:rsidR="000A2A2B" w:rsidRPr="007C3060" w:rsidRDefault="000A2A2B" w:rsidP="007C3060"/>
        </w:tc>
        <w:tc>
          <w:tcPr>
            <w:tcW w:w="620" w:type="dxa"/>
            <w:tcBorders>
              <w:top w:val="nil"/>
              <w:left w:val="nil"/>
              <w:bottom w:val="nil"/>
              <w:right w:val="nil"/>
            </w:tcBorders>
            <w:tcMar>
              <w:top w:w="128" w:type="dxa"/>
              <w:left w:w="43" w:type="dxa"/>
              <w:bottom w:w="43" w:type="dxa"/>
              <w:right w:w="43" w:type="dxa"/>
            </w:tcMar>
          </w:tcPr>
          <w:p w14:paraId="3E2212AC" w14:textId="77777777" w:rsidR="000A2A2B" w:rsidRPr="007C3060" w:rsidRDefault="000A2A2B" w:rsidP="007C3060">
            <w:r w:rsidRPr="007C3060">
              <w:t>75</w:t>
            </w:r>
          </w:p>
        </w:tc>
        <w:tc>
          <w:tcPr>
            <w:tcW w:w="6060" w:type="dxa"/>
            <w:tcBorders>
              <w:top w:val="nil"/>
              <w:left w:val="nil"/>
              <w:bottom w:val="nil"/>
              <w:right w:val="nil"/>
            </w:tcBorders>
            <w:tcMar>
              <w:top w:w="128" w:type="dxa"/>
              <w:left w:w="43" w:type="dxa"/>
              <w:bottom w:w="43" w:type="dxa"/>
              <w:right w:w="43" w:type="dxa"/>
            </w:tcMar>
            <w:vAlign w:val="bottom"/>
          </w:tcPr>
          <w:p w14:paraId="3C33198A" w14:textId="77777777" w:rsidR="000A2A2B" w:rsidRPr="007C3060" w:rsidRDefault="000A2A2B" w:rsidP="007C3060">
            <w:r w:rsidRPr="007C3060">
              <w:t>Tilskudd til bygging av studentboliger</w:t>
            </w:r>
          </w:p>
        </w:tc>
        <w:tc>
          <w:tcPr>
            <w:tcW w:w="2260" w:type="dxa"/>
            <w:tcBorders>
              <w:top w:val="nil"/>
              <w:left w:val="nil"/>
              <w:bottom w:val="nil"/>
              <w:right w:val="nil"/>
            </w:tcBorders>
            <w:tcMar>
              <w:top w:w="128" w:type="dxa"/>
              <w:left w:w="43" w:type="dxa"/>
              <w:bottom w:w="43" w:type="dxa"/>
              <w:right w:w="43" w:type="dxa"/>
            </w:tcMar>
          </w:tcPr>
          <w:p w14:paraId="0F67A0CC" w14:textId="77777777" w:rsidR="000A2A2B" w:rsidRPr="007C3060" w:rsidRDefault="000A2A2B" w:rsidP="007C3060">
            <w:r w:rsidRPr="007C3060">
              <w:t>1 149,8 mill. kroner</w:t>
            </w:r>
          </w:p>
        </w:tc>
      </w:tr>
      <w:tr w:rsidR="004B729E" w:rsidRPr="007C3060" w14:paraId="5AFAF470" w14:textId="77777777">
        <w:trPr>
          <w:trHeight w:val="380"/>
        </w:trPr>
        <w:tc>
          <w:tcPr>
            <w:tcW w:w="620" w:type="dxa"/>
            <w:tcBorders>
              <w:top w:val="nil"/>
              <w:left w:val="nil"/>
              <w:bottom w:val="nil"/>
              <w:right w:val="nil"/>
            </w:tcBorders>
            <w:tcMar>
              <w:top w:w="128" w:type="dxa"/>
              <w:left w:w="43" w:type="dxa"/>
              <w:bottom w:w="43" w:type="dxa"/>
              <w:right w:w="43" w:type="dxa"/>
            </w:tcMar>
          </w:tcPr>
          <w:p w14:paraId="5FE0B9CD" w14:textId="77777777" w:rsidR="000A2A2B" w:rsidRPr="007C3060" w:rsidRDefault="000A2A2B" w:rsidP="007C3060">
            <w:r w:rsidRPr="007C3060">
              <w:t>285</w:t>
            </w:r>
          </w:p>
        </w:tc>
        <w:tc>
          <w:tcPr>
            <w:tcW w:w="620" w:type="dxa"/>
            <w:tcBorders>
              <w:top w:val="nil"/>
              <w:left w:val="nil"/>
              <w:bottom w:val="nil"/>
              <w:right w:val="nil"/>
            </w:tcBorders>
            <w:tcMar>
              <w:top w:w="128" w:type="dxa"/>
              <w:left w:w="43" w:type="dxa"/>
              <w:bottom w:w="43" w:type="dxa"/>
              <w:right w:w="43" w:type="dxa"/>
            </w:tcMar>
          </w:tcPr>
          <w:p w14:paraId="4B44CECE" w14:textId="77777777" w:rsidR="000A2A2B" w:rsidRPr="007C3060" w:rsidRDefault="000A2A2B" w:rsidP="007C3060"/>
        </w:tc>
        <w:tc>
          <w:tcPr>
            <w:tcW w:w="6060" w:type="dxa"/>
            <w:tcBorders>
              <w:top w:val="nil"/>
              <w:left w:val="nil"/>
              <w:bottom w:val="nil"/>
              <w:right w:val="nil"/>
            </w:tcBorders>
            <w:tcMar>
              <w:top w:w="128" w:type="dxa"/>
              <w:left w:w="43" w:type="dxa"/>
              <w:bottom w:w="43" w:type="dxa"/>
              <w:right w:w="43" w:type="dxa"/>
            </w:tcMar>
            <w:vAlign w:val="bottom"/>
          </w:tcPr>
          <w:p w14:paraId="29BE8CCE" w14:textId="77777777" w:rsidR="000A2A2B" w:rsidRPr="007C3060" w:rsidRDefault="000A2A2B" w:rsidP="007C3060">
            <w:r w:rsidRPr="007C3060">
              <w:t>Norges forskningsråd</w:t>
            </w:r>
          </w:p>
        </w:tc>
        <w:tc>
          <w:tcPr>
            <w:tcW w:w="2260" w:type="dxa"/>
            <w:tcBorders>
              <w:top w:val="nil"/>
              <w:left w:val="nil"/>
              <w:bottom w:val="nil"/>
              <w:right w:val="nil"/>
            </w:tcBorders>
            <w:tcMar>
              <w:top w:w="128" w:type="dxa"/>
              <w:left w:w="43" w:type="dxa"/>
              <w:bottom w:w="43" w:type="dxa"/>
              <w:right w:w="43" w:type="dxa"/>
            </w:tcMar>
          </w:tcPr>
          <w:p w14:paraId="0E2C77C2" w14:textId="77777777" w:rsidR="000A2A2B" w:rsidRPr="007C3060" w:rsidRDefault="000A2A2B" w:rsidP="007C3060"/>
        </w:tc>
      </w:tr>
      <w:tr w:rsidR="004B729E" w:rsidRPr="007C3060" w14:paraId="4B916185"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688057E8" w14:textId="77777777" w:rsidR="000A2A2B" w:rsidRPr="007C3060" w:rsidRDefault="000A2A2B" w:rsidP="007C3060"/>
        </w:tc>
        <w:tc>
          <w:tcPr>
            <w:tcW w:w="620" w:type="dxa"/>
            <w:tcBorders>
              <w:top w:val="nil"/>
              <w:left w:val="nil"/>
              <w:bottom w:val="single" w:sz="4" w:space="0" w:color="000000"/>
              <w:right w:val="nil"/>
            </w:tcBorders>
            <w:tcMar>
              <w:top w:w="128" w:type="dxa"/>
              <w:left w:w="43" w:type="dxa"/>
              <w:bottom w:w="43" w:type="dxa"/>
              <w:right w:w="43" w:type="dxa"/>
            </w:tcMar>
          </w:tcPr>
          <w:p w14:paraId="1EB95CB7" w14:textId="77777777" w:rsidR="000A2A2B" w:rsidRPr="007C3060" w:rsidRDefault="000A2A2B" w:rsidP="007C3060">
            <w:r w:rsidRPr="007C3060">
              <w:t>72</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48268E81" w14:textId="77777777" w:rsidR="000A2A2B" w:rsidRPr="007C3060" w:rsidRDefault="000A2A2B" w:rsidP="007C3060">
            <w:r w:rsidRPr="007C3060">
              <w:t>Langsiktig, grunnleggende forskning</w:t>
            </w:r>
          </w:p>
        </w:tc>
        <w:tc>
          <w:tcPr>
            <w:tcW w:w="2260" w:type="dxa"/>
            <w:tcBorders>
              <w:top w:val="nil"/>
              <w:left w:val="nil"/>
              <w:bottom w:val="single" w:sz="4" w:space="0" w:color="000000"/>
              <w:right w:val="nil"/>
            </w:tcBorders>
            <w:tcMar>
              <w:top w:w="128" w:type="dxa"/>
              <w:left w:w="43" w:type="dxa"/>
              <w:bottom w:w="43" w:type="dxa"/>
              <w:right w:w="43" w:type="dxa"/>
            </w:tcMar>
          </w:tcPr>
          <w:p w14:paraId="0A35C348" w14:textId="77777777" w:rsidR="000A2A2B" w:rsidRPr="007C3060" w:rsidRDefault="000A2A2B" w:rsidP="007C3060">
            <w:r w:rsidRPr="007C3060">
              <w:t>6 024,3 mill. kroner</w:t>
            </w:r>
          </w:p>
        </w:tc>
      </w:tr>
    </w:tbl>
    <w:p w14:paraId="5C98BF43" w14:textId="77777777" w:rsidR="000A2A2B" w:rsidRPr="007C3060" w:rsidRDefault="000A2A2B" w:rsidP="007C3060">
      <w:pPr>
        <w:pStyle w:val="a-vedtak-del"/>
      </w:pPr>
      <w:r w:rsidRPr="007C3060">
        <w:t>XI</w:t>
      </w:r>
    </w:p>
    <w:p w14:paraId="6AEE55A3" w14:textId="77777777" w:rsidR="000A2A2B" w:rsidRPr="007C3060" w:rsidRDefault="000A2A2B" w:rsidP="007C3060">
      <w:pPr>
        <w:pStyle w:val="a-vedtak-tekst"/>
      </w:pPr>
      <w:r w:rsidRPr="007C3060">
        <w:t>Tilsagnsfullmakt</w:t>
      </w:r>
    </w:p>
    <w:p w14:paraId="5458486C" w14:textId="77777777" w:rsidR="000A2A2B" w:rsidRPr="007C3060" w:rsidRDefault="000A2A2B" w:rsidP="007C3060">
      <w:r w:rsidRPr="007C3060">
        <w:t>Stortinget samtykker i at Kultur- og likestillingsdepartementet i 2025 kan gi tilsagn om tilskudd utover gitte bevilgninger, men slik at samlet ramme for nye tilsagn og gammelt ansvar ikke overstiger følgende beløp:</w:t>
      </w:r>
    </w:p>
    <w:p w14:paraId="59DF3AF6" w14:textId="77777777" w:rsidR="000A2A2B" w:rsidRPr="007C3060" w:rsidRDefault="000A2A2B" w:rsidP="007C3060">
      <w:pPr>
        <w:pStyle w:val="Tabellnavn"/>
      </w:pPr>
      <w:r w:rsidRPr="007C3060">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4B729E" w:rsidRPr="007C3060" w14:paraId="7BAAD751"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E5E680" w14:textId="77777777" w:rsidR="000A2A2B" w:rsidRPr="007C3060" w:rsidRDefault="000A2A2B" w:rsidP="007C3060">
            <w:r w:rsidRPr="007C306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C8B55D" w14:textId="77777777" w:rsidR="000A2A2B" w:rsidRPr="007C3060" w:rsidRDefault="000A2A2B" w:rsidP="007C3060">
            <w:r w:rsidRPr="007C306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E263BC" w14:textId="77777777" w:rsidR="000A2A2B" w:rsidRPr="007C3060" w:rsidRDefault="000A2A2B" w:rsidP="007C3060">
            <w:r w:rsidRPr="007C306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1910EB" w14:textId="77777777" w:rsidR="000A2A2B" w:rsidRPr="007C3060" w:rsidRDefault="000A2A2B" w:rsidP="007C3060">
            <w:r w:rsidRPr="007C3060">
              <w:t>Samlet ramme</w:t>
            </w:r>
          </w:p>
        </w:tc>
      </w:tr>
      <w:tr w:rsidR="004B729E" w:rsidRPr="007C3060" w14:paraId="52843CC0"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6413375C" w14:textId="77777777" w:rsidR="000A2A2B" w:rsidRPr="007C3060" w:rsidRDefault="000A2A2B" w:rsidP="007C3060">
            <w:r w:rsidRPr="007C3060">
              <w:t>322</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503FA4DB" w14:textId="77777777" w:rsidR="000A2A2B" w:rsidRPr="007C3060" w:rsidRDefault="000A2A2B" w:rsidP="007C3060"/>
        </w:tc>
        <w:tc>
          <w:tcPr>
            <w:tcW w:w="6060" w:type="dxa"/>
            <w:tcBorders>
              <w:top w:val="single" w:sz="4" w:space="0" w:color="000000"/>
              <w:left w:val="nil"/>
              <w:bottom w:val="nil"/>
              <w:right w:val="nil"/>
            </w:tcBorders>
            <w:tcMar>
              <w:top w:w="128" w:type="dxa"/>
              <w:left w:w="43" w:type="dxa"/>
              <w:bottom w:w="43" w:type="dxa"/>
              <w:right w:w="43" w:type="dxa"/>
            </w:tcMar>
            <w:vAlign w:val="bottom"/>
          </w:tcPr>
          <w:p w14:paraId="34A436A2" w14:textId="77777777" w:rsidR="000A2A2B" w:rsidRPr="007C3060" w:rsidRDefault="000A2A2B" w:rsidP="007C3060">
            <w:r w:rsidRPr="007C3060">
              <w:t>Bygg og offentlige rom</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1AD0ACDC" w14:textId="77777777" w:rsidR="000A2A2B" w:rsidRPr="007C3060" w:rsidRDefault="000A2A2B" w:rsidP="007C3060"/>
        </w:tc>
      </w:tr>
      <w:tr w:rsidR="004B729E" w:rsidRPr="007C3060" w14:paraId="15CFD2C6"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361B80DF" w14:textId="77777777" w:rsidR="000A2A2B" w:rsidRPr="007C3060" w:rsidRDefault="000A2A2B" w:rsidP="007C3060"/>
        </w:tc>
        <w:tc>
          <w:tcPr>
            <w:tcW w:w="620" w:type="dxa"/>
            <w:tcBorders>
              <w:top w:val="nil"/>
              <w:left w:val="nil"/>
              <w:bottom w:val="single" w:sz="4" w:space="0" w:color="000000"/>
              <w:right w:val="nil"/>
            </w:tcBorders>
            <w:tcMar>
              <w:top w:w="128" w:type="dxa"/>
              <w:left w:w="43" w:type="dxa"/>
              <w:bottom w:w="43" w:type="dxa"/>
              <w:right w:w="43" w:type="dxa"/>
            </w:tcMar>
            <w:vAlign w:val="bottom"/>
          </w:tcPr>
          <w:p w14:paraId="582BACCC" w14:textId="77777777" w:rsidR="000A2A2B" w:rsidRPr="007C3060" w:rsidRDefault="000A2A2B" w:rsidP="007C3060">
            <w:r w:rsidRPr="007C3060">
              <w:t>70</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1E90FA62" w14:textId="77777777" w:rsidR="000A2A2B" w:rsidRPr="007C3060" w:rsidRDefault="000A2A2B" w:rsidP="007C3060">
            <w:r w:rsidRPr="007C3060">
              <w:t>Nasjonale kulturbygg</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3AE24723" w14:textId="77777777" w:rsidR="000A2A2B" w:rsidRPr="007C3060" w:rsidRDefault="000A2A2B" w:rsidP="007C3060">
            <w:r w:rsidRPr="007C3060">
              <w:t>731,3 mill. kroner</w:t>
            </w:r>
          </w:p>
        </w:tc>
      </w:tr>
    </w:tbl>
    <w:p w14:paraId="006365DD" w14:textId="77777777" w:rsidR="000A2A2B" w:rsidRPr="007C3060" w:rsidRDefault="000A2A2B" w:rsidP="007C3060">
      <w:pPr>
        <w:pStyle w:val="a-vedtak-del"/>
      </w:pPr>
      <w:r w:rsidRPr="007C3060">
        <w:t>XII</w:t>
      </w:r>
    </w:p>
    <w:p w14:paraId="00476FF5" w14:textId="77777777" w:rsidR="000A2A2B" w:rsidRPr="007C3060" w:rsidRDefault="000A2A2B" w:rsidP="007C3060">
      <w:pPr>
        <w:pStyle w:val="a-vedtak-tekst"/>
      </w:pPr>
      <w:r w:rsidRPr="007C3060">
        <w:t>Bestillingsfullmakt</w:t>
      </w:r>
    </w:p>
    <w:p w14:paraId="4F9EC4F9" w14:textId="77777777" w:rsidR="000A2A2B" w:rsidRPr="007C3060" w:rsidRDefault="000A2A2B" w:rsidP="007C3060">
      <w:r w:rsidRPr="007C3060">
        <w:t>Stortinget samtykker i at Justis- og beredskapsdepartementet i 2025 kan bestille varer utover den gitte bevilgning, men slik at samlet ramme for nye bestillinger og gammelt ansvar ikke overstiger følgende beløp:</w:t>
      </w:r>
    </w:p>
    <w:p w14:paraId="18F76ACD" w14:textId="77777777" w:rsidR="000A2A2B" w:rsidRPr="007C3060" w:rsidRDefault="000A2A2B" w:rsidP="007C3060">
      <w:pPr>
        <w:pStyle w:val="Tabellnavn"/>
      </w:pPr>
      <w:r w:rsidRPr="007C3060">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4B729E" w:rsidRPr="007C3060" w14:paraId="0BD0674B"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C8ECF9" w14:textId="77777777" w:rsidR="000A2A2B" w:rsidRPr="007C3060" w:rsidRDefault="000A2A2B" w:rsidP="007C3060">
            <w:r w:rsidRPr="007C306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37F6A1" w14:textId="77777777" w:rsidR="000A2A2B" w:rsidRPr="007C3060" w:rsidRDefault="000A2A2B" w:rsidP="007C3060">
            <w:r w:rsidRPr="007C306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FD6717" w14:textId="77777777" w:rsidR="000A2A2B" w:rsidRPr="007C3060" w:rsidRDefault="000A2A2B" w:rsidP="007C3060">
            <w:r w:rsidRPr="007C306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68A6B6" w14:textId="77777777" w:rsidR="000A2A2B" w:rsidRPr="007C3060" w:rsidRDefault="000A2A2B" w:rsidP="007C3060">
            <w:r w:rsidRPr="007C3060">
              <w:t>Samlet ramme</w:t>
            </w:r>
          </w:p>
        </w:tc>
      </w:tr>
      <w:tr w:rsidR="004B729E" w:rsidRPr="007C3060" w14:paraId="240D4A05"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55174D2F" w14:textId="77777777" w:rsidR="000A2A2B" w:rsidRPr="007C3060" w:rsidRDefault="000A2A2B" w:rsidP="007C3060">
            <w:r w:rsidRPr="007C3060">
              <w:t>444</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79F8F2F7" w14:textId="77777777" w:rsidR="000A2A2B" w:rsidRPr="007C3060" w:rsidRDefault="000A2A2B" w:rsidP="007C3060"/>
        </w:tc>
        <w:tc>
          <w:tcPr>
            <w:tcW w:w="6060" w:type="dxa"/>
            <w:tcBorders>
              <w:top w:val="single" w:sz="4" w:space="0" w:color="000000"/>
              <w:left w:val="nil"/>
              <w:bottom w:val="nil"/>
              <w:right w:val="nil"/>
            </w:tcBorders>
            <w:tcMar>
              <w:top w:w="128" w:type="dxa"/>
              <w:left w:w="43" w:type="dxa"/>
              <w:bottom w:w="43" w:type="dxa"/>
              <w:right w:w="43" w:type="dxa"/>
            </w:tcMar>
            <w:vAlign w:val="bottom"/>
          </w:tcPr>
          <w:p w14:paraId="5E8DE756" w14:textId="77777777" w:rsidR="000A2A2B" w:rsidRPr="007C3060" w:rsidRDefault="000A2A2B" w:rsidP="007C3060">
            <w:r w:rsidRPr="007C3060">
              <w:t>Politiets sikkerhetstjeneste (PST)</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04F0C6F5" w14:textId="77777777" w:rsidR="000A2A2B" w:rsidRPr="007C3060" w:rsidRDefault="000A2A2B" w:rsidP="007C3060"/>
        </w:tc>
      </w:tr>
      <w:tr w:rsidR="004B729E" w:rsidRPr="007C3060" w14:paraId="5432C1EF"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2CDD7151" w14:textId="77777777" w:rsidR="000A2A2B" w:rsidRPr="007C3060" w:rsidRDefault="000A2A2B" w:rsidP="007C3060"/>
        </w:tc>
        <w:tc>
          <w:tcPr>
            <w:tcW w:w="620" w:type="dxa"/>
            <w:tcBorders>
              <w:top w:val="nil"/>
              <w:left w:val="nil"/>
              <w:bottom w:val="single" w:sz="4" w:space="0" w:color="000000"/>
              <w:right w:val="nil"/>
            </w:tcBorders>
            <w:tcMar>
              <w:top w:w="128" w:type="dxa"/>
              <w:left w:w="43" w:type="dxa"/>
              <w:bottom w:w="43" w:type="dxa"/>
              <w:right w:w="43" w:type="dxa"/>
            </w:tcMar>
            <w:vAlign w:val="bottom"/>
          </w:tcPr>
          <w:p w14:paraId="4650FF8D" w14:textId="77777777" w:rsidR="000A2A2B" w:rsidRPr="007C3060" w:rsidRDefault="000A2A2B" w:rsidP="007C3060">
            <w:r w:rsidRPr="007C3060">
              <w:t>45</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2C6896DF" w14:textId="77777777" w:rsidR="000A2A2B" w:rsidRPr="007C3060" w:rsidRDefault="000A2A2B" w:rsidP="007C3060">
            <w:r w:rsidRPr="007C3060">
              <w:t>Større utstyrsanskaffelser og vedlikehold</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4370A9E6" w14:textId="77777777" w:rsidR="000A2A2B" w:rsidRPr="007C3060" w:rsidRDefault="000A2A2B" w:rsidP="007C3060">
            <w:r w:rsidRPr="007C3060">
              <w:t>33 mill. kroner</w:t>
            </w:r>
          </w:p>
        </w:tc>
      </w:tr>
    </w:tbl>
    <w:p w14:paraId="47050656" w14:textId="77777777" w:rsidR="000A2A2B" w:rsidRPr="007C3060" w:rsidRDefault="000A2A2B" w:rsidP="007C3060">
      <w:pPr>
        <w:pStyle w:val="a-vedtak-del"/>
      </w:pPr>
      <w:r w:rsidRPr="007C3060">
        <w:t>XIII</w:t>
      </w:r>
    </w:p>
    <w:p w14:paraId="26D0F2CD" w14:textId="77777777" w:rsidR="000A2A2B" w:rsidRPr="007C3060" w:rsidRDefault="000A2A2B" w:rsidP="007C3060">
      <w:pPr>
        <w:pStyle w:val="a-vedtak-tekst"/>
      </w:pPr>
      <w:r w:rsidRPr="007C3060">
        <w:t>Fullmakt til å pådra staten forpliktelser for investeringsprosjekter</w:t>
      </w:r>
    </w:p>
    <w:p w14:paraId="38FF68FB" w14:textId="77777777" w:rsidR="000A2A2B" w:rsidRPr="007C3060" w:rsidRDefault="000A2A2B" w:rsidP="007C3060">
      <w:r w:rsidRPr="007C3060">
        <w:t xml:space="preserve">Stortinget samtykker i at Justis- og beredskapsdepartementet i 2025 under kap. 440 Politiet, post 46 Investeringer i Schengen IT-systemer og kap. 490 Utlendingsdirektoratet, post 46 Investeringer i Schengen IT-systemer, kan pådra staten forpliktelser utover budsjettåret, i investeringsprosjekter for implementering av Schengen IT-systemene SIS, VIS, </w:t>
      </w:r>
      <w:proofErr w:type="spellStart"/>
      <w:r w:rsidRPr="007C3060">
        <w:t>Eurodac</w:t>
      </w:r>
      <w:proofErr w:type="spellEnd"/>
      <w:r w:rsidRPr="007C3060">
        <w:t xml:space="preserve"> og IO, som Norge har forpliktet seg til gjennom Schengen-avtalen og Dublinavtalen. Samlede forpliktelser og utbetalinger kan ikke overskride kostnadsrammen på 2 680 mill. kroner (2025-kroner). Justis- og beredskapsdepartementet gis fullmakt til å -prisjustere kostnadsrammen i senere år.</w:t>
      </w:r>
    </w:p>
    <w:p w14:paraId="396B3C1A" w14:textId="77777777" w:rsidR="000A2A2B" w:rsidRPr="007C3060" w:rsidRDefault="000A2A2B" w:rsidP="007C3060">
      <w:pPr>
        <w:pStyle w:val="a-vedtak-del"/>
      </w:pPr>
      <w:r w:rsidRPr="007C3060">
        <w:t>XIV</w:t>
      </w:r>
    </w:p>
    <w:p w14:paraId="61ED7FE5" w14:textId="77777777" w:rsidR="000A2A2B" w:rsidRPr="007C3060" w:rsidRDefault="000A2A2B" w:rsidP="007C3060">
      <w:pPr>
        <w:pStyle w:val="a-vedtak-tekst"/>
      </w:pPr>
      <w:r w:rsidRPr="007C3060">
        <w:t>Fullmakt til å pådra staten forpliktelser for investeringsprosjekter</w:t>
      </w:r>
    </w:p>
    <w:p w14:paraId="6F5054D9" w14:textId="77777777" w:rsidR="000A2A2B" w:rsidRPr="007C3060" w:rsidRDefault="000A2A2B" w:rsidP="007C3060">
      <w:r w:rsidRPr="007C3060">
        <w:t>Stortinget samtykker i at Justis- og beredskapsdepartementet i 2025 under kap. 440 Politiet, post 46 Investeringer i Schengen IT-systemer og kap. 490 Utlendingsdirektoratet, post 46 Investeringer i Schengen IT-systemer, kan pådra staten forpliktelser utover budsjettåret i investeringsprosjekter for implementering av Schengen IT-systemene EES og ETIAS, som Norge har forpliktet seg til gjennom Schengen-avtalen. Samlede forpliktelser og utbetalinger kan ikke overskride kostnadsrammen på 880 mill. kroner (2025-kroner). Justis- og beredskapsdepartementet gis fullmakt til å prisjustere kostnadsrammen i senere år.</w:t>
      </w:r>
    </w:p>
    <w:p w14:paraId="77D3EECE" w14:textId="77777777" w:rsidR="000A2A2B" w:rsidRPr="007C3060" w:rsidRDefault="000A2A2B" w:rsidP="007C3060">
      <w:pPr>
        <w:pStyle w:val="a-vedtak-del"/>
      </w:pPr>
      <w:r w:rsidRPr="007C3060">
        <w:t>XV</w:t>
      </w:r>
    </w:p>
    <w:p w14:paraId="187D5D48" w14:textId="77777777" w:rsidR="000A2A2B" w:rsidRPr="007C3060" w:rsidRDefault="000A2A2B" w:rsidP="007C3060">
      <w:pPr>
        <w:pStyle w:val="a-vedtak-tekst"/>
      </w:pPr>
      <w:r w:rsidRPr="007C3060">
        <w:t>Bestillingsfullmakt</w:t>
      </w:r>
    </w:p>
    <w:p w14:paraId="1C706428" w14:textId="77777777" w:rsidR="000A2A2B" w:rsidRPr="007C3060" w:rsidRDefault="000A2A2B" w:rsidP="007C3060">
      <w:r w:rsidRPr="007C3060">
        <w:t>Stortinget samtykker i at Justis- og beredskapsdepartementet i 2025 kan inngå avtaler og forplikte staten utover budsjettåret til drift og vedlikehold av nød- og beredskapskommunikasjon (Nødnett) i perioden 22. desember 2026 til 31. desember 2031 på kap. 451 Direktoratet for samfunnssikkerhet og beredskap, post 22 Spesielle driftsutgifter – Nødnett. Samlede forpliktelser i hele avtaleperioden kan ikke overskride en kostnadsramme på 3 606 mill. kroner (2025-kroner). Fullmakten gjelder også forpliktelser som inngås i senere budsjettår. Justis- og beredskapsdepartementet gis fullmakt til å prisjustere kostnadsrammen i senere år.</w:t>
      </w:r>
    </w:p>
    <w:p w14:paraId="1EBF1392" w14:textId="77777777" w:rsidR="000A2A2B" w:rsidRPr="007C3060" w:rsidRDefault="000A2A2B" w:rsidP="007C3060">
      <w:pPr>
        <w:pStyle w:val="a-vedtak-del"/>
      </w:pPr>
      <w:r w:rsidRPr="007C3060">
        <w:t>XVI</w:t>
      </w:r>
    </w:p>
    <w:p w14:paraId="235E94FE" w14:textId="77777777" w:rsidR="000A2A2B" w:rsidRPr="007C3060" w:rsidRDefault="000A2A2B" w:rsidP="007C3060">
      <w:pPr>
        <w:pStyle w:val="a-vedtak-tekst"/>
      </w:pPr>
      <w:r w:rsidRPr="007C3060">
        <w:t>Tilsagnsfullmakter</w:t>
      </w:r>
    </w:p>
    <w:p w14:paraId="7E869CA7" w14:textId="77777777" w:rsidR="000A2A2B" w:rsidRPr="007C3060" w:rsidRDefault="000A2A2B" w:rsidP="007C3060">
      <w:r w:rsidRPr="007C3060">
        <w:t>Stortinget samtykker i at Arbeids- og inkluderingsdepartementet i 2025 kan gi tilsagn om tilskudd utover gitte bevilgninger, men slik at samlet ramme for nye tilsagn og gammelt ansvar ikke overstiger følgende beløp:</w:t>
      </w:r>
    </w:p>
    <w:p w14:paraId="0D349E58" w14:textId="77777777" w:rsidR="000A2A2B" w:rsidRPr="007C3060" w:rsidRDefault="000A2A2B" w:rsidP="007C3060">
      <w:pPr>
        <w:pStyle w:val="Tabellnavn"/>
      </w:pPr>
      <w:r w:rsidRPr="007C3060">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4B729E" w:rsidRPr="007C3060" w14:paraId="06408C76"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AB4A32" w14:textId="77777777" w:rsidR="000A2A2B" w:rsidRPr="007C3060" w:rsidRDefault="000A2A2B" w:rsidP="007C3060">
            <w:r w:rsidRPr="007C3060">
              <w:lastRenderedPageBreak/>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4A2ACA" w14:textId="77777777" w:rsidR="000A2A2B" w:rsidRPr="007C3060" w:rsidRDefault="000A2A2B" w:rsidP="007C3060">
            <w:r w:rsidRPr="007C306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58844B" w14:textId="77777777" w:rsidR="000A2A2B" w:rsidRPr="007C3060" w:rsidRDefault="000A2A2B" w:rsidP="007C3060">
            <w:r w:rsidRPr="007C306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D7DCDB" w14:textId="77777777" w:rsidR="000A2A2B" w:rsidRPr="007C3060" w:rsidRDefault="000A2A2B" w:rsidP="007C3060">
            <w:r w:rsidRPr="007C3060">
              <w:t>Samlet ramme</w:t>
            </w:r>
          </w:p>
        </w:tc>
      </w:tr>
      <w:tr w:rsidR="004B729E" w:rsidRPr="007C3060" w14:paraId="07A227DC"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7559489B" w14:textId="77777777" w:rsidR="000A2A2B" w:rsidRPr="007C3060" w:rsidRDefault="000A2A2B" w:rsidP="007C3060">
            <w:r w:rsidRPr="007C3060">
              <w:t>634</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7D4355EB" w14:textId="77777777" w:rsidR="000A2A2B" w:rsidRPr="007C3060" w:rsidRDefault="000A2A2B" w:rsidP="007C3060"/>
        </w:tc>
        <w:tc>
          <w:tcPr>
            <w:tcW w:w="6060" w:type="dxa"/>
            <w:tcBorders>
              <w:top w:val="single" w:sz="4" w:space="0" w:color="000000"/>
              <w:left w:val="nil"/>
              <w:bottom w:val="nil"/>
              <w:right w:val="nil"/>
            </w:tcBorders>
            <w:tcMar>
              <w:top w:w="128" w:type="dxa"/>
              <w:left w:w="43" w:type="dxa"/>
              <w:bottom w:w="43" w:type="dxa"/>
              <w:right w:w="43" w:type="dxa"/>
            </w:tcMar>
            <w:vAlign w:val="bottom"/>
          </w:tcPr>
          <w:p w14:paraId="1B442311" w14:textId="77777777" w:rsidR="000A2A2B" w:rsidRPr="007C3060" w:rsidRDefault="000A2A2B" w:rsidP="007C3060">
            <w:r w:rsidRPr="007C3060">
              <w:t>Arbeidsmarkedstiltak</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2001FF0C" w14:textId="77777777" w:rsidR="000A2A2B" w:rsidRPr="007C3060" w:rsidRDefault="000A2A2B" w:rsidP="007C3060"/>
        </w:tc>
      </w:tr>
      <w:tr w:rsidR="004B729E" w:rsidRPr="007C3060" w14:paraId="7642DFDA" w14:textId="77777777">
        <w:trPr>
          <w:trHeight w:val="380"/>
        </w:trPr>
        <w:tc>
          <w:tcPr>
            <w:tcW w:w="620" w:type="dxa"/>
            <w:tcBorders>
              <w:top w:val="nil"/>
              <w:left w:val="nil"/>
              <w:bottom w:val="nil"/>
              <w:right w:val="nil"/>
            </w:tcBorders>
            <w:tcMar>
              <w:top w:w="128" w:type="dxa"/>
              <w:left w:w="43" w:type="dxa"/>
              <w:bottom w:w="43" w:type="dxa"/>
              <w:right w:w="43" w:type="dxa"/>
            </w:tcMar>
          </w:tcPr>
          <w:p w14:paraId="72DFD4BF" w14:textId="77777777" w:rsidR="000A2A2B" w:rsidRPr="007C3060" w:rsidRDefault="000A2A2B" w:rsidP="007C3060"/>
        </w:tc>
        <w:tc>
          <w:tcPr>
            <w:tcW w:w="620" w:type="dxa"/>
            <w:tcBorders>
              <w:top w:val="nil"/>
              <w:left w:val="nil"/>
              <w:bottom w:val="nil"/>
              <w:right w:val="nil"/>
            </w:tcBorders>
            <w:tcMar>
              <w:top w:w="128" w:type="dxa"/>
              <w:left w:w="43" w:type="dxa"/>
              <w:bottom w:w="43" w:type="dxa"/>
              <w:right w:w="43" w:type="dxa"/>
            </w:tcMar>
            <w:vAlign w:val="bottom"/>
          </w:tcPr>
          <w:p w14:paraId="0FF19B93" w14:textId="77777777" w:rsidR="000A2A2B" w:rsidRPr="007C3060" w:rsidRDefault="000A2A2B" w:rsidP="007C3060">
            <w:r w:rsidRPr="007C3060">
              <w:t>76</w:t>
            </w:r>
          </w:p>
        </w:tc>
        <w:tc>
          <w:tcPr>
            <w:tcW w:w="6060" w:type="dxa"/>
            <w:tcBorders>
              <w:top w:val="nil"/>
              <w:left w:val="nil"/>
              <w:bottom w:val="nil"/>
              <w:right w:val="nil"/>
            </w:tcBorders>
            <w:tcMar>
              <w:top w:w="128" w:type="dxa"/>
              <w:left w:w="43" w:type="dxa"/>
              <w:bottom w:w="43" w:type="dxa"/>
              <w:right w:w="43" w:type="dxa"/>
            </w:tcMar>
            <w:vAlign w:val="bottom"/>
          </w:tcPr>
          <w:p w14:paraId="42EA175E" w14:textId="77777777" w:rsidR="000A2A2B" w:rsidRPr="007C3060" w:rsidRDefault="000A2A2B" w:rsidP="007C3060">
            <w:r w:rsidRPr="007C3060">
              <w:t>Tiltak for arbeidssøkere</w:t>
            </w:r>
          </w:p>
        </w:tc>
        <w:tc>
          <w:tcPr>
            <w:tcW w:w="2260" w:type="dxa"/>
            <w:tcBorders>
              <w:top w:val="nil"/>
              <w:left w:val="nil"/>
              <w:bottom w:val="nil"/>
              <w:right w:val="nil"/>
            </w:tcBorders>
            <w:tcMar>
              <w:top w:w="128" w:type="dxa"/>
              <w:left w:w="43" w:type="dxa"/>
              <w:bottom w:w="43" w:type="dxa"/>
              <w:right w:w="43" w:type="dxa"/>
            </w:tcMar>
            <w:vAlign w:val="bottom"/>
          </w:tcPr>
          <w:p w14:paraId="298F3722" w14:textId="77777777" w:rsidR="000A2A2B" w:rsidRPr="007C3060" w:rsidRDefault="000A2A2B" w:rsidP="007C3060">
            <w:r w:rsidRPr="007C3060">
              <w:t xml:space="preserve"> 3 218,5 mill. kroner</w:t>
            </w:r>
          </w:p>
        </w:tc>
      </w:tr>
      <w:tr w:rsidR="004B729E" w:rsidRPr="007C3060" w14:paraId="3EFB6C10" w14:textId="77777777">
        <w:trPr>
          <w:trHeight w:val="380"/>
        </w:trPr>
        <w:tc>
          <w:tcPr>
            <w:tcW w:w="620" w:type="dxa"/>
            <w:tcBorders>
              <w:top w:val="nil"/>
              <w:left w:val="nil"/>
              <w:bottom w:val="nil"/>
              <w:right w:val="nil"/>
            </w:tcBorders>
            <w:tcMar>
              <w:top w:w="128" w:type="dxa"/>
              <w:left w:w="43" w:type="dxa"/>
              <w:bottom w:w="43" w:type="dxa"/>
              <w:right w:w="43" w:type="dxa"/>
            </w:tcMar>
          </w:tcPr>
          <w:p w14:paraId="7E92997D" w14:textId="77777777" w:rsidR="000A2A2B" w:rsidRPr="007C3060" w:rsidRDefault="000A2A2B" w:rsidP="007C3060"/>
        </w:tc>
        <w:tc>
          <w:tcPr>
            <w:tcW w:w="620" w:type="dxa"/>
            <w:tcBorders>
              <w:top w:val="nil"/>
              <w:left w:val="nil"/>
              <w:bottom w:val="nil"/>
              <w:right w:val="nil"/>
            </w:tcBorders>
            <w:tcMar>
              <w:top w:w="128" w:type="dxa"/>
              <w:left w:w="43" w:type="dxa"/>
              <w:bottom w:w="43" w:type="dxa"/>
              <w:right w:w="43" w:type="dxa"/>
            </w:tcMar>
            <w:vAlign w:val="bottom"/>
          </w:tcPr>
          <w:p w14:paraId="591754CF" w14:textId="77777777" w:rsidR="000A2A2B" w:rsidRPr="007C3060" w:rsidRDefault="000A2A2B" w:rsidP="007C3060">
            <w:r w:rsidRPr="007C3060">
              <w:t>77</w:t>
            </w:r>
          </w:p>
        </w:tc>
        <w:tc>
          <w:tcPr>
            <w:tcW w:w="6060" w:type="dxa"/>
            <w:tcBorders>
              <w:top w:val="nil"/>
              <w:left w:val="nil"/>
              <w:bottom w:val="nil"/>
              <w:right w:val="nil"/>
            </w:tcBorders>
            <w:tcMar>
              <w:top w:w="128" w:type="dxa"/>
              <w:left w:w="43" w:type="dxa"/>
              <w:bottom w:w="43" w:type="dxa"/>
              <w:right w:w="43" w:type="dxa"/>
            </w:tcMar>
            <w:vAlign w:val="bottom"/>
          </w:tcPr>
          <w:p w14:paraId="6F1D618A" w14:textId="77777777" w:rsidR="000A2A2B" w:rsidRPr="007C3060" w:rsidRDefault="000A2A2B" w:rsidP="007C3060">
            <w:r w:rsidRPr="007C3060">
              <w:t>Varig tilrettelagt arbeid</w:t>
            </w:r>
          </w:p>
        </w:tc>
        <w:tc>
          <w:tcPr>
            <w:tcW w:w="2260" w:type="dxa"/>
            <w:tcBorders>
              <w:top w:val="nil"/>
              <w:left w:val="nil"/>
              <w:bottom w:val="nil"/>
              <w:right w:val="nil"/>
            </w:tcBorders>
            <w:tcMar>
              <w:top w:w="128" w:type="dxa"/>
              <w:left w:w="43" w:type="dxa"/>
              <w:bottom w:w="43" w:type="dxa"/>
              <w:right w:w="43" w:type="dxa"/>
            </w:tcMar>
            <w:vAlign w:val="bottom"/>
          </w:tcPr>
          <w:p w14:paraId="5533CAE4" w14:textId="77777777" w:rsidR="000A2A2B" w:rsidRPr="007C3060" w:rsidRDefault="000A2A2B" w:rsidP="007C3060">
            <w:r w:rsidRPr="007C3060">
              <w:t xml:space="preserve"> 1 295,5 mill. kroner</w:t>
            </w:r>
          </w:p>
        </w:tc>
      </w:tr>
      <w:tr w:rsidR="004B729E" w:rsidRPr="007C3060" w14:paraId="5B7C6693"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4E6D767B" w14:textId="77777777" w:rsidR="000A2A2B" w:rsidRPr="007C3060" w:rsidRDefault="000A2A2B" w:rsidP="007C3060"/>
        </w:tc>
        <w:tc>
          <w:tcPr>
            <w:tcW w:w="620" w:type="dxa"/>
            <w:tcBorders>
              <w:top w:val="nil"/>
              <w:left w:val="nil"/>
              <w:bottom w:val="single" w:sz="4" w:space="0" w:color="000000"/>
              <w:right w:val="nil"/>
            </w:tcBorders>
            <w:tcMar>
              <w:top w:w="128" w:type="dxa"/>
              <w:left w:w="43" w:type="dxa"/>
              <w:bottom w:w="43" w:type="dxa"/>
              <w:right w:w="43" w:type="dxa"/>
            </w:tcMar>
            <w:vAlign w:val="bottom"/>
          </w:tcPr>
          <w:p w14:paraId="58673043" w14:textId="77777777" w:rsidR="000A2A2B" w:rsidRPr="007C3060" w:rsidRDefault="000A2A2B" w:rsidP="007C3060">
            <w:r w:rsidRPr="007C3060">
              <w:t>79</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09B3638B" w14:textId="77777777" w:rsidR="000A2A2B" w:rsidRPr="007C3060" w:rsidRDefault="000A2A2B" w:rsidP="007C3060">
            <w:r w:rsidRPr="007C3060">
              <w:t>Funksjonsassistanse i arbeidslivet</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41FE7FDF" w14:textId="77777777" w:rsidR="000A2A2B" w:rsidRPr="007C3060" w:rsidRDefault="000A2A2B" w:rsidP="007C3060">
            <w:r w:rsidRPr="007C3060">
              <w:t xml:space="preserve"> 69,3 mill. kroner</w:t>
            </w:r>
          </w:p>
        </w:tc>
      </w:tr>
    </w:tbl>
    <w:p w14:paraId="6E2700E5" w14:textId="77777777" w:rsidR="000A2A2B" w:rsidRPr="007C3060" w:rsidRDefault="000A2A2B" w:rsidP="007C3060">
      <w:pPr>
        <w:pStyle w:val="a-vedtak-del"/>
      </w:pPr>
      <w:r w:rsidRPr="007C3060">
        <w:t>XVII</w:t>
      </w:r>
    </w:p>
    <w:p w14:paraId="695A3F69" w14:textId="77777777" w:rsidR="000A2A2B" w:rsidRPr="007C3060" w:rsidRDefault="000A2A2B" w:rsidP="007C3060">
      <w:pPr>
        <w:pStyle w:val="a-vedtak-tekst"/>
      </w:pPr>
      <w:r w:rsidRPr="007C3060">
        <w:t>Bestillingsfullmakter</w:t>
      </w:r>
    </w:p>
    <w:p w14:paraId="463F807A" w14:textId="77777777" w:rsidR="000A2A2B" w:rsidRPr="007C3060" w:rsidRDefault="000A2A2B" w:rsidP="007C3060">
      <w:r w:rsidRPr="007C3060">
        <w:t>Stortinget samtykker i at Helse- og omsorgsdepartementet i 2025 kan foreta bestillinger utover gitte bestillinger, men slik at samlet ramme for de nye bestillingene og gammelt ansvar ikke overstiger følgende beløp:</w:t>
      </w:r>
    </w:p>
    <w:p w14:paraId="0D30A04A" w14:textId="77777777" w:rsidR="000A2A2B" w:rsidRPr="007C3060" w:rsidRDefault="000A2A2B" w:rsidP="007C3060">
      <w:pPr>
        <w:pStyle w:val="Tabellnavn"/>
      </w:pPr>
      <w:r w:rsidRPr="007C3060">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4B729E" w:rsidRPr="007C3060" w14:paraId="5959A84D"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81F3CD" w14:textId="77777777" w:rsidR="000A2A2B" w:rsidRPr="007C3060" w:rsidRDefault="000A2A2B" w:rsidP="007C3060">
            <w:r w:rsidRPr="007C306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72CCCD" w14:textId="77777777" w:rsidR="000A2A2B" w:rsidRPr="007C3060" w:rsidRDefault="000A2A2B" w:rsidP="007C3060">
            <w:r w:rsidRPr="007C306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279955" w14:textId="77777777" w:rsidR="000A2A2B" w:rsidRPr="007C3060" w:rsidRDefault="000A2A2B" w:rsidP="007C3060">
            <w:r w:rsidRPr="007C306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3228F3" w14:textId="77777777" w:rsidR="000A2A2B" w:rsidRPr="007C3060" w:rsidRDefault="000A2A2B" w:rsidP="007C3060">
            <w:r w:rsidRPr="007C3060">
              <w:t>Samlet ramme</w:t>
            </w:r>
          </w:p>
        </w:tc>
      </w:tr>
      <w:tr w:rsidR="004B729E" w:rsidRPr="007C3060" w14:paraId="275B35C0"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5F9A6A64" w14:textId="77777777" w:rsidR="000A2A2B" w:rsidRPr="007C3060" w:rsidRDefault="000A2A2B" w:rsidP="007C3060">
            <w:r w:rsidRPr="007C3060">
              <w:t>710</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41F055B2" w14:textId="77777777" w:rsidR="000A2A2B" w:rsidRPr="007C3060" w:rsidRDefault="000A2A2B" w:rsidP="007C3060"/>
        </w:tc>
        <w:tc>
          <w:tcPr>
            <w:tcW w:w="6060" w:type="dxa"/>
            <w:tcBorders>
              <w:top w:val="single" w:sz="4" w:space="0" w:color="000000"/>
              <w:left w:val="nil"/>
              <w:bottom w:val="nil"/>
              <w:right w:val="nil"/>
            </w:tcBorders>
            <w:tcMar>
              <w:top w:w="128" w:type="dxa"/>
              <w:left w:w="43" w:type="dxa"/>
              <w:bottom w:w="43" w:type="dxa"/>
              <w:right w:w="43" w:type="dxa"/>
            </w:tcMar>
            <w:vAlign w:val="bottom"/>
          </w:tcPr>
          <w:p w14:paraId="3C145F90" w14:textId="77777777" w:rsidR="000A2A2B" w:rsidRPr="007C3060" w:rsidRDefault="000A2A2B" w:rsidP="007C3060">
            <w:r w:rsidRPr="007C3060">
              <w:t>Vaksiner mv.</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74A2DF3E" w14:textId="77777777" w:rsidR="000A2A2B" w:rsidRPr="007C3060" w:rsidRDefault="000A2A2B" w:rsidP="007C3060"/>
        </w:tc>
      </w:tr>
      <w:tr w:rsidR="004B729E" w:rsidRPr="007C3060" w14:paraId="4BC06B29" w14:textId="77777777">
        <w:trPr>
          <w:trHeight w:val="380"/>
        </w:trPr>
        <w:tc>
          <w:tcPr>
            <w:tcW w:w="620" w:type="dxa"/>
            <w:tcBorders>
              <w:top w:val="nil"/>
              <w:left w:val="nil"/>
              <w:bottom w:val="nil"/>
              <w:right w:val="nil"/>
            </w:tcBorders>
            <w:tcMar>
              <w:top w:w="128" w:type="dxa"/>
              <w:left w:w="43" w:type="dxa"/>
              <w:bottom w:w="43" w:type="dxa"/>
              <w:right w:w="43" w:type="dxa"/>
            </w:tcMar>
          </w:tcPr>
          <w:p w14:paraId="7129D3B3" w14:textId="77777777" w:rsidR="000A2A2B" w:rsidRPr="007C3060" w:rsidRDefault="000A2A2B" w:rsidP="007C3060"/>
        </w:tc>
        <w:tc>
          <w:tcPr>
            <w:tcW w:w="620" w:type="dxa"/>
            <w:tcBorders>
              <w:top w:val="nil"/>
              <w:left w:val="nil"/>
              <w:bottom w:val="nil"/>
              <w:right w:val="nil"/>
            </w:tcBorders>
            <w:tcMar>
              <w:top w:w="128" w:type="dxa"/>
              <w:left w:w="43" w:type="dxa"/>
              <w:bottom w:w="43" w:type="dxa"/>
              <w:right w:w="43" w:type="dxa"/>
            </w:tcMar>
            <w:vAlign w:val="bottom"/>
          </w:tcPr>
          <w:p w14:paraId="6CAB68C5" w14:textId="77777777" w:rsidR="000A2A2B" w:rsidRPr="007C3060" w:rsidRDefault="000A2A2B" w:rsidP="007C3060">
            <w:r w:rsidRPr="007C3060">
              <w:t>21</w:t>
            </w:r>
          </w:p>
        </w:tc>
        <w:tc>
          <w:tcPr>
            <w:tcW w:w="6060" w:type="dxa"/>
            <w:tcBorders>
              <w:top w:val="nil"/>
              <w:left w:val="nil"/>
              <w:bottom w:val="nil"/>
              <w:right w:val="nil"/>
            </w:tcBorders>
            <w:tcMar>
              <w:top w:w="128" w:type="dxa"/>
              <w:left w:w="43" w:type="dxa"/>
              <w:bottom w:w="43" w:type="dxa"/>
              <w:right w:w="43" w:type="dxa"/>
            </w:tcMar>
            <w:vAlign w:val="bottom"/>
          </w:tcPr>
          <w:p w14:paraId="06DF3964" w14:textId="77777777" w:rsidR="000A2A2B" w:rsidRPr="007C3060" w:rsidRDefault="000A2A2B" w:rsidP="007C3060">
            <w:r w:rsidRPr="007C3060">
              <w:t>Spesielle driftsutgifter</w:t>
            </w:r>
          </w:p>
        </w:tc>
        <w:tc>
          <w:tcPr>
            <w:tcW w:w="2260" w:type="dxa"/>
            <w:tcBorders>
              <w:top w:val="nil"/>
              <w:left w:val="nil"/>
              <w:bottom w:val="nil"/>
              <w:right w:val="nil"/>
            </w:tcBorders>
            <w:tcMar>
              <w:top w:w="128" w:type="dxa"/>
              <w:left w:w="43" w:type="dxa"/>
              <w:bottom w:w="43" w:type="dxa"/>
              <w:right w:w="43" w:type="dxa"/>
            </w:tcMar>
            <w:vAlign w:val="bottom"/>
          </w:tcPr>
          <w:p w14:paraId="3CA9737E" w14:textId="77777777" w:rsidR="000A2A2B" w:rsidRPr="007C3060" w:rsidRDefault="000A2A2B" w:rsidP="007C3060">
            <w:r w:rsidRPr="007C3060">
              <w:t>255 mill. kroner</w:t>
            </w:r>
          </w:p>
        </w:tc>
      </w:tr>
      <w:tr w:rsidR="004B729E" w:rsidRPr="007C3060" w14:paraId="7D2E5EA2"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2FDBDB30" w14:textId="77777777" w:rsidR="000A2A2B" w:rsidRPr="007C3060" w:rsidRDefault="000A2A2B" w:rsidP="007C3060"/>
        </w:tc>
        <w:tc>
          <w:tcPr>
            <w:tcW w:w="620" w:type="dxa"/>
            <w:tcBorders>
              <w:top w:val="nil"/>
              <w:left w:val="nil"/>
              <w:bottom w:val="single" w:sz="4" w:space="0" w:color="000000"/>
              <w:right w:val="nil"/>
            </w:tcBorders>
            <w:tcMar>
              <w:top w:w="128" w:type="dxa"/>
              <w:left w:w="43" w:type="dxa"/>
              <w:bottom w:w="43" w:type="dxa"/>
              <w:right w:w="43" w:type="dxa"/>
            </w:tcMar>
            <w:vAlign w:val="bottom"/>
          </w:tcPr>
          <w:p w14:paraId="20748B5E" w14:textId="77777777" w:rsidR="000A2A2B" w:rsidRPr="007C3060" w:rsidRDefault="000A2A2B" w:rsidP="007C3060">
            <w:r w:rsidRPr="007C3060">
              <w:t>22</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32136134" w14:textId="77777777" w:rsidR="000A2A2B" w:rsidRPr="007C3060" w:rsidRDefault="000A2A2B" w:rsidP="007C3060">
            <w:r w:rsidRPr="007C3060">
              <w:t>Salgs- og beredskapsprodukter m.m.</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2C84C961" w14:textId="77777777" w:rsidR="000A2A2B" w:rsidRPr="007C3060" w:rsidRDefault="000A2A2B" w:rsidP="007C3060">
            <w:r w:rsidRPr="007C3060">
              <w:t>100 mill. kroner</w:t>
            </w:r>
          </w:p>
        </w:tc>
      </w:tr>
    </w:tbl>
    <w:p w14:paraId="265EEA5B" w14:textId="77777777" w:rsidR="000A2A2B" w:rsidRPr="007C3060" w:rsidRDefault="000A2A2B" w:rsidP="007C3060">
      <w:pPr>
        <w:pStyle w:val="a-vedtak-del"/>
      </w:pPr>
      <w:r w:rsidRPr="007C3060">
        <w:t>XVIII</w:t>
      </w:r>
    </w:p>
    <w:p w14:paraId="22516A85" w14:textId="77777777" w:rsidR="000A2A2B" w:rsidRPr="007C3060" w:rsidRDefault="000A2A2B" w:rsidP="007C3060">
      <w:pPr>
        <w:pStyle w:val="a-vedtak-tekst"/>
      </w:pPr>
      <w:r w:rsidRPr="007C3060">
        <w:t>Tilsagnsfullmakt</w:t>
      </w:r>
    </w:p>
    <w:p w14:paraId="28703268" w14:textId="77777777" w:rsidR="000A2A2B" w:rsidRPr="007C3060" w:rsidRDefault="000A2A2B" w:rsidP="007C3060">
      <w:r w:rsidRPr="007C3060">
        <w:t>Stortinget samtykker i at Helse- og omsorgsdepartementet i 2025 kan gi tilsagn om tilskudd utover gitte bevilgninger, men slik at samlet ramme for nye tilsagn og gammelt ansvar ikke overstiger følgende beløp:</w:t>
      </w:r>
    </w:p>
    <w:p w14:paraId="734A7B32" w14:textId="77777777" w:rsidR="000A2A2B" w:rsidRPr="007C3060" w:rsidRDefault="000A2A2B" w:rsidP="007C3060">
      <w:pPr>
        <w:pStyle w:val="Tabellnavn"/>
      </w:pPr>
      <w:r w:rsidRPr="007C3060">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4B729E" w:rsidRPr="007C3060" w14:paraId="5920D530" w14:textId="77777777">
        <w:trPr>
          <w:trHeight w:val="38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652EF2" w14:textId="77777777" w:rsidR="000A2A2B" w:rsidRPr="007C3060" w:rsidRDefault="000A2A2B" w:rsidP="007C3060">
            <w:r w:rsidRPr="007C306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C69E1B" w14:textId="77777777" w:rsidR="000A2A2B" w:rsidRPr="007C3060" w:rsidRDefault="000A2A2B" w:rsidP="007C3060">
            <w:r w:rsidRPr="007C306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AC4162" w14:textId="77777777" w:rsidR="000A2A2B" w:rsidRPr="007C3060" w:rsidRDefault="000A2A2B" w:rsidP="007C3060">
            <w:r w:rsidRPr="007C306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5522B2" w14:textId="77777777" w:rsidR="000A2A2B" w:rsidRPr="007C3060" w:rsidRDefault="000A2A2B" w:rsidP="007C3060">
            <w:r w:rsidRPr="007C3060">
              <w:t>Samlet ramme</w:t>
            </w:r>
          </w:p>
        </w:tc>
      </w:tr>
      <w:tr w:rsidR="004B729E" w:rsidRPr="007C3060" w14:paraId="2A07118F"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5B9F7A10" w14:textId="77777777" w:rsidR="000A2A2B" w:rsidRPr="007C3060" w:rsidRDefault="000A2A2B" w:rsidP="007C3060">
            <w:r w:rsidRPr="007C3060">
              <w:t>780</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101A99AC" w14:textId="77777777" w:rsidR="000A2A2B" w:rsidRPr="007C3060" w:rsidRDefault="000A2A2B" w:rsidP="007C3060"/>
        </w:tc>
        <w:tc>
          <w:tcPr>
            <w:tcW w:w="6060" w:type="dxa"/>
            <w:tcBorders>
              <w:top w:val="single" w:sz="4" w:space="0" w:color="000000"/>
              <w:left w:val="nil"/>
              <w:bottom w:val="nil"/>
              <w:right w:val="nil"/>
            </w:tcBorders>
            <w:tcMar>
              <w:top w:w="128" w:type="dxa"/>
              <w:left w:w="43" w:type="dxa"/>
              <w:bottom w:w="43" w:type="dxa"/>
              <w:right w:w="43" w:type="dxa"/>
            </w:tcMar>
            <w:vAlign w:val="bottom"/>
          </w:tcPr>
          <w:p w14:paraId="67861780" w14:textId="77777777" w:rsidR="000A2A2B" w:rsidRPr="007C3060" w:rsidRDefault="000A2A2B" w:rsidP="007C3060">
            <w:r w:rsidRPr="007C3060">
              <w:t>Forskning</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1E40764C" w14:textId="77777777" w:rsidR="000A2A2B" w:rsidRPr="007C3060" w:rsidRDefault="000A2A2B" w:rsidP="007C3060"/>
        </w:tc>
      </w:tr>
      <w:tr w:rsidR="004B729E" w:rsidRPr="007C3060" w14:paraId="72D19C94"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6C396D85" w14:textId="77777777" w:rsidR="000A2A2B" w:rsidRPr="007C3060" w:rsidRDefault="000A2A2B" w:rsidP="007C3060"/>
        </w:tc>
        <w:tc>
          <w:tcPr>
            <w:tcW w:w="620" w:type="dxa"/>
            <w:tcBorders>
              <w:top w:val="nil"/>
              <w:left w:val="nil"/>
              <w:bottom w:val="single" w:sz="4" w:space="0" w:color="000000"/>
              <w:right w:val="nil"/>
            </w:tcBorders>
            <w:tcMar>
              <w:top w:w="128" w:type="dxa"/>
              <w:left w:w="43" w:type="dxa"/>
              <w:bottom w:w="43" w:type="dxa"/>
              <w:right w:w="43" w:type="dxa"/>
            </w:tcMar>
            <w:vAlign w:val="bottom"/>
          </w:tcPr>
          <w:p w14:paraId="722B6799" w14:textId="77777777" w:rsidR="000A2A2B" w:rsidRPr="007C3060" w:rsidRDefault="000A2A2B" w:rsidP="007C3060">
            <w:r w:rsidRPr="007C3060">
              <w:t>70</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06324229" w14:textId="77777777" w:rsidR="000A2A2B" w:rsidRPr="007C3060" w:rsidRDefault="000A2A2B" w:rsidP="007C3060">
            <w:r w:rsidRPr="007C3060">
              <w:t xml:space="preserve">Norges forskningsråd </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5120CFD2" w14:textId="77777777" w:rsidR="000A2A2B" w:rsidRPr="007C3060" w:rsidRDefault="000A2A2B" w:rsidP="007C3060">
            <w:r w:rsidRPr="007C3060">
              <w:t>1 096 mill. kroner</w:t>
            </w:r>
          </w:p>
        </w:tc>
      </w:tr>
    </w:tbl>
    <w:p w14:paraId="7855E8A2" w14:textId="77777777" w:rsidR="000A2A2B" w:rsidRPr="007C3060" w:rsidRDefault="000A2A2B" w:rsidP="007C3060">
      <w:pPr>
        <w:pStyle w:val="a-vedtak-del"/>
      </w:pPr>
      <w:r w:rsidRPr="007C3060">
        <w:t>XIX</w:t>
      </w:r>
    </w:p>
    <w:p w14:paraId="12CA8CA9" w14:textId="77777777" w:rsidR="000A2A2B" w:rsidRPr="007C3060" w:rsidRDefault="000A2A2B" w:rsidP="007C3060">
      <w:pPr>
        <w:pStyle w:val="a-vedtak-tekst"/>
      </w:pPr>
      <w:r w:rsidRPr="007C3060">
        <w:t>Bestillingsfullmakter</w:t>
      </w:r>
    </w:p>
    <w:p w14:paraId="7F82E1F8" w14:textId="77777777" w:rsidR="000A2A2B" w:rsidRPr="007C3060" w:rsidRDefault="000A2A2B" w:rsidP="007C3060">
      <w:r w:rsidRPr="007C3060">
        <w:t>Stortinget samtykker i at Nærings- og fiskeridepartementet i 2025 kan:</w:t>
      </w:r>
    </w:p>
    <w:p w14:paraId="5B23D83C" w14:textId="77777777" w:rsidR="000A2A2B" w:rsidRPr="007C3060" w:rsidRDefault="000A2A2B" w:rsidP="00954E73">
      <w:pPr>
        <w:pStyle w:val="Nummerertliste"/>
        <w:numPr>
          <w:ilvl w:val="0"/>
          <w:numId w:val="22"/>
        </w:numPr>
      </w:pPr>
      <w:r w:rsidRPr="007C3060">
        <w:lastRenderedPageBreak/>
        <w:t xml:space="preserve">gi Norsk nukleær dekommisjonering fullmakt til å inngå kontrakter for inntil 40,5 mill. kroner til opprydding ved </w:t>
      </w:r>
      <w:proofErr w:type="spellStart"/>
      <w:r w:rsidRPr="007C3060">
        <w:t>Søve</w:t>
      </w:r>
      <w:proofErr w:type="spellEnd"/>
      <w:r w:rsidRPr="007C3060">
        <w:t xml:space="preserve"> gruver under kap. 907 Norsk nukleær dekommisjonering, post 30 Opprydding </w:t>
      </w:r>
      <w:proofErr w:type="spellStart"/>
      <w:r w:rsidRPr="007C3060">
        <w:t>Søve</w:t>
      </w:r>
      <w:proofErr w:type="spellEnd"/>
      <w:r w:rsidRPr="007C3060">
        <w:t>.</w:t>
      </w:r>
    </w:p>
    <w:p w14:paraId="092B5A6E" w14:textId="77777777" w:rsidR="000A2A2B" w:rsidRPr="007C3060" w:rsidRDefault="000A2A2B" w:rsidP="007C3060">
      <w:pPr>
        <w:pStyle w:val="Nummerertliste"/>
      </w:pPr>
      <w:r w:rsidRPr="007C3060">
        <w:t>gi Kystverket fullmakt til å forplikte staten for fremtidige budsjettår utover gitt bevilgning under kap. 916 Kystverket, post 30 Nyanlegg og større vedlikehold for prosjekter som ikke er omtalt med kostnadsramme overfor Stortinget med samlet ramme for gamle og nye forpliktelser med inntil 1 193 mill. kroner.</w:t>
      </w:r>
    </w:p>
    <w:p w14:paraId="5F38DF43" w14:textId="77777777" w:rsidR="000A2A2B" w:rsidRPr="007C3060" w:rsidRDefault="000A2A2B" w:rsidP="007C3060">
      <w:pPr>
        <w:pStyle w:val="a-vedtak-del"/>
      </w:pPr>
      <w:r w:rsidRPr="007C3060">
        <w:t>XX</w:t>
      </w:r>
    </w:p>
    <w:p w14:paraId="23D9FB1D" w14:textId="77777777" w:rsidR="000A2A2B" w:rsidRPr="007C3060" w:rsidRDefault="000A2A2B" w:rsidP="007C3060">
      <w:pPr>
        <w:pStyle w:val="a-vedtak-tekst"/>
      </w:pPr>
      <w:r w:rsidRPr="007C3060">
        <w:t>Tilsagnsfullmakt</w:t>
      </w:r>
    </w:p>
    <w:p w14:paraId="7C833EFB" w14:textId="77777777" w:rsidR="000A2A2B" w:rsidRPr="007C3060" w:rsidRDefault="000A2A2B" w:rsidP="007C3060">
      <w:r w:rsidRPr="007C3060">
        <w:t xml:space="preserve">Stortinget samtykker i at Nærings- og fiskeridepartementet i 2025 kan gi tilsagn om tilskudd til taps-avsetning for norsk deltakelse i </w:t>
      </w:r>
      <w:proofErr w:type="spellStart"/>
      <w:r w:rsidRPr="007C3060">
        <w:t>InvestEU</w:t>
      </w:r>
      <w:proofErr w:type="spellEnd"/>
      <w:r w:rsidRPr="007C3060">
        <w:t xml:space="preserve"> med inntil 1 016 mill. kroner under kap. 924 Internasjonale samarbeidsprogrammer, post 70 Tilskudd, og fravike stortingsvedtak av 8. november 1984 om utbetaling av tilskudd før det er behov for å dekke de aktuelle utgiftene.</w:t>
      </w:r>
    </w:p>
    <w:p w14:paraId="52140CE8" w14:textId="77777777" w:rsidR="000A2A2B" w:rsidRPr="007C3060" w:rsidRDefault="000A2A2B" w:rsidP="007C3060">
      <w:pPr>
        <w:pStyle w:val="a-vedtak-del"/>
      </w:pPr>
      <w:r w:rsidRPr="007C3060">
        <w:t>XXI</w:t>
      </w:r>
    </w:p>
    <w:p w14:paraId="66400582" w14:textId="77777777" w:rsidR="000A2A2B" w:rsidRPr="007C3060" w:rsidRDefault="000A2A2B" w:rsidP="007C3060">
      <w:pPr>
        <w:pStyle w:val="a-vedtak-tekst"/>
      </w:pPr>
      <w:r w:rsidRPr="007C3060">
        <w:t>Tilsagnsfullmakter</w:t>
      </w:r>
    </w:p>
    <w:p w14:paraId="41203547" w14:textId="77777777" w:rsidR="000A2A2B" w:rsidRPr="007C3060" w:rsidRDefault="000A2A2B" w:rsidP="007C3060">
      <w:r w:rsidRPr="007C3060">
        <w:t>Stortinget samtykker i at Nærings- og fiskeridepartementet i 2025 kan gi tilsagn om tilskudd utover gitte bevilgninger, men slik at samlet ramme for nye tilsagn og gammelt ansvar ikke overstiger følgende beløp:</w:t>
      </w:r>
    </w:p>
    <w:p w14:paraId="0BA8B199" w14:textId="77777777" w:rsidR="000A2A2B" w:rsidRPr="007C3060" w:rsidRDefault="000A2A2B" w:rsidP="007C3060">
      <w:pPr>
        <w:pStyle w:val="Tabellnavn"/>
      </w:pPr>
      <w:r w:rsidRPr="007C3060">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4B729E" w:rsidRPr="007C3060" w14:paraId="132E0644"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61B1F506" w14:textId="77777777" w:rsidR="000A2A2B" w:rsidRPr="007C3060" w:rsidRDefault="000A2A2B" w:rsidP="007C3060">
            <w:r w:rsidRPr="007C306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0311DB19" w14:textId="77777777" w:rsidR="000A2A2B" w:rsidRPr="007C3060" w:rsidRDefault="000A2A2B" w:rsidP="007C3060">
            <w:r w:rsidRPr="007C306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0F017B" w14:textId="77777777" w:rsidR="000A2A2B" w:rsidRPr="007C3060" w:rsidRDefault="000A2A2B" w:rsidP="007C3060">
            <w:r w:rsidRPr="007C306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B8BCC0" w14:textId="77777777" w:rsidR="000A2A2B" w:rsidRPr="007C3060" w:rsidRDefault="000A2A2B" w:rsidP="007C3060">
            <w:r w:rsidRPr="007C3060">
              <w:t>Samlet ramme</w:t>
            </w:r>
          </w:p>
        </w:tc>
      </w:tr>
      <w:tr w:rsidR="004B729E" w:rsidRPr="007C3060" w14:paraId="7DB8FE90"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67B3237C" w14:textId="77777777" w:rsidR="000A2A2B" w:rsidRPr="007C3060" w:rsidRDefault="000A2A2B" w:rsidP="007C3060">
            <w:r w:rsidRPr="007C3060">
              <w:t>916</w:t>
            </w:r>
          </w:p>
        </w:tc>
        <w:tc>
          <w:tcPr>
            <w:tcW w:w="620" w:type="dxa"/>
            <w:tcBorders>
              <w:top w:val="single" w:sz="4" w:space="0" w:color="000000"/>
              <w:left w:val="nil"/>
              <w:bottom w:val="nil"/>
              <w:right w:val="nil"/>
            </w:tcBorders>
            <w:tcMar>
              <w:top w:w="128" w:type="dxa"/>
              <w:left w:w="43" w:type="dxa"/>
              <w:bottom w:w="43" w:type="dxa"/>
              <w:right w:w="43" w:type="dxa"/>
            </w:tcMar>
          </w:tcPr>
          <w:p w14:paraId="5E654282" w14:textId="77777777" w:rsidR="000A2A2B" w:rsidRPr="007C3060" w:rsidRDefault="000A2A2B" w:rsidP="007C3060"/>
        </w:tc>
        <w:tc>
          <w:tcPr>
            <w:tcW w:w="6060" w:type="dxa"/>
            <w:tcBorders>
              <w:top w:val="single" w:sz="4" w:space="0" w:color="000000"/>
              <w:left w:val="nil"/>
              <w:bottom w:val="nil"/>
              <w:right w:val="nil"/>
            </w:tcBorders>
            <w:tcMar>
              <w:top w:w="128" w:type="dxa"/>
              <w:left w:w="43" w:type="dxa"/>
              <w:bottom w:w="43" w:type="dxa"/>
              <w:right w:w="43" w:type="dxa"/>
            </w:tcMar>
            <w:vAlign w:val="bottom"/>
          </w:tcPr>
          <w:p w14:paraId="6DB555BB" w14:textId="77777777" w:rsidR="000A2A2B" w:rsidRPr="007C3060" w:rsidRDefault="000A2A2B" w:rsidP="007C3060">
            <w:r w:rsidRPr="007C3060">
              <w:t>Kystverket</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60A6E556" w14:textId="77777777" w:rsidR="000A2A2B" w:rsidRPr="007C3060" w:rsidRDefault="000A2A2B" w:rsidP="007C3060"/>
        </w:tc>
      </w:tr>
      <w:tr w:rsidR="004B729E" w:rsidRPr="007C3060" w14:paraId="7627EA44" w14:textId="77777777">
        <w:trPr>
          <w:trHeight w:val="380"/>
        </w:trPr>
        <w:tc>
          <w:tcPr>
            <w:tcW w:w="620" w:type="dxa"/>
            <w:tcBorders>
              <w:top w:val="nil"/>
              <w:left w:val="nil"/>
              <w:bottom w:val="nil"/>
              <w:right w:val="nil"/>
            </w:tcBorders>
            <w:tcMar>
              <w:top w:w="128" w:type="dxa"/>
              <w:left w:w="43" w:type="dxa"/>
              <w:bottom w:w="43" w:type="dxa"/>
              <w:right w:w="43" w:type="dxa"/>
            </w:tcMar>
          </w:tcPr>
          <w:p w14:paraId="3D0AD0D9" w14:textId="77777777" w:rsidR="000A2A2B" w:rsidRPr="007C3060" w:rsidRDefault="000A2A2B" w:rsidP="007C3060"/>
        </w:tc>
        <w:tc>
          <w:tcPr>
            <w:tcW w:w="620" w:type="dxa"/>
            <w:tcBorders>
              <w:top w:val="nil"/>
              <w:left w:val="nil"/>
              <w:bottom w:val="nil"/>
              <w:right w:val="nil"/>
            </w:tcBorders>
            <w:tcMar>
              <w:top w:w="128" w:type="dxa"/>
              <w:left w:w="43" w:type="dxa"/>
              <w:bottom w:w="43" w:type="dxa"/>
              <w:right w:w="43" w:type="dxa"/>
            </w:tcMar>
          </w:tcPr>
          <w:p w14:paraId="62FAFC75" w14:textId="77777777" w:rsidR="000A2A2B" w:rsidRPr="007C3060" w:rsidRDefault="000A2A2B" w:rsidP="007C3060">
            <w:r w:rsidRPr="007C3060">
              <w:t>71</w:t>
            </w:r>
          </w:p>
        </w:tc>
        <w:tc>
          <w:tcPr>
            <w:tcW w:w="6060" w:type="dxa"/>
            <w:tcBorders>
              <w:top w:val="nil"/>
              <w:left w:val="nil"/>
              <w:bottom w:val="nil"/>
              <w:right w:val="nil"/>
            </w:tcBorders>
            <w:tcMar>
              <w:top w:w="128" w:type="dxa"/>
              <w:left w:w="43" w:type="dxa"/>
              <w:bottom w:w="43" w:type="dxa"/>
              <w:right w:w="43" w:type="dxa"/>
            </w:tcMar>
            <w:vAlign w:val="bottom"/>
          </w:tcPr>
          <w:p w14:paraId="51B3F65C" w14:textId="77777777" w:rsidR="000A2A2B" w:rsidRPr="007C3060" w:rsidRDefault="000A2A2B" w:rsidP="007C3060">
            <w:r w:rsidRPr="007C3060">
              <w:t>Tilskudd til effektive og miljøvennlige havner</w:t>
            </w:r>
          </w:p>
        </w:tc>
        <w:tc>
          <w:tcPr>
            <w:tcW w:w="2260" w:type="dxa"/>
            <w:tcBorders>
              <w:top w:val="nil"/>
              <w:left w:val="nil"/>
              <w:bottom w:val="nil"/>
              <w:right w:val="nil"/>
            </w:tcBorders>
            <w:tcMar>
              <w:top w:w="128" w:type="dxa"/>
              <w:left w:w="43" w:type="dxa"/>
              <w:bottom w:w="43" w:type="dxa"/>
              <w:right w:w="43" w:type="dxa"/>
            </w:tcMar>
            <w:vAlign w:val="bottom"/>
          </w:tcPr>
          <w:p w14:paraId="7FFF09CD" w14:textId="77777777" w:rsidR="000A2A2B" w:rsidRPr="007C3060" w:rsidRDefault="000A2A2B" w:rsidP="007C3060">
            <w:r w:rsidRPr="007C3060">
              <w:t>250 mill. kroner</w:t>
            </w:r>
          </w:p>
        </w:tc>
      </w:tr>
      <w:tr w:rsidR="004B729E" w:rsidRPr="007C3060" w14:paraId="295FE37E" w14:textId="77777777">
        <w:trPr>
          <w:trHeight w:val="380"/>
        </w:trPr>
        <w:tc>
          <w:tcPr>
            <w:tcW w:w="620" w:type="dxa"/>
            <w:tcBorders>
              <w:top w:val="nil"/>
              <w:left w:val="nil"/>
              <w:bottom w:val="nil"/>
              <w:right w:val="nil"/>
            </w:tcBorders>
            <w:tcMar>
              <w:top w:w="128" w:type="dxa"/>
              <w:left w:w="43" w:type="dxa"/>
              <w:bottom w:w="43" w:type="dxa"/>
              <w:right w:w="43" w:type="dxa"/>
            </w:tcMar>
          </w:tcPr>
          <w:p w14:paraId="74532903" w14:textId="77777777" w:rsidR="000A2A2B" w:rsidRPr="007C3060" w:rsidRDefault="000A2A2B" w:rsidP="007C3060">
            <w:r w:rsidRPr="007C3060">
              <w:t>920</w:t>
            </w:r>
          </w:p>
        </w:tc>
        <w:tc>
          <w:tcPr>
            <w:tcW w:w="620" w:type="dxa"/>
            <w:tcBorders>
              <w:top w:val="nil"/>
              <w:left w:val="nil"/>
              <w:bottom w:val="nil"/>
              <w:right w:val="nil"/>
            </w:tcBorders>
            <w:tcMar>
              <w:top w:w="128" w:type="dxa"/>
              <w:left w:w="43" w:type="dxa"/>
              <w:bottom w:w="43" w:type="dxa"/>
              <w:right w:w="43" w:type="dxa"/>
            </w:tcMar>
          </w:tcPr>
          <w:p w14:paraId="3559511A" w14:textId="77777777" w:rsidR="000A2A2B" w:rsidRPr="007C3060" w:rsidRDefault="000A2A2B" w:rsidP="007C3060"/>
        </w:tc>
        <w:tc>
          <w:tcPr>
            <w:tcW w:w="6060" w:type="dxa"/>
            <w:tcBorders>
              <w:top w:val="nil"/>
              <w:left w:val="nil"/>
              <w:bottom w:val="nil"/>
              <w:right w:val="nil"/>
            </w:tcBorders>
            <w:tcMar>
              <w:top w:w="128" w:type="dxa"/>
              <w:left w:w="43" w:type="dxa"/>
              <w:bottom w:w="43" w:type="dxa"/>
              <w:right w:w="43" w:type="dxa"/>
            </w:tcMar>
            <w:vAlign w:val="bottom"/>
          </w:tcPr>
          <w:p w14:paraId="3E891369" w14:textId="77777777" w:rsidR="000A2A2B" w:rsidRPr="007C3060" w:rsidRDefault="000A2A2B" w:rsidP="007C3060">
            <w:r w:rsidRPr="007C3060">
              <w:t>Norges forskningsråd</w:t>
            </w:r>
          </w:p>
        </w:tc>
        <w:tc>
          <w:tcPr>
            <w:tcW w:w="2260" w:type="dxa"/>
            <w:tcBorders>
              <w:top w:val="nil"/>
              <w:left w:val="nil"/>
              <w:bottom w:val="nil"/>
              <w:right w:val="nil"/>
            </w:tcBorders>
            <w:tcMar>
              <w:top w:w="128" w:type="dxa"/>
              <w:left w:w="43" w:type="dxa"/>
              <w:bottom w:w="43" w:type="dxa"/>
              <w:right w:w="43" w:type="dxa"/>
            </w:tcMar>
            <w:vAlign w:val="bottom"/>
          </w:tcPr>
          <w:p w14:paraId="2BBA6921" w14:textId="77777777" w:rsidR="000A2A2B" w:rsidRPr="007C3060" w:rsidRDefault="000A2A2B" w:rsidP="007C3060"/>
        </w:tc>
      </w:tr>
      <w:tr w:rsidR="004B729E" w:rsidRPr="007C3060" w14:paraId="4D0713EC" w14:textId="77777777">
        <w:trPr>
          <w:trHeight w:val="380"/>
        </w:trPr>
        <w:tc>
          <w:tcPr>
            <w:tcW w:w="620" w:type="dxa"/>
            <w:tcBorders>
              <w:top w:val="nil"/>
              <w:left w:val="nil"/>
              <w:bottom w:val="nil"/>
              <w:right w:val="nil"/>
            </w:tcBorders>
            <w:tcMar>
              <w:top w:w="128" w:type="dxa"/>
              <w:left w:w="43" w:type="dxa"/>
              <w:bottom w:w="43" w:type="dxa"/>
              <w:right w:w="43" w:type="dxa"/>
            </w:tcMar>
          </w:tcPr>
          <w:p w14:paraId="5EA71DB5" w14:textId="77777777" w:rsidR="000A2A2B" w:rsidRPr="007C3060" w:rsidRDefault="000A2A2B" w:rsidP="007C3060"/>
        </w:tc>
        <w:tc>
          <w:tcPr>
            <w:tcW w:w="620" w:type="dxa"/>
            <w:tcBorders>
              <w:top w:val="nil"/>
              <w:left w:val="nil"/>
              <w:bottom w:val="nil"/>
              <w:right w:val="nil"/>
            </w:tcBorders>
            <w:tcMar>
              <w:top w:w="128" w:type="dxa"/>
              <w:left w:w="43" w:type="dxa"/>
              <w:bottom w:w="43" w:type="dxa"/>
              <w:right w:w="43" w:type="dxa"/>
            </w:tcMar>
          </w:tcPr>
          <w:p w14:paraId="4C2B86CA" w14:textId="77777777" w:rsidR="000A2A2B" w:rsidRPr="007C3060" w:rsidRDefault="000A2A2B" w:rsidP="007C3060">
            <w:r w:rsidRPr="007C3060">
              <w:t>70</w:t>
            </w:r>
          </w:p>
        </w:tc>
        <w:tc>
          <w:tcPr>
            <w:tcW w:w="6060" w:type="dxa"/>
            <w:tcBorders>
              <w:top w:val="nil"/>
              <w:left w:val="nil"/>
              <w:bottom w:val="nil"/>
              <w:right w:val="nil"/>
            </w:tcBorders>
            <w:tcMar>
              <w:top w:w="128" w:type="dxa"/>
              <w:left w:w="43" w:type="dxa"/>
              <w:bottom w:w="43" w:type="dxa"/>
              <w:right w:w="43" w:type="dxa"/>
            </w:tcMar>
            <w:vAlign w:val="bottom"/>
          </w:tcPr>
          <w:p w14:paraId="3CDECBA6" w14:textId="77777777" w:rsidR="000A2A2B" w:rsidRPr="007C3060" w:rsidRDefault="000A2A2B" w:rsidP="007C3060">
            <w:r w:rsidRPr="007C3060">
              <w:t>Tilskudd til næringsrettet forskning</w:t>
            </w:r>
          </w:p>
        </w:tc>
        <w:tc>
          <w:tcPr>
            <w:tcW w:w="2260" w:type="dxa"/>
            <w:tcBorders>
              <w:top w:val="nil"/>
              <w:left w:val="nil"/>
              <w:bottom w:val="nil"/>
              <w:right w:val="nil"/>
            </w:tcBorders>
            <w:tcMar>
              <w:top w:w="128" w:type="dxa"/>
              <w:left w:w="43" w:type="dxa"/>
              <w:bottom w:w="43" w:type="dxa"/>
              <w:right w:w="43" w:type="dxa"/>
            </w:tcMar>
            <w:vAlign w:val="bottom"/>
          </w:tcPr>
          <w:p w14:paraId="4A377818" w14:textId="77777777" w:rsidR="000A2A2B" w:rsidRPr="007C3060" w:rsidRDefault="000A2A2B" w:rsidP="007C3060">
            <w:r w:rsidRPr="007C3060">
              <w:t>2 878 mill. kroner</w:t>
            </w:r>
          </w:p>
        </w:tc>
      </w:tr>
      <w:tr w:rsidR="004B729E" w:rsidRPr="007C3060" w14:paraId="2EC26AB3" w14:textId="77777777">
        <w:trPr>
          <w:trHeight w:val="380"/>
        </w:trPr>
        <w:tc>
          <w:tcPr>
            <w:tcW w:w="620" w:type="dxa"/>
            <w:tcBorders>
              <w:top w:val="nil"/>
              <w:left w:val="nil"/>
              <w:bottom w:val="nil"/>
              <w:right w:val="nil"/>
            </w:tcBorders>
            <w:tcMar>
              <w:top w:w="128" w:type="dxa"/>
              <w:left w:w="43" w:type="dxa"/>
              <w:bottom w:w="43" w:type="dxa"/>
              <w:right w:w="43" w:type="dxa"/>
            </w:tcMar>
          </w:tcPr>
          <w:p w14:paraId="23943175" w14:textId="77777777" w:rsidR="000A2A2B" w:rsidRPr="007C3060" w:rsidRDefault="000A2A2B" w:rsidP="007C3060">
            <w:r w:rsidRPr="007C3060">
              <w:t>2421</w:t>
            </w:r>
          </w:p>
        </w:tc>
        <w:tc>
          <w:tcPr>
            <w:tcW w:w="620" w:type="dxa"/>
            <w:tcBorders>
              <w:top w:val="nil"/>
              <w:left w:val="nil"/>
              <w:bottom w:val="nil"/>
              <w:right w:val="nil"/>
            </w:tcBorders>
            <w:tcMar>
              <w:top w:w="128" w:type="dxa"/>
              <w:left w:w="43" w:type="dxa"/>
              <w:bottom w:w="43" w:type="dxa"/>
              <w:right w:w="43" w:type="dxa"/>
            </w:tcMar>
          </w:tcPr>
          <w:p w14:paraId="073A1E7D" w14:textId="77777777" w:rsidR="000A2A2B" w:rsidRPr="007C3060" w:rsidRDefault="000A2A2B" w:rsidP="007C3060"/>
        </w:tc>
        <w:tc>
          <w:tcPr>
            <w:tcW w:w="6060" w:type="dxa"/>
            <w:tcBorders>
              <w:top w:val="nil"/>
              <w:left w:val="nil"/>
              <w:bottom w:val="nil"/>
              <w:right w:val="nil"/>
            </w:tcBorders>
            <w:tcMar>
              <w:top w:w="128" w:type="dxa"/>
              <w:left w:w="43" w:type="dxa"/>
              <w:bottom w:w="43" w:type="dxa"/>
              <w:right w:w="43" w:type="dxa"/>
            </w:tcMar>
            <w:vAlign w:val="bottom"/>
          </w:tcPr>
          <w:p w14:paraId="5BB051BD" w14:textId="77777777" w:rsidR="000A2A2B" w:rsidRPr="007C3060" w:rsidRDefault="000A2A2B" w:rsidP="007C3060">
            <w:r w:rsidRPr="007C3060">
              <w:t>Innovasjon Norge</w:t>
            </w:r>
          </w:p>
        </w:tc>
        <w:tc>
          <w:tcPr>
            <w:tcW w:w="2260" w:type="dxa"/>
            <w:tcBorders>
              <w:top w:val="nil"/>
              <w:left w:val="nil"/>
              <w:bottom w:val="nil"/>
              <w:right w:val="nil"/>
            </w:tcBorders>
            <w:tcMar>
              <w:top w:w="128" w:type="dxa"/>
              <w:left w:w="43" w:type="dxa"/>
              <w:bottom w:w="43" w:type="dxa"/>
              <w:right w:w="43" w:type="dxa"/>
            </w:tcMar>
            <w:vAlign w:val="bottom"/>
          </w:tcPr>
          <w:p w14:paraId="163C9F92" w14:textId="77777777" w:rsidR="000A2A2B" w:rsidRPr="007C3060" w:rsidRDefault="000A2A2B" w:rsidP="007C3060"/>
        </w:tc>
      </w:tr>
      <w:tr w:rsidR="004B729E" w:rsidRPr="007C3060" w14:paraId="33CD3C26"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73841384" w14:textId="77777777" w:rsidR="000A2A2B" w:rsidRPr="007C3060" w:rsidRDefault="000A2A2B" w:rsidP="007C3060"/>
        </w:tc>
        <w:tc>
          <w:tcPr>
            <w:tcW w:w="620" w:type="dxa"/>
            <w:tcBorders>
              <w:top w:val="nil"/>
              <w:left w:val="nil"/>
              <w:bottom w:val="single" w:sz="4" w:space="0" w:color="000000"/>
              <w:right w:val="nil"/>
            </w:tcBorders>
            <w:tcMar>
              <w:top w:w="128" w:type="dxa"/>
              <w:left w:w="43" w:type="dxa"/>
              <w:bottom w:w="43" w:type="dxa"/>
              <w:right w:w="43" w:type="dxa"/>
            </w:tcMar>
          </w:tcPr>
          <w:p w14:paraId="2CED9B87" w14:textId="77777777" w:rsidR="000A2A2B" w:rsidRPr="007C3060" w:rsidRDefault="000A2A2B" w:rsidP="007C3060">
            <w:r w:rsidRPr="007C3060">
              <w:t>76</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3274452A" w14:textId="77777777" w:rsidR="000A2A2B" w:rsidRPr="007C3060" w:rsidRDefault="000A2A2B" w:rsidP="007C3060">
            <w:r w:rsidRPr="007C3060">
              <w:t>Miljøteknologi</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318E1BCC" w14:textId="77777777" w:rsidR="000A2A2B" w:rsidRPr="007C3060" w:rsidRDefault="000A2A2B" w:rsidP="007C3060">
            <w:r w:rsidRPr="007C3060">
              <w:t>645 mill. kroner</w:t>
            </w:r>
          </w:p>
        </w:tc>
      </w:tr>
    </w:tbl>
    <w:p w14:paraId="2530DAEB" w14:textId="77777777" w:rsidR="000A2A2B" w:rsidRPr="007C3060" w:rsidRDefault="000A2A2B" w:rsidP="007C3060">
      <w:pPr>
        <w:pStyle w:val="a-vedtak-del"/>
      </w:pPr>
      <w:r w:rsidRPr="007C3060">
        <w:t>XXII</w:t>
      </w:r>
    </w:p>
    <w:p w14:paraId="5E4B3D97" w14:textId="77777777" w:rsidR="000A2A2B" w:rsidRPr="007C3060" w:rsidRDefault="000A2A2B" w:rsidP="007C3060">
      <w:pPr>
        <w:pStyle w:val="a-vedtak-tekst"/>
      </w:pPr>
      <w:r w:rsidRPr="007C3060">
        <w:t>Tilsagnsfullmakt</w:t>
      </w:r>
    </w:p>
    <w:p w14:paraId="0786A9FE" w14:textId="77777777" w:rsidR="000A2A2B" w:rsidRPr="007C3060" w:rsidRDefault="000A2A2B" w:rsidP="007C3060">
      <w:r w:rsidRPr="007C3060">
        <w:t>Stortinget samtykker i at Landbruks- og matdepartementet i 2025 kan gi tilsagn om tilskudd utover gitte bevilgninger, men slik at samlet ramme for nye tilsagn og gammelt ansvar ikke overstiger følgende beløp:</w:t>
      </w:r>
    </w:p>
    <w:p w14:paraId="54342A79" w14:textId="77777777" w:rsidR="000A2A2B" w:rsidRPr="007C3060" w:rsidRDefault="000A2A2B" w:rsidP="007C3060">
      <w:pPr>
        <w:pStyle w:val="Tabellnavn"/>
      </w:pPr>
      <w:r w:rsidRPr="007C3060">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4B729E" w:rsidRPr="007C3060" w14:paraId="1342B19B"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704E3C72" w14:textId="77777777" w:rsidR="000A2A2B" w:rsidRPr="007C3060" w:rsidRDefault="000A2A2B" w:rsidP="007C3060">
            <w:r w:rsidRPr="007C3060">
              <w:lastRenderedPageBreak/>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0471CF1D" w14:textId="77777777" w:rsidR="000A2A2B" w:rsidRPr="007C3060" w:rsidRDefault="000A2A2B" w:rsidP="007C3060">
            <w:r w:rsidRPr="007C306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233C04" w14:textId="77777777" w:rsidR="000A2A2B" w:rsidRPr="007C3060" w:rsidRDefault="000A2A2B" w:rsidP="007C3060">
            <w:r w:rsidRPr="007C3060">
              <w:t>Benevnelse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C22CEF" w14:textId="77777777" w:rsidR="000A2A2B" w:rsidRPr="007C3060" w:rsidRDefault="000A2A2B" w:rsidP="007C3060">
            <w:r w:rsidRPr="007C3060">
              <w:t>Samlet ramme</w:t>
            </w:r>
          </w:p>
        </w:tc>
      </w:tr>
      <w:tr w:rsidR="004B729E" w:rsidRPr="007C3060" w14:paraId="68ABE462"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00A446A1" w14:textId="77777777" w:rsidR="000A2A2B" w:rsidRPr="007C3060" w:rsidRDefault="000A2A2B" w:rsidP="007C3060">
            <w:r w:rsidRPr="007C3060">
              <w:t>1148</w:t>
            </w:r>
          </w:p>
        </w:tc>
        <w:tc>
          <w:tcPr>
            <w:tcW w:w="620" w:type="dxa"/>
            <w:tcBorders>
              <w:top w:val="single" w:sz="4" w:space="0" w:color="000000"/>
              <w:left w:val="nil"/>
              <w:bottom w:val="nil"/>
              <w:right w:val="nil"/>
            </w:tcBorders>
            <w:tcMar>
              <w:top w:w="128" w:type="dxa"/>
              <w:left w:w="43" w:type="dxa"/>
              <w:bottom w:w="43" w:type="dxa"/>
              <w:right w:w="43" w:type="dxa"/>
            </w:tcMar>
          </w:tcPr>
          <w:p w14:paraId="39362E42" w14:textId="77777777" w:rsidR="000A2A2B" w:rsidRPr="007C3060" w:rsidRDefault="000A2A2B" w:rsidP="007C3060"/>
        </w:tc>
        <w:tc>
          <w:tcPr>
            <w:tcW w:w="6060" w:type="dxa"/>
            <w:tcBorders>
              <w:top w:val="single" w:sz="4" w:space="0" w:color="000000"/>
              <w:left w:val="nil"/>
              <w:bottom w:val="nil"/>
              <w:right w:val="nil"/>
            </w:tcBorders>
            <w:tcMar>
              <w:top w:w="128" w:type="dxa"/>
              <w:left w:w="43" w:type="dxa"/>
              <w:bottom w:w="43" w:type="dxa"/>
              <w:right w:w="43" w:type="dxa"/>
            </w:tcMar>
            <w:vAlign w:val="bottom"/>
          </w:tcPr>
          <w:p w14:paraId="6E99746A" w14:textId="77777777" w:rsidR="000A2A2B" w:rsidRPr="007C3060" w:rsidRDefault="000A2A2B" w:rsidP="007C3060">
            <w:r w:rsidRPr="007C3060">
              <w:t>Naturskade – erstatninger</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1013F508" w14:textId="77777777" w:rsidR="000A2A2B" w:rsidRPr="007C3060" w:rsidRDefault="000A2A2B" w:rsidP="007C3060"/>
        </w:tc>
      </w:tr>
      <w:tr w:rsidR="004B729E" w:rsidRPr="007C3060" w14:paraId="590EAE8C"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25657173" w14:textId="77777777" w:rsidR="000A2A2B" w:rsidRPr="007C3060" w:rsidRDefault="000A2A2B" w:rsidP="007C3060"/>
        </w:tc>
        <w:tc>
          <w:tcPr>
            <w:tcW w:w="620" w:type="dxa"/>
            <w:tcBorders>
              <w:top w:val="nil"/>
              <w:left w:val="nil"/>
              <w:bottom w:val="single" w:sz="4" w:space="0" w:color="000000"/>
              <w:right w:val="nil"/>
            </w:tcBorders>
            <w:tcMar>
              <w:top w:w="128" w:type="dxa"/>
              <w:left w:w="43" w:type="dxa"/>
              <w:bottom w:w="43" w:type="dxa"/>
              <w:right w:w="43" w:type="dxa"/>
            </w:tcMar>
          </w:tcPr>
          <w:p w14:paraId="3FBE0731" w14:textId="77777777" w:rsidR="000A2A2B" w:rsidRPr="007C3060" w:rsidRDefault="000A2A2B" w:rsidP="007C3060">
            <w:r w:rsidRPr="007C3060">
              <w:t>71</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7826C867" w14:textId="77777777" w:rsidR="000A2A2B" w:rsidRPr="007C3060" w:rsidRDefault="000A2A2B" w:rsidP="007C3060">
            <w:r w:rsidRPr="007C3060">
              <w:t>Naturskade – erstatninger</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02E2FCF3" w14:textId="77777777" w:rsidR="000A2A2B" w:rsidRPr="007C3060" w:rsidRDefault="000A2A2B" w:rsidP="007C3060">
            <w:r w:rsidRPr="007C3060">
              <w:t>177,5 mill. kroner</w:t>
            </w:r>
          </w:p>
        </w:tc>
      </w:tr>
    </w:tbl>
    <w:p w14:paraId="1344E26B" w14:textId="77777777" w:rsidR="000A2A2B" w:rsidRPr="007C3060" w:rsidRDefault="000A2A2B" w:rsidP="007C3060">
      <w:pPr>
        <w:pStyle w:val="a-vedtak-del"/>
      </w:pPr>
      <w:r w:rsidRPr="007C3060">
        <w:t>XXIII</w:t>
      </w:r>
    </w:p>
    <w:p w14:paraId="54AED9A5" w14:textId="77777777" w:rsidR="000A2A2B" w:rsidRPr="007C3060" w:rsidRDefault="000A2A2B" w:rsidP="007C3060">
      <w:pPr>
        <w:pStyle w:val="a-vedtak-tekst"/>
      </w:pPr>
      <w:r w:rsidRPr="007C3060">
        <w:t>Fullmakt til å pådra staten forpliktelser utover budsjettåret for drift- og vedlikeholdsarbeider</w:t>
      </w:r>
    </w:p>
    <w:p w14:paraId="52E06050" w14:textId="77777777" w:rsidR="000A2A2B" w:rsidRPr="007C3060" w:rsidRDefault="000A2A2B" w:rsidP="007C3060">
      <w:r w:rsidRPr="007C3060">
        <w:t>Stortinget samtykker i at Samferdselsdepartementet i 2025 kan forplikte staten for fremtidige budsjettår utover gitt bevilgning, herunder foreta bestillinger og gi tilsagn, inntil følgende beløp:</w:t>
      </w:r>
    </w:p>
    <w:p w14:paraId="04DBC0F2" w14:textId="77777777" w:rsidR="000A2A2B" w:rsidRPr="007C3060" w:rsidRDefault="000A2A2B" w:rsidP="007C3060">
      <w:pPr>
        <w:pStyle w:val="Tabellnavn"/>
      </w:pPr>
      <w:r w:rsidRPr="007C3060">
        <w:t>05N1tx2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4020"/>
        <w:gridCol w:w="2140"/>
        <w:gridCol w:w="2140"/>
      </w:tblGrid>
      <w:tr w:rsidR="004B729E" w:rsidRPr="007C3060" w14:paraId="340F79C8" w14:textId="77777777">
        <w:trPr>
          <w:trHeight w:val="60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85BC42" w14:textId="77777777" w:rsidR="000A2A2B" w:rsidRPr="007C3060" w:rsidRDefault="000A2A2B" w:rsidP="007C3060">
            <w:r w:rsidRPr="007C306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942099" w14:textId="77777777" w:rsidR="000A2A2B" w:rsidRPr="007C3060" w:rsidRDefault="000A2A2B" w:rsidP="007C3060">
            <w:r w:rsidRPr="007C3060">
              <w:t xml:space="preserve">Post </w:t>
            </w:r>
          </w:p>
        </w:tc>
        <w:tc>
          <w:tcPr>
            <w:tcW w:w="4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B3415B" w14:textId="77777777" w:rsidR="000A2A2B" w:rsidRPr="007C3060" w:rsidRDefault="000A2A2B" w:rsidP="007C3060">
            <w:r w:rsidRPr="007C3060">
              <w:t>Betegnelse</w:t>
            </w:r>
          </w:p>
        </w:tc>
        <w:tc>
          <w:tcPr>
            <w:tcW w:w="2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DF2D9A" w14:textId="77777777" w:rsidR="000A2A2B" w:rsidRPr="007C3060" w:rsidRDefault="000A2A2B" w:rsidP="007C3060">
            <w:r w:rsidRPr="007C3060">
              <w:t>Samlet ramme for gamle og nye forpliktelser</w:t>
            </w:r>
          </w:p>
        </w:tc>
        <w:tc>
          <w:tcPr>
            <w:tcW w:w="2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E55C38" w14:textId="77777777" w:rsidR="000A2A2B" w:rsidRPr="007C3060" w:rsidRDefault="000A2A2B" w:rsidP="007C3060">
            <w:r w:rsidRPr="007C3060">
              <w:t>Ramme for forpliktelser som forfaller hvert år</w:t>
            </w:r>
          </w:p>
        </w:tc>
      </w:tr>
      <w:tr w:rsidR="004B729E" w:rsidRPr="007C3060" w14:paraId="36913957"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vAlign w:val="bottom"/>
          </w:tcPr>
          <w:p w14:paraId="50BFB24B" w14:textId="77777777" w:rsidR="000A2A2B" w:rsidRPr="007C3060" w:rsidRDefault="000A2A2B" w:rsidP="007C3060">
            <w:r w:rsidRPr="007C3060">
              <w:t>1320</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6527C069" w14:textId="77777777" w:rsidR="000A2A2B" w:rsidRPr="007C3060" w:rsidRDefault="000A2A2B" w:rsidP="007C3060"/>
        </w:tc>
        <w:tc>
          <w:tcPr>
            <w:tcW w:w="4020" w:type="dxa"/>
            <w:tcBorders>
              <w:top w:val="single" w:sz="4" w:space="0" w:color="000000"/>
              <w:left w:val="nil"/>
              <w:bottom w:val="nil"/>
              <w:right w:val="nil"/>
            </w:tcBorders>
            <w:tcMar>
              <w:top w:w="128" w:type="dxa"/>
              <w:left w:w="43" w:type="dxa"/>
              <w:bottom w:w="43" w:type="dxa"/>
              <w:right w:w="43" w:type="dxa"/>
            </w:tcMar>
            <w:vAlign w:val="bottom"/>
          </w:tcPr>
          <w:p w14:paraId="410D5BD4" w14:textId="77777777" w:rsidR="000A2A2B" w:rsidRPr="007C3060" w:rsidRDefault="000A2A2B" w:rsidP="007C3060">
            <w:r w:rsidRPr="007C3060">
              <w:t>Statens vegvesen</w:t>
            </w:r>
          </w:p>
        </w:tc>
        <w:tc>
          <w:tcPr>
            <w:tcW w:w="2140" w:type="dxa"/>
            <w:tcBorders>
              <w:top w:val="single" w:sz="4" w:space="0" w:color="000000"/>
              <w:left w:val="nil"/>
              <w:bottom w:val="nil"/>
              <w:right w:val="nil"/>
            </w:tcBorders>
            <w:tcMar>
              <w:top w:w="128" w:type="dxa"/>
              <w:left w:w="43" w:type="dxa"/>
              <w:bottom w:w="43" w:type="dxa"/>
              <w:right w:w="43" w:type="dxa"/>
            </w:tcMar>
            <w:vAlign w:val="bottom"/>
          </w:tcPr>
          <w:p w14:paraId="3888AC22" w14:textId="77777777" w:rsidR="000A2A2B" w:rsidRPr="007C3060" w:rsidRDefault="000A2A2B" w:rsidP="007C3060"/>
        </w:tc>
        <w:tc>
          <w:tcPr>
            <w:tcW w:w="2140" w:type="dxa"/>
            <w:tcBorders>
              <w:top w:val="single" w:sz="4" w:space="0" w:color="000000"/>
              <w:left w:val="nil"/>
              <w:bottom w:val="nil"/>
              <w:right w:val="nil"/>
            </w:tcBorders>
            <w:tcMar>
              <w:top w:w="128" w:type="dxa"/>
              <w:left w:w="43" w:type="dxa"/>
              <w:bottom w:w="43" w:type="dxa"/>
              <w:right w:w="43" w:type="dxa"/>
            </w:tcMar>
            <w:vAlign w:val="bottom"/>
          </w:tcPr>
          <w:p w14:paraId="6E405F34" w14:textId="77777777" w:rsidR="000A2A2B" w:rsidRPr="007C3060" w:rsidRDefault="000A2A2B" w:rsidP="007C3060"/>
        </w:tc>
      </w:tr>
      <w:tr w:rsidR="004B729E" w:rsidRPr="007C3060" w14:paraId="2BE06406"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vAlign w:val="bottom"/>
          </w:tcPr>
          <w:p w14:paraId="7C51845C" w14:textId="77777777" w:rsidR="000A2A2B" w:rsidRPr="007C3060" w:rsidRDefault="000A2A2B" w:rsidP="007C3060"/>
        </w:tc>
        <w:tc>
          <w:tcPr>
            <w:tcW w:w="620" w:type="dxa"/>
            <w:tcBorders>
              <w:top w:val="nil"/>
              <w:left w:val="nil"/>
              <w:bottom w:val="single" w:sz="4" w:space="0" w:color="000000"/>
              <w:right w:val="nil"/>
            </w:tcBorders>
            <w:tcMar>
              <w:top w:w="128" w:type="dxa"/>
              <w:left w:w="43" w:type="dxa"/>
              <w:bottom w:w="43" w:type="dxa"/>
              <w:right w:w="43" w:type="dxa"/>
            </w:tcMar>
            <w:vAlign w:val="bottom"/>
          </w:tcPr>
          <w:p w14:paraId="5E4FC1BE" w14:textId="77777777" w:rsidR="000A2A2B" w:rsidRPr="007C3060" w:rsidRDefault="000A2A2B" w:rsidP="007C3060">
            <w:r w:rsidRPr="007C3060">
              <w:t>22</w:t>
            </w:r>
          </w:p>
        </w:tc>
        <w:tc>
          <w:tcPr>
            <w:tcW w:w="4020" w:type="dxa"/>
            <w:tcBorders>
              <w:top w:val="nil"/>
              <w:left w:val="nil"/>
              <w:bottom w:val="single" w:sz="4" w:space="0" w:color="000000"/>
              <w:right w:val="nil"/>
            </w:tcBorders>
            <w:tcMar>
              <w:top w:w="128" w:type="dxa"/>
              <w:left w:w="43" w:type="dxa"/>
              <w:bottom w:w="43" w:type="dxa"/>
              <w:right w:w="43" w:type="dxa"/>
            </w:tcMar>
            <w:vAlign w:val="bottom"/>
          </w:tcPr>
          <w:p w14:paraId="34C88DD6" w14:textId="77777777" w:rsidR="000A2A2B" w:rsidRPr="007C3060" w:rsidRDefault="000A2A2B" w:rsidP="007C3060">
            <w:r w:rsidRPr="007C3060">
              <w:t>Drift og vedlikehold av riksveier</w:t>
            </w:r>
          </w:p>
        </w:tc>
        <w:tc>
          <w:tcPr>
            <w:tcW w:w="2140" w:type="dxa"/>
            <w:tcBorders>
              <w:top w:val="nil"/>
              <w:left w:val="nil"/>
              <w:bottom w:val="single" w:sz="4" w:space="0" w:color="000000"/>
              <w:right w:val="nil"/>
            </w:tcBorders>
            <w:tcMar>
              <w:top w:w="128" w:type="dxa"/>
              <w:left w:w="43" w:type="dxa"/>
              <w:bottom w:w="43" w:type="dxa"/>
              <w:right w:w="43" w:type="dxa"/>
            </w:tcMar>
            <w:vAlign w:val="bottom"/>
          </w:tcPr>
          <w:p w14:paraId="0CF60F3B" w14:textId="77777777" w:rsidR="000A2A2B" w:rsidRPr="007C3060" w:rsidRDefault="000A2A2B" w:rsidP="007C3060">
            <w:r w:rsidRPr="007C3060">
              <w:t>22 200 mill. kroner</w:t>
            </w:r>
          </w:p>
        </w:tc>
        <w:tc>
          <w:tcPr>
            <w:tcW w:w="2140" w:type="dxa"/>
            <w:tcBorders>
              <w:top w:val="nil"/>
              <w:left w:val="nil"/>
              <w:bottom w:val="single" w:sz="4" w:space="0" w:color="000000"/>
              <w:right w:val="nil"/>
            </w:tcBorders>
            <w:tcMar>
              <w:top w:w="128" w:type="dxa"/>
              <w:left w:w="43" w:type="dxa"/>
              <w:bottom w:w="43" w:type="dxa"/>
              <w:right w:w="43" w:type="dxa"/>
            </w:tcMar>
            <w:vAlign w:val="bottom"/>
          </w:tcPr>
          <w:p w14:paraId="56B2FEA8" w14:textId="77777777" w:rsidR="000A2A2B" w:rsidRPr="007C3060" w:rsidRDefault="000A2A2B" w:rsidP="007C3060">
            <w:r w:rsidRPr="007C3060">
              <w:t xml:space="preserve">7 770 mill. kroner </w:t>
            </w:r>
          </w:p>
        </w:tc>
      </w:tr>
    </w:tbl>
    <w:p w14:paraId="32105B2E" w14:textId="77777777" w:rsidR="000A2A2B" w:rsidRPr="007C3060" w:rsidRDefault="000A2A2B" w:rsidP="007C3060">
      <w:pPr>
        <w:pStyle w:val="a-vedtak-del"/>
      </w:pPr>
      <w:r w:rsidRPr="007C3060">
        <w:t>XXIV</w:t>
      </w:r>
    </w:p>
    <w:p w14:paraId="3886C29C" w14:textId="77777777" w:rsidR="000A2A2B" w:rsidRPr="007C3060" w:rsidRDefault="000A2A2B" w:rsidP="007C3060">
      <w:pPr>
        <w:pStyle w:val="a-vedtak-tekst"/>
      </w:pPr>
      <w:r w:rsidRPr="007C3060">
        <w:t>Fullmakt til å pådra staten forpliktelser utover budsjettåret for tilskudd til riksveiferjedriften</w:t>
      </w:r>
    </w:p>
    <w:p w14:paraId="24E4BEC7" w14:textId="77777777" w:rsidR="000A2A2B" w:rsidRPr="007C3060" w:rsidRDefault="000A2A2B" w:rsidP="007C3060">
      <w:r w:rsidRPr="007C3060">
        <w:t>Stortinget samtykker i at Samferdselsdepartementet i 2025 kan forplikte staten for fremtidige budsjettår utover gitt bevilgning og gi tilsagn om tilskudd inntil følgende beløp:</w:t>
      </w:r>
    </w:p>
    <w:p w14:paraId="7677A58B" w14:textId="77777777" w:rsidR="000A2A2B" w:rsidRPr="007C3060" w:rsidRDefault="000A2A2B" w:rsidP="007C3060">
      <w:pPr>
        <w:pStyle w:val="Tabellnavn"/>
      </w:pPr>
      <w:r w:rsidRPr="007C3060">
        <w:t>05N1tx2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4020"/>
        <w:gridCol w:w="2140"/>
        <w:gridCol w:w="2140"/>
      </w:tblGrid>
      <w:tr w:rsidR="004B729E" w:rsidRPr="007C3060" w14:paraId="46197623" w14:textId="77777777">
        <w:trPr>
          <w:trHeight w:val="60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16A9C0" w14:textId="77777777" w:rsidR="000A2A2B" w:rsidRPr="007C3060" w:rsidRDefault="000A2A2B" w:rsidP="007C3060">
            <w:r w:rsidRPr="007C306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7B0616" w14:textId="77777777" w:rsidR="000A2A2B" w:rsidRPr="007C3060" w:rsidRDefault="000A2A2B" w:rsidP="007C3060">
            <w:r w:rsidRPr="007C3060">
              <w:t xml:space="preserve">Post </w:t>
            </w:r>
          </w:p>
        </w:tc>
        <w:tc>
          <w:tcPr>
            <w:tcW w:w="4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A563F0" w14:textId="77777777" w:rsidR="000A2A2B" w:rsidRPr="007C3060" w:rsidRDefault="000A2A2B" w:rsidP="007C3060">
            <w:r w:rsidRPr="007C3060">
              <w:t>Betegnelse</w:t>
            </w:r>
          </w:p>
        </w:tc>
        <w:tc>
          <w:tcPr>
            <w:tcW w:w="2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F7E866" w14:textId="77777777" w:rsidR="000A2A2B" w:rsidRPr="007C3060" w:rsidRDefault="000A2A2B" w:rsidP="007C3060">
            <w:r w:rsidRPr="007C3060">
              <w:t>Samlet ramme for gamle og nye forpliktelser</w:t>
            </w:r>
          </w:p>
        </w:tc>
        <w:tc>
          <w:tcPr>
            <w:tcW w:w="2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9B4E59" w14:textId="77777777" w:rsidR="000A2A2B" w:rsidRPr="007C3060" w:rsidRDefault="000A2A2B" w:rsidP="007C3060">
            <w:r w:rsidRPr="007C3060">
              <w:t>Ramme for forpliktelser som forfaller hvert år</w:t>
            </w:r>
          </w:p>
        </w:tc>
      </w:tr>
      <w:tr w:rsidR="004B729E" w:rsidRPr="007C3060" w14:paraId="7F651544"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vAlign w:val="bottom"/>
          </w:tcPr>
          <w:p w14:paraId="59D5F355" w14:textId="77777777" w:rsidR="000A2A2B" w:rsidRPr="007C3060" w:rsidRDefault="000A2A2B" w:rsidP="007C3060">
            <w:r w:rsidRPr="007C3060">
              <w:t>1320</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7FE4DCD1" w14:textId="77777777" w:rsidR="000A2A2B" w:rsidRPr="007C3060" w:rsidRDefault="000A2A2B" w:rsidP="007C3060"/>
        </w:tc>
        <w:tc>
          <w:tcPr>
            <w:tcW w:w="4020" w:type="dxa"/>
            <w:tcBorders>
              <w:top w:val="single" w:sz="4" w:space="0" w:color="000000"/>
              <w:left w:val="nil"/>
              <w:bottom w:val="nil"/>
              <w:right w:val="nil"/>
            </w:tcBorders>
            <w:tcMar>
              <w:top w:w="128" w:type="dxa"/>
              <w:left w:w="43" w:type="dxa"/>
              <w:bottom w:w="43" w:type="dxa"/>
              <w:right w:w="43" w:type="dxa"/>
            </w:tcMar>
            <w:vAlign w:val="bottom"/>
          </w:tcPr>
          <w:p w14:paraId="09F82F12" w14:textId="77777777" w:rsidR="000A2A2B" w:rsidRPr="007C3060" w:rsidRDefault="000A2A2B" w:rsidP="007C3060">
            <w:r w:rsidRPr="007C3060">
              <w:t>Statens vegvesen</w:t>
            </w:r>
          </w:p>
        </w:tc>
        <w:tc>
          <w:tcPr>
            <w:tcW w:w="2140" w:type="dxa"/>
            <w:tcBorders>
              <w:top w:val="single" w:sz="4" w:space="0" w:color="000000"/>
              <w:left w:val="nil"/>
              <w:bottom w:val="nil"/>
              <w:right w:val="nil"/>
            </w:tcBorders>
            <w:tcMar>
              <w:top w:w="128" w:type="dxa"/>
              <w:left w:w="43" w:type="dxa"/>
              <w:bottom w:w="43" w:type="dxa"/>
              <w:right w:w="43" w:type="dxa"/>
            </w:tcMar>
            <w:vAlign w:val="bottom"/>
          </w:tcPr>
          <w:p w14:paraId="113283CF" w14:textId="77777777" w:rsidR="000A2A2B" w:rsidRPr="007C3060" w:rsidRDefault="000A2A2B" w:rsidP="007C3060"/>
        </w:tc>
        <w:tc>
          <w:tcPr>
            <w:tcW w:w="2140" w:type="dxa"/>
            <w:tcBorders>
              <w:top w:val="single" w:sz="4" w:space="0" w:color="000000"/>
              <w:left w:val="nil"/>
              <w:bottom w:val="nil"/>
              <w:right w:val="nil"/>
            </w:tcBorders>
            <w:tcMar>
              <w:top w:w="128" w:type="dxa"/>
              <w:left w:w="43" w:type="dxa"/>
              <w:bottom w:w="43" w:type="dxa"/>
              <w:right w:w="43" w:type="dxa"/>
            </w:tcMar>
            <w:vAlign w:val="bottom"/>
          </w:tcPr>
          <w:p w14:paraId="59F74D80" w14:textId="77777777" w:rsidR="000A2A2B" w:rsidRPr="007C3060" w:rsidRDefault="000A2A2B" w:rsidP="007C3060"/>
        </w:tc>
      </w:tr>
      <w:tr w:rsidR="004B729E" w:rsidRPr="007C3060" w14:paraId="178982D4"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vAlign w:val="bottom"/>
          </w:tcPr>
          <w:p w14:paraId="63EDD5E0" w14:textId="77777777" w:rsidR="000A2A2B" w:rsidRPr="007C3060" w:rsidRDefault="000A2A2B" w:rsidP="007C3060"/>
        </w:tc>
        <w:tc>
          <w:tcPr>
            <w:tcW w:w="620" w:type="dxa"/>
            <w:tcBorders>
              <w:top w:val="nil"/>
              <w:left w:val="nil"/>
              <w:bottom w:val="single" w:sz="4" w:space="0" w:color="000000"/>
              <w:right w:val="nil"/>
            </w:tcBorders>
            <w:tcMar>
              <w:top w:w="128" w:type="dxa"/>
              <w:left w:w="43" w:type="dxa"/>
              <w:bottom w:w="43" w:type="dxa"/>
              <w:right w:w="43" w:type="dxa"/>
            </w:tcMar>
            <w:vAlign w:val="bottom"/>
          </w:tcPr>
          <w:p w14:paraId="3632DC1A" w14:textId="77777777" w:rsidR="000A2A2B" w:rsidRPr="007C3060" w:rsidRDefault="000A2A2B" w:rsidP="007C3060">
            <w:r w:rsidRPr="007C3060">
              <w:t>72</w:t>
            </w:r>
          </w:p>
        </w:tc>
        <w:tc>
          <w:tcPr>
            <w:tcW w:w="4020" w:type="dxa"/>
            <w:tcBorders>
              <w:top w:val="nil"/>
              <w:left w:val="nil"/>
              <w:bottom w:val="single" w:sz="4" w:space="0" w:color="000000"/>
              <w:right w:val="nil"/>
            </w:tcBorders>
            <w:tcMar>
              <w:top w:w="128" w:type="dxa"/>
              <w:left w:w="43" w:type="dxa"/>
              <w:bottom w:w="43" w:type="dxa"/>
              <w:right w:w="43" w:type="dxa"/>
            </w:tcMar>
            <w:vAlign w:val="bottom"/>
          </w:tcPr>
          <w:p w14:paraId="5832903C" w14:textId="77777777" w:rsidR="000A2A2B" w:rsidRPr="007C3060" w:rsidRDefault="000A2A2B" w:rsidP="007C3060">
            <w:r w:rsidRPr="007C3060">
              <w:t>Tilskudd til riksveiferjedriften</w:t>
            </w:r>
          </w:p>
        </w:tc>
        <w:tc>
          <w:tcPr>
            <w:tcW w:w="2140" w:type="dxa"/>
            <w:tcBorders>
              <w:top w:val="nil"/>
              <w:left w:val="nil"/>
              <w:bottom w:val="single" w:sz="4" w:space="0" w:color="000000"/>
              <w:right w:val="nil"/>
            </w:tcBorders>
            <w:tcMar>
              <w:top w:w="128" w:type="dxa"/>
              <w:left w:w="43" w:type="dxa"/>
              <w:bottom w:w="43" w:type="dxa"/>
              <w:right w:w="43" w:type="dxa"/>
            </w:tcMar>
            <w:vAlign w:val="bottom"/>
          </w:tcPr>
          <w:p w14:paraId="26D42FE1" w14:textId="77777777" w:rsidR="000A2A2B" w:rsidRPr="007C3060" w:rsidRDefault="000A2A2B" w:rsidP="007C3060">
            <w:r w:rsidRPr="007C3060">
              <w:t>34 750 mill. kroner</w:t>
            </w:r>
          </w:p>
        </w:tc>
        <w:tc>
          <w:tcPr>
            <w:tcW w:w="2140" w:type="dxa"/>
            <w:tcBorders>
              <w:top w:val="nil"/>
              <w:left w:val="nil"/>
              <w:bottom w:val="single" w:sz="4" w:space="0" w:color="000000"/>
              <w:right w:val="nil"/>
            </w:tcBorders>
            <w:tcMar>
              <w:top w:w="128" w:type="dxa"/>
              <w:left w:w="43" w:type="dxa"/>
              <w:bottom w:w="43" w:type="dxa"/>
              <w:right w:w="43" w:type="dxa"/>
            </w:tcMar>
            <w:vAlign w:val="bottom"/>
          </w:tcPr>
          <w:p w14:paraId="353D9BA9" w14:textId="77777777" w:rsidR="000A2A2B" w:rsidRPr="007C3060" w:rsidRDefault="000A2A2B" w:rsidP="007C3060">
            <w:r w:rsidRPr="007C3060">
              <w:t xml:space="preserve">4 000 mill. kroner </w:t>
            </w:r>
          </w:p>
        </w:tc>
      </w:tr>
    </w:tbl>
    <w:p w14:paraId="1677CA5D" w14:textId="77777777" w:rsidR="000A2A2B" w:rsidRPr="007C3060" w:rsidRDefault="000A2A2B" w:rsidP="007C3060">
      <w:pPr>
        <w:pStyle w:val="a-vedtak-del"/>
      </w:pPr>
      <w:r w:rsidRPr="007C3060">
        <w:t>XXV</w:t>
      </w:r>
    </w:p>
    <w:p w14:paraId="0C9B1A9E" w14:textId="77777777" w:rsidR="000A2A2B" w:rsidRPr="007C3060" w:rsidRDefault="000A2A2B" w:rsidP="007C3060">
      <w:pPr>
        <w:pStyle w:val="a-vedtak-tekst"/>
      </w:pPr>
      <w:r w:rsidRPr="007C3060">
        <w:t>Tilsagnsfullmakt</w:t>
      </w:r>
    </w:p>
    <w:p w14:paraId="3558E828" w14:textId="77777777" w:rsidR="000A2A2B" w:rsidRPr="007C3060" w:rsidRDefault="000A2A2B" w:rsidP="007C3060">
      <w:r w:rsidRPr="007C3060">
        <w:t>Stortinget samtykker i at Samferdselsdepartementet i 2025 kan forplikte staten for fremtidige budsjettår utover gitte bevilgninger og gi tilsagn om lån knyttet til mindre investeringstiltak inntil følgende beløp:</w:t>
      </w:r>
    </w:p>
    <w:p w14:paraId="2ECF0852" w14:textId="77777777" w:rsidR="000A2A2B" w:rsidRPr="007C3060" w:rsidRDefault="000A2A2B" w:rsidP="007C3060">
      <w:pPr>
        <w:pStyle w:val="Tabellnavn"/>
      </w:pPr>
      <w:r w:rsidRPr="007C3060">
        <w:lastRenderedPageBreak/>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1100"/>
        <w:gridCol w:w="5360"/>
        <w:gridCol w:w="2460"/>
      </w:tblGrid>
      <w:tr w:rsidR="004B729E" w:rsidRPr="007C3060" w14:paraId="263ACBFD" w14:textId="77777777">
        <w:trPr>
          <w:trHeight w:val="60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7EF7B2" w14:textId="77777777" w:rsidR="000A2A2B" w:rsidRPr="007C3060" w:rsidRDefault="000A2A2B" w:rsidP="007C3060">
            <w:r w:rsidRPr="007C3060">
              <w:t>Kap.</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F15390" w14:textId="77777777" w:rsidR="000A2A2B" w:rsidRPr="007C3060" w:rsidRDefault="000A2A2B" w:rsidP="007C3060">
            <w:r w:rsidRPr="007C3060">
              <w:t xml:space="preserve">Post </w:t>
            </w:r>
          </w:p>
        </w:tc>
        <w:tc>
          <w:tcPr>
            <w:tcW w:w="5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1F845F" w14:textId="77777777" w:rsidR="000A2A2B" w:rsidRPr="007C3060" w:rsidRDefault="000A2A2B" w:rsidP="007C3060">
            <w:r w:rsidRPr="007C3060">
              <w:t>Betegnelse</w:t>
            </w:r>
          </w:p>
        </w:tc>
        <w:tc>
          <w:tcPr>
            <w:tcW w:w="2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25E7D0" w14:textId="77777777" w:rsidR="000A2A2B" w:rsidRPr="007C3060" w:rsidRDefault="000A2A2B" w:rsidP="007C3060">
            <w:r w:rsidRPr="007C3060">
              <w:t>Samlet ramme for gamle og nye forpliktelser</w:t>
            </w:r>
          </w:p>
        </w:tc>
      </w:tr>
      <w:tr w:rsidR="004B729E" w:rsidRPr="007C3060" w14:paraId="16BC6FE7"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vAlign w:val="bottom"/>
          </w:tcPr>
          <w:p w14:paraId="38B06FF2" w14:textId="77777777" w:rsidR="000A2A2B" w:rsidRPr="007C3060" w:rsidRDefault="000A2A2B" w:rsidP="007C3060">
            <w:r w:rsidRPr="007C3060">
              <w:t>1358</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3C35D62" w14:textId="77777777" w:rsidR="000A2A2B" w:rsidRPr="007C3060" w:rsidRDefault="000A2A2B" w:rsidP="007C3060"/>
        </w:tc>
        <w:tc>
          <w:tcPr>
            <w:tcW w:w="5360" w:type="dxa"/>
            <w:tcBorders>
              <w:top w:val="single" w:sz="4" w:space="0" w:color="000000"/>
              <w:left w:val="nil"/>
              <w:bottom w:val="nil"/>
              <w:right w:val="nil"/>
            </w:tcBorders>
            <w:tcMar>
              <w:top w:w="128" w:type="dxa"/>
              <w:left w:w="43" w:type="dxa"/>
              <w:bottom w:w="43" w:type="dxa"/>
              <w:right w:w="43" w:type="dxa"/>
            </w:tcMar>
            <w:vAlign w:val="bottom"/>
          </w:tcPr>
          <w:p w14:paraId="58E25F41" w14:textId="77777777" w:rsidR="000A2A2B" w:rsidRPr="007C3060" w:rsidRDefault="000A2A2B" w:rsidP="007C3060">
            <w:r w:rsidRPr="007C3060">
              <w:t>Norske tog AS</w:t>
            </w:r>
          </w:p>
        </w:tc>
        <w:tc>
          <w:tcPr>
            <w:tcW w:w="2460" w:type="dxa"/>
            <w:tcBorders>
              <w:top w:val="single" w:sz="4" w:space="0" w:color="000000"/>
              <w:left w:val="nil"/>
              <w:bottom w:val="nil"/>
              <w:right w:val="nil"/>
            </w:tcBorders>
            <w:tcMar>
              <w:top w:w="128" w:type="dxa"/>
              <w:left w:w="43" w:type="dxa"/>
              <w:bottom w:w="43" w:type="dxa"/>
              <w:right w:w="43" w:type="dxa"/>
            </w:tcMar>
            <w:vAlign w:val="bottom"/>
          </w:tcPr>
          <w:p w14:paraId="7F6D149B" w14:textId="77777777" w:rsidR="000A2A2B" w:rsidRPr="007C3060" w:rsidRDefault="000A2A2B" w:rsidP="007C3060"/>
        </w:tc>
      </w:tr>
      <w:tr w:rsidR="004B729E" w:rsidRPr="007C3060" w14:paraId="70EA5186"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vAlign w:val="bottom"/>
          </w:tcPr>
          <w:p w14:paraId="561DB27B" w14:textId="77777777" w:rsidR="000A2A2B" w:rsidRPr="007C3060" w:rsidRDefault="000A2A2B" w:rsidP="007C3060"/>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C54F00D" w14:textId="77777777" w:rsidR="000A2A2B" w:rsidRPr="007C3060" w:rsidRDefault="000A2A2B" w:rsidP="007C3060">
            <w:r w:rsidRPr="007C3060">
              <w:t>70 og 90</w:t>
            </w:r>
          </w:p>
        </w:tc>
        <w:tc>
          <w:tcPr>
            <w:tcW w:w="5360" w:type="dxa"/>
            <w:tcBorders>
              <w:top w:val="nil"/>
              <w:left w:val="nil"/>
              <w:bottom w:val="single" w:sz="4" w:space="0" w:color="000000"/>
              <w:right w:val="nil"/>
            </w:tcBorders>
            <w:tcMar>
              <w:top w:w="128" w:type="dxa"/>
              <w:left w:w="43" w:type="dxa"/>
              <w:bottom w:w="43" w:type="dxa"/>
              <w:right w:w="43" w:type="dxa"/>
            </w:tcMar>
            <w:vAlign w:val="bottom"/>
          </w:tcPr>
          <w:p w14:paraId="7189F49E" w14:textId="77777777" w:rsidR="000A2A2B" w:rsidRPr="007C3060" w:rsidRDefault="000A2A2B" w:rsidP="007C3060">
            <w:r w:rsidRPr="007C3060">
              <w:t>Lån</w:t>
            </w:r>
          </w:p>
        </w:tc>
        <w:tc>
          <w:tcPr>
            <w:tcW w:w="2460" w:type="dxa"/>
            <w:tcBorders>
              <w:top w:val="nil"/>
              <w:left w:val="nil"/>
              <w:bottom w:val="single" w:sz="4" w:space="0" w:color="000000"/>
              <w:right w:val="nil"/>
            </w:tcBorders>
            <w:tcMar>
              <w:top w:w="128" w:type="dxa"/>
              <w:left w:w="43" w:type="dxa"/>
              <w:bottom w:w="43" w:type="dxa"/>
              <w:right w:w="43" w:type="dxa"/>
            </w:tcMar>
            <w:vAlign w:val="bottom"/>
          </w:tcPr>
          <w:p w14:paraId="547A3FB1" w14:textId="77777777" w:rsidR="000A2A2B" w:rsidRPr="007C3060" w:rsidRDefault="000A2A2B" w:rsidP="007C3060">
            <w:r w:rsidRPr="007C3060">
              <w:t>601 mill. kroner</w:t>
            </w:r>
          </w:p>
        </w:tc>
      </w:tr>
    </w:tbl>
    <w:p w14:paraId="7200434B" w14:textId="77777777" w:rsidR="000A2A2B" w:rsidRPr="007C3060" w:rsidRDefault="000A2A2B" w:rsidP="007C3060">
      <w:pPr>
        <w:pStyle w:val="a-vedtak-del"/>
      </w:pPr>
      <w:r w:rsidRPr="007C3060">
        <w:t>XXVI</w:t>
      </w:r>
    </w:p>
    <w:p w14:paraId="0F2291FB" w14:textId="77777777" w:rsidR="000A2A2B" w:rsidRPr="007C3060" w:rsidRDefault="000A2A2B" w:rsidP="007C3060">
      <w:pPr>
        <w:pStyle w:val="a-vedtak-tekst"/>
      </w:pPr>
      <w:r w:rsidRPr="007C3060">
        <w:t>Tilsagnsfullmakter</w:t>
      </w:r>
    </w:p>
    <w:p w14:paraId="3C46F5DE" w14:textId="77777777" w:rsidR="000A2A2B" w:rsidRPr="007C3060" w:rsidRDefault="000A2A2B" w:rsidP="007C3060">
      <w:r w:rsidRPr="007C3060">
        <w:t>Stortinget samtykker i at Klima- og miljødepartementet i 2025 kan gi tilsagn om tilskudd utover gitte bevilgninger, men slik at samlet ramme for nye tilsagn og gammelt ansvar ikke overstiger følgende beløp:</w:t>
      </w:r>
    </w:p>
    <w:p w14:paraId="09531B85" w14:textId="77777777" w:rsidR="000A2A2B" w:rsidRPr="007C3060" w:rsidRDefault="000A2A2B" w:rsidP="007C3060">
      <w:pPr>
        <w:pStyle w:val="Tabellnavn"/>
      </w:pPr>
      <w:r w:rsidRPr="007C3060">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4B729E" w:rsidRPr="007C3060" w14:paraId="313A0DB0"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5376EF" w14:textId="77777777" w:rsidR="000A2A2B" w:rsidRPr="007C3060" w:rsidRDefault="000A2A2B" w:rsidP="007C3060">
            <w:r w:rsidRPr="007C306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06A2D1" w14:textId="77777777" w:rsidR="000A2A2B" w:rsidRPr="007C3060" w:rsidRDefault="000A2A2B" w:rsidP="007C3060">
            <w:r w:rsidRPr="007C306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A0E64C" w14:textId="77777777" w:rsidR="000A2A2B" w:rsidRPr="007C3060" w:rsidRDefault="000A2A2B" w:rsidP="007C3060">
            <w:r w:rsidRPr="007C306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AFB831" w14:textId="77777777" w:rsidR="000A2A2B" w:rsidRPr="007C3060" w:rsidRDefault="000A2A2B" w:rsidP="007C3060">
            <w:r w:rsidRPr="007C3060">
              <w:t>Samlet ramme</w:t>
            </w:r>
          </w:p>
        </w:tc>
      </w:tr>
      <w:tr w:rsidR="004B729E" w:rsidRPr="007C3060" w14:paraId="063B2E9A"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vAlign w:val="bottom"/>
          </w:tcPr>
          <w:p w14:paraId="1B2BE345" w14:textId="77777777" w:rsidR="000A2A2B" w:rsidRPr="007C3060" w:rsidRDefault="000A2A2B" w:rsidP="007C3060">
            <w:r w:rsidRPr="007C3060">
              <w:t>1420</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7DBA88BB" w14:textId="77777777" w:rsidR="000A2A2B" w:rsidRPr="007C3060" w:rsidRDefault="000A2A2B" w:rsidP="007C3060"/>
        </w:tc>
        <w:tc>
          <w:tcPr>
            <w:tcW w:w="6060" w:type="dxa"/>
            <w:tcBorders>
              <w:top w:val="single" w:sz="4" w:space="0" w:color="000000"/>
              <w:left w:val="nil"/>
              <w:bottom w:val="nil"/>
              <w:right w:val="nil"/>
            </w:tcBorders>
            <w:tcMar>
              <w:top w:w="128" w:type="dxa"/>
              <w:left w:w="43" w:type="dxa"/>
              <w:bottom w:w="43" w:type="dxa"/>
              <w:right w:w="43" w:type="dxa"/>
            </w:tcMar>
            <w:vAlign w:val="bottom"/>
          </w:tcPr>
          <w:p w14:paraId="781C76C0" w14:textId="77777777" w:rsidR="000A2A2B" w:rsidRPr="007C3060" w:rsidRDefault="000A2A2B" w:rsidP="007C3060">
            <w:r w:rsidRPr="007C3060">
              <w:t xml:space="preserve">Miljødirektoratet </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770497A9" w14:textId="77777777" w:rsidR="000A2A2B" w:rsidRPr="007C3060" w:rsidRDefault="000A2A2B" w:rsidP="007C3060"/>
        </w:tc>
      </w:tr>
      <w:tr w:rsidR="004B729E" w:rsidRPr="007C3060" w14:paraId="23FD4C05" w14:textId="77777777">
        <w:trPr>
          <w:trHeight w:val="640"/>
        </w:trPr>
        <w:tc>
          <w:tcPr>
            <w:tcW w:w="620" w:type="dxa"/>
            <w:tcBorders>
              <w:top w:val="nil"/>
              <w:left w:val="nil"/>
              <w:bottom w:val="nil"/>
              <w:right w:val="nil"/>
            </w:tcBorders>
            <w:tcMar>
              <w:top w:w="128" w:type="dxa"/>
              <w:left w:w="43" w:type="dxa"/>
              <w:bottom w:w="43" w:type="dxa"/>
              <w:right w:w="43" w:type="dxa"/>
            </w:tcMar>
            <w:vAlign w:val="bottom"/>
          </w:tcPr>
          <w:p w14:paraId="27777555" w14:textId="77777777" w:rsidR="000A2A2B" w:rsidRPr="007C3060" w:rsidRDefault="000A2A2B" w:rsidP="007C3060"/>
        </w:tc>
        <w:tc>
          <w:tcPr>
            <w:tcW w:w="620" w:type="dxa"/>
            <w:tcBorders>
              <w:top w:val="nil"/>
              <w:left w:val="nil"/>
              <w:bottom w:val="nil"/>
              <w:right w:val="nil"/>
            </w:tcBorders>
            <w:tcMar>
              <w:top w:w="128" w:type="dxa"/>
              <w:left w:w="43" w:type="dxa"/>
              <w:bottom w:w="43" w:type="dxa"/>
              <w:right w:w="43" w:type="dxa"/>
            </w:tcMar>
          </w:tcPr>
          <w:p w14:paraId="2CDCF7E0" w14:textId="77777777" w:rsidR="000A2A2B" w:rsidRPr="007C3060" w:rsidRDefault="000A2A2B" w:rsidP="007C3060">
            <w:r w:rsidRPr="007C3060">
              <w:t>60</w:t>
            </w:r>
          </w:p>
        </w:tc>
        <w:tc>
          <w:tcPr>
            <w:tcW w:w="6060" w:type="dxa"/>
            <w:tcBorders>
              <w:top w:val="nil"/>
              <w:left w:val="nil"/>
              <w:bottom w:val="nil"/>
              <w:right w:val="nil"/>
            </w:tcBorders>
            <w:tcMar>
              <w:top w:w="128" w:type="dxa"/>
              <w:left w:w="43" w:type="dxa"/>
              <w:bottom w:w="43" w:type="dxa"/>
              <w:right w:w="43" w:type="dxa"/>
            </w:tcMar>
            <w:vAlign w:val="bottom"/>
          </w:tcPr>
          <w:p w14:paraId="341E167B" w14:textId="77777777" w:rsidR="000A2A2B" w:rsidRPr="007C3060" w:rsidRDefault="000A2A2B" w:rsidP="007C3060">
            <w:r w:rsidRPr="007C3060">
              <w:t>Tilskudd til natursats – tiltak og planlegging for natur i -kommunene</w:t>
            </w:r>
          </w:p>
        </w:tc>
        <w:tc>
          <w:tcPr>
            <w:tcW w:w="2260" w:type="dxa"/>
            <w:tcBorders>
              <w:top w:val="nil"/>
              <w:left w:val="nil"/>
              <w:bottom w:val="nil"/>
              <w:right w:val="nil"/>
            </w:tcBorders>
            <w:tcMar>
              <w:top w:w="128" w:type="dxa"/>
              <w:left w:w="43" w:type="dxa"/>
              <w:bottom w:w="43" w:type="dxa"/>
              <w:right w:w="43" w:type="dxa"/>
            </w:tcMar>
            <w:vAlign w:val="bottom"/>
          </w:tcPr>
          <w:p w14:paraId="015138D1" w14:textId="77777777" w:rsidR="000A2A2B" w:rsidRPr="007C3060" w:rsidRDefault="000A2A2B" w:rsidP="007C3060">
            <w:r w:rsidRPr="007C3060">
              <w:t>30 mill. kroner</w:t>
            </w:r>
          </w:p>
        </w:tc>
      </w:tr>
      <w:tr w:rsidR="004B729E" w:rsidRPr="007C3060" w14:paraId="373DBB23"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vAlign w:val="bottom"/>
          </w:tcPr>
          <w:p w14:paraId="475A2818" w14:textId="77777777" w:rsidR="000A2A2B" w:rsidRPr="007C3060" w:rsidRDefault="000A2A2B" w:rsidP="007C3060"/>
        </w:tc>
        <w:tc>
          <w:tcPr>
            <w:tcW w:w="620" w:type="dxa"/>
            <w:tcBorders>
              <w:top w:val="nil"/>
              <w:left w:val="nil"/>
              <w:bottom w:val="single" w:sz="4" w:space="0" w:color="000000"/>
              <w:right w:val="nil"/>
            </w:tcBorders>
            <w:tcMar>
              <w:top w:w="128" w:type="dxa"/>
              <w:left w:w="43" w:type="dxa"/>
              <w:bottom w:w="43" w:type="dxa"/>
              <w:right w:w="43" w:type="dxa"/>
            </w:tcMar>
          </w:tcPr>
          <w:p w14:paraId="68C1029C" w14:textId="77777777" w:rsidR="000A2A2B" w:rsidRPr="007C3060" w:rsidRDefault="000A2A2B" w:rsidP="007C3060">
            <w:r w:rsidRPr="007C3060">
              <w:t>61</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4F8E13C1" w14:textId="77777777" w:rsidR="000A2A2B" w:rsidRPr="007C3060" w:rsidRDefault="000A2A2B" w:rsidP="007C3060">
            <w:r w:rsidRPr="007C3060">
              <w:t>Tilskudd til klimatiltak og klimatilpasning</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1898C156" w14:textId="77777777" w:rsidR="000A2A2B" w:rsidRPr="007C3060" w:rsidRDefault="000A2A2B" w:rsidP="007C3060">
            <w:r w:rsidRPr="007C3060">
              <w:t>537,2 mill. kroner</w:t>
            </w:r>
          </w:p>
        </w:tc>
      </w:tr>
    </w:tbl>
    <w:p w14:paraId="16787385" w14:textId="77777777" w:rsidR="000A2A2B" w:rsidRPr="007C3060" w:rsidRDefault="000A2A2B" w:rsidP="007C3060">
      <w:pPr>
        <w:pStyle w:val="a-vedtak-del"/>
      </w:pPr>
      <w:r w:rsidRPr="007C3060">
        <w:t>XXVII</w:t>
      </w:r>
    </w:p>
    <w:p w14:paraId="25F48245" w14:textId="77777777" w:rsidR="000A2A2B" w:rsidRPr="007C3060" w:rsidRDefault="000A2A2B" w:rsidP="007C3060">
      <w:pPr>
        <w:pStyle w:val="a-vedtak-tekst"/>
      </w:pPr>
      <w:r w:rsidRPr="007C3060">
        <w:t>Fullmakt til å inngå forpliktelser – oppryddingstiltak</w:t>
      </w:r>
    </w:p>
    <w:p w14:paraId="30365973" w14:textId="77777777" w:rsidR="000A2A2B" w:rsidRPr="007C3060" w:rsidRDefault="000A2A2B" w:rsidP="007C3060">
      <w:r w:rsidRPr="007C3060">
        <w:t>Stortinget samtykker i at Klima- og miljødepartementet i 2025 kan pådra staten forpliktelser for -fremtidige år til å kjøpe inn materiell og til å gi tilsagn om tilskudd utover gitte bevilgninger under kap. 1420 Miljødirektoratet, postene 39, 69 og 79 Oppryddingstiltak, men slik at samlet ramme for nye forpliktelser og gammelt ansvar ikke overstiger 9 mill. kroner.</w:t>
      </w:r>
    </w:p>
    <w:p w14:paraId="30125616" w14:textId="77777777" w:rsidR="000A2A2B" w:rsidRPr="007C3060" w:rsidRDefault="000A2A2B" w:rsidP="007C3060">
      <w:pPr>
        <w:pStyle w:val="a-vedtak-del"/>
      </w:pPr>
      <w:r w:rsidRPr="007C3060">
        <w:t>XXVIII</w:t>
      </w:r>
    </w:p>
    <w:p w14:paraId="4A7D6481" w14:textId="77777777" w:rsidR="000A2A2B" w:rsidRPr="007C3060" w:rsidRDefault="000A2A2B" w:rsidP="007C3060">
      <w:pPr>
        <w:pStyle w:val="a-vedtak-tekst"/>
      </w:pPr>
      <w:r w:rsidRPr="007C3060">
        <w:t>Fullmakt til å pådra staten forpliktelser i investeringsprosjekter</w:t>
      </w:r>
    </w:p>
    <w:p w14:paraId="478592E3" w14:textId="77777777" w:rsidR="000A2A2B" w:rsidRPr="007C3060" w:rsidRDefault="000A2A2B" w:rsidP="007C3060">
      <w:r w:rsidRPr="007C3060">
        <w:t>Stortinget samtykker i at Digitaliserings- og forvaltningsdepartementet i 2025 kan styre og følge opp -Program felles IKT-tjenester i departementsfellesskapet, endringstrinn 1, 2 og 3, ved å bestille og forplikte staten ut over budsjettåret innenfor tidligere vedtatt kostnadsramme på 2 242 mill. kroner. Fullmakten gjelder også forpliktelser som inngås i senere budsjettår. Samlede utbetalinger og gjenstående forpliktelser skal til enhver tid holdes innenfor kostnadsrammen for prosjektet. Kostnadsrammen er i prisnivå per 1. juli 2025. Digitaliserings- og forvaltningsdepartementet gis fullmakt til å prisjustere kostnadsrammen i senere år.</w:t>
      </w:r>
    </w:p>
    <w:p w14:paraId="6A60E920" w14:textId="77777777" w:rsidR="000A2A2B" w:rsidRPr="007C3060" w:rsidRDefault="000A2A2B" w:rsidP="007C3060">
      <w:pPr>
        <w:pStyle w:val="a-vedtak-del"/>
      </w:pPr>
      <w:r w:rsidRPr="007C3060">
        <w:lastRenderedPageBreak/>
        <w:t>XXIX</w:t>
      </w:r>
    </w:p>
    <w:p w14:paraId="22DC6896" w14:textId="77777777" w:rsidR="000A2A2B" w:rsidRPr="007C3060" w:rsidRDefault="000A2A2B" w:rsidP="007C3060">
      <w:pPr>
        <w:pStyle w:val="a-vedtak-tekst"/>
      </w:pPr>
      <w:r w:rsidRPr="007C3060">
        <w:t>Fullmakt til å pådra staten forpliktelser i investeringsprosjekter</w:t>
      </w:r>
    </w:p>
    <w:p w14:paraId="7CA514E9" w14:textId="77777777" w:rsidR="000A2A2B" w:rsidRPr="007C3060" w:rsidRDefault="000A2A2B" w:rsidP="007C3060">
      <w:r w:rsidRPr="007C3060">
        <w:t xml:space="preserve">Stortinget samtykker i at Digitaliserings- og forvaltningsdepartementet i 2025 kan bestille og pådra staten forpliktelser utover budsjettåret for byggeprosjekter i reklamasjonsfasen og sluttoppgjør under kap. 1530 Byggeprosjekter utenfor husleieordningen og kap. 2445 Statsbygg, innenfor de kostnadsrammene som er omtalt i </w:t>
      </w:r>
      <w:proofErr w:type="spellStart"/>
      <w:r w:rsidRPr="007C3060">
        <w:t>Prop</w:t>
      </w:r>
      <w:proofErr w:type="spellEnd"/>
      <w:r w:rsidRPr="007C3060">
        <w:t>. 1 S (2022–2023) eller i tidligere proposisjoner til Stortinget.</w:t>
      </w:r>
    </w:p>
    <w:p w14:paraId="6420275A" w14:textId="77777777" w:rsidR="000A2A2B" w:rsidRPr="007C3060" w:rsidRDefault="000A2A2B" w:rsidP="007C3060">
      <w:pPr>
        <w:pStyle w:val="a-vedtak-del"/>
      </w:pPr>
      <w:r w:rsidRPr="007C3060">
        <w:t>XXX</w:t>
      </w:r>
    </w:p>
    <w:p w14:paraId="40929983" w14:textId="77777777" w:rsidR="000A2A2B" w:rsidRPr="007C3060" w:rsidRDefault="000A2A2B" w:rsidP="007C3060">
      <w:pPr>
        <w:pStyle w:val="a-vedtak-tekst"/>
      </w:pPr>
      <w:r w:rsidRPr="007C3060">
        <w:t>Fullmakt til å pådra staten forpliktelser i investeringsprosjekter</w:t>
      </w:r>
    </w:p>
    <w:p w14:paraId="53180D0E" w14:textId="77777777" w:rsidR="000A2A2B" w:rsidRPr="007C3060" w:rsidRDefault="000A2A2B" w:rsidP="007C3060">
      <w:r w:rsidRPr="007C3060">
        <w:t>Stortinget samtykker i at Digitaliserings- og forvaltningsdepartementet i 2025 kan bestille og pådra staten forpliktelser utover budsjettåret for byggeprosjektet nye studenthybler ved brann- og redningsskolen i Tjeldsund innenfor en kostnadsramme på 460,1 mill. kroner. Fullmakten gjelder også forpliktelser som blir inngått i senere budsjettår. Kostnadsrammen er i prisnivå per 1. juli 2025. Digitaliserings- og forvaltningsdepartementet gis fullmakt til å prisjustere kostnadsrammen i senere år.</w:t>
      </w:r>
    </w:p>
    <w:p w14:paraId="5CB9C373" w14:textId="77777777" w:rsidR="000A2A2B" w:rsidRPr="007C3060" w:rsidRDefault="000A2A2B" w:rsidP="007C3060">
      <w:pPr>
        <w:pStyle w:val="a-vedtak-del"/>
      </w:pPr>
      <w:r w:rsidRPr="007C3060">
        <w:t>XXXI</w:t>
      </w:r>
    </w:p>
    <w:p w14:paraId="5D8C0C29" w14:textId="77777777" w:rsidR="000A2A2B" w:rsidRPr="007C3060" w:rsidRDefault="000A2A2B" w:rsidP="007C3060">
      <w:pPr>
        <w:pStyle w:val="a-vedtak-tekst"/>
      </w:pPr>
      <w:r w:rsidRPr="007C3060">
        <w:t>Bestillingsfullmakter</w:t>
      </w:r>
    </w:p>
    <w:p w14:paraId="60BB649F" w14:textId="77777777" w:rsidR="000A2A2B" w:rsidRPr="007C3060" w:rsidRDefault="000A2A2B" w:rsidP="007C3060">
      <w:r w:rsidRPr="007C3060">
        <w:t>Stortinget samtykker i at Forsvarsdepartementet i 2025 kan foreta bestillinger ut over gitte bevilgninger, men slik at samlet ramme for nye bestillinger og gammelt ansvar ikke overstiger følgende beløp:</w:t>
      </w:r>
    </w:p>
    <w:p w14:paraId="10101EE7" w14:textId="77777777" w:rsidR="000A2A2B" w:rsidRPr="007C3060" w:rsidRDefault="000A2A2B" w:rsidP="007C3060">
      <w:pPr>
        <w:pStyle w:val="Tabellnavn"/>
      </w:pPr>
      <w:r w:rsidRPr="007C3060">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160"/>
        <w:gridCol w:w="2140"/>
      </w:tblGrid>
      <w:tr w:rsidR="004B729E" w:rsidRPr="007C3060" w14:paraId="4236B8FE"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7E300D" w14:textId="77777777" w:rsidR="000A2A2B" w:rsidRPr="007C3060" w:rsidRDefault="000A2A2B" w:rsidP="007C3060">
            <w:r w:rsidRPr="007C306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063C09" w14:textId="77777777" w:rsidR="000A2A2B" w:rsidRPr="007C3060" w:rsidRDefault="000A2A2B" w:rsidP="007C3060">
            <w:r w:rsidRPr="007C3060">
              <w:t>Post</w:t>
            </w:r>
          </w:p>
        </w:tc>
        <w:tc>
          <w:tcPr>
            <w:tcW w:w="6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3A12E4" w14:textId="77777777" w:rsidR="000A2A2B" w:rsidRPr="007C3060" w:rsidRDefault="000A2A2B" w:rsidP="007C3060">
            <w:r w:rsidRPr="007C3060">
              <w:t>Betegnelse</w:t>
            </w:r>
          </w:p>
        </w:tc>
        <w:tc>
          <w:tcPr>
            <w:tcW w:w="2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F384B4" w14:textId="77777777" w:rsidR="000A2A2B" w:rsidRPr="007C3060" w:rsidRDefault="000A2A2B" w:rsidP="007C3060">
            <w:r w:rsidRPr="007C3060">
              <w:t>Samlet ramme</w:t>
            </w:r>
          </w:p>
        </w:tc>
      </w:tr>
      <w:tr w:rsidR="004B729E" w:rsidRPr="007C3060" w14:paraId="0D96127B"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4863CCAD" w14:textId="77777777" w:rsidR="000A2A2B" w:rsidRPr="007C3060" w:rsidRDefault="000A2A2B" w:rsidP="007C3060">
            <w:r w:rsidRPr="007C3060">
              <w:t>1700</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37AFF1F9" w14:textId="77777777" w:rsidR="000A2A2B" w:rsidRPr="007C3060" w:rsidRDefault="000A2A2B" w:rsidP="007C3060"/>
        </w:tc>
        <w:tc>
          <w:tcPr>
            <w:tcW w:w="6160" w:type="dxa"/>
            <w:tcBorders>
              <w:top w:val="single" w:sz="4" w:space="0" w:color="000000"/>
              <w:left w:val="nil"/>
              <w:bottom w:val="nil"/>
              <w:right w:val="nil"/>
            </w:tcBorders>
            <w:tcMar>
              <w:top w:w="128" w:type="dxa"/>
              <w:left w:w="43" w:type="dxa"/>
              <w:bottom w:w="43" w:type="dxa"/>
              <w:right w:w="43" w:type="dxa"/>
            </w:tcMar>
            <w:vAlign w:val="bottom"/>
          </w:tcPr>
          <w:p w14:paraId="73E2B139" w14:textId="77777777" w:rsidR="000A2A2B" w:rsidRPr="007C3060" w:rsidRDefault="000A2A2B" w:rsidP="007C3060">
            <w:r w:rsidRPr="007C3060">
              <w:t>Forsvarsdepartementet</w:t>
            </w:r>
          </w:p>
        </w:tc>
        <w:tc>
          <w:tcPr>
            <w:tcW w:w="2140" w:type="dxa"/>
            <w:tcBorders>
              <w:top w:val="single" w:sz="4" w:space="0" w:color="000000"/>
              <w:left w:val="nil"/>
              <w:bottom w:val="nil"/>
              <w:right w:val="nil"/>
            </w:tcBorders>
            <w:tcMar>
              <w:top w:w="128" w:type="dxa"/>
              <w:left w:w="43" w:type="dxa"/>
              <w:bottom w:w="43" w:type="dxa"/>
              <w:right w:w="43" w:type="dxa"/>
            </w:tcMar>
            <w:vAlign w:val="bottom"/>
          </w:tcPr>
          <w:p w14:paraId="5AB5DAC1" w14:textId="77777777" w:rsidR="000A2A2B" w:rsidRPr="007C3060" w:rsidRDefault="000A2A2B" w:rsidP="007C3060"/>
        </w:tc>
      </w:tr>
      <w:tr w:rsidR="004B729E" w:rsidRPr="007C3060" w14:paraId="2C8FF685" w14:textId="77777777">
        <w:trPr>
          <w:trHeight w:val="380"/>
        </w:trPr>
        <w:tc>
          <w:tcPr>
            <w:tcW w:w="620" w:type="dxa"/>
            <w:tcBorders>
              <w:top w:val="nil"/>
              <w:left w:val="nil"/>
              <w:bottom w:val="nil"/>
              <w:right w:val="nil"/>
            </w:tcBorders>
            <w:tcMar>
              <w:top w:w="128" w:type="dxa"/>
              <w:left w:w="43" w:type="dxa"/>
              <w:bottom w:w="43" w:type="dxa"/>
              <w:right w:w="43" w:type="dxa"/>
            </w:tcMar>
          </w:tcPr>
          <w:p w14:paraId="514FAF88" w14:textId="77777777" w:rsidR="000A2A2B" w:rsidRPr="007C3060" w:rsidRDefault="000A2A2B" w:rsidP="007C3060"/>
        </w:tc>
        <w:tc>
          <w:tcPr>
            <w:tcW w:w="620" w:type="dxa"/>
            <w:tcBorders>
              <w:top w:val="nil"/>
              <w:left w:val="nil"/>
              <w:bottom w:val="nil"/>
              <w:right w:val="nil"/>
            </w:tcBorders>
            <w:tcMar>
              <w:top w:w="128" w:type="dxa"/>
              <w:left w:w="43" w:type="dxa"/>
              <w:bottom w:w="43" w:type="dxa"/>
              <w:right w:w="43" w:type="dxa"/>
            </w:tcMar>
            <w:vAlign w:val="bottom"/>
          </w:tcPr>
          <w:p w14:paraId="790DCCBE" w14:textId="77777777" w:rsidR="000A2A2B" w:rsidRPr="007C3060" w:rsidRDefault="000A2A2B" w:rsidP="007C3060">
            <w:r w:rsidRPr="007C3060">
              <w:t>01</w:t>
            </w:r>
          </w:p>
        </w:tc>
        <w:tc>
          <w:tcPr>
            <w:tcW w:w="6160" w:type="dxa"/>
            <w:tcBorders>
              <w:top w:val="nil"/>
              <w:left w:val="nil"/>
              <w:bottom w:val="nil"/>
              <w:right w:val="nil"/>
            </w:tcBorders>
            <w:tcMar>
              <w:top w:w="128" w:type="dxa"/>
              <w:left w:w="43" w:type="dxa"/>
              <w:bottom w:w="43" w:type="dxa"/>
              <w:right w:w="43" w:type="dxa"/>
            </w:tcMar>
            <w:vAlign w:val="bottom"/>
          </w:tcPr>
          <w:p w14:paraId="21749B26" w14:textId="77777777" w:rsidR="000A2A2B" w:rsidRPr="007C3060" w:rsidRDefault="000A2A2B" w:rsidP="007C3060">
            <w:r w:rsidRPr="007C3060">
              <w:t>Driftsutgifter</w:t>
            </w:r>
          </w:p>
        </w:tc>
        <w:tc>
          <w:tcPr>
            <w:tcW w:w="2140" w:type="dxa"/>
            <w:tcBorders>
              <w:top w:val="nil"/>
              <w:left w:val="nil"/>
              <w:bottom w:val="nil"/>
              <w:right w:val="nil"/>
            </w:tcBorders>
            <w:tcMar>
              <w:top w:w="128" w:type="dxa"/>
              <w:left w:w="43" w:type="dxa"/>
              <w:bottom w:w="43" w:type="dxa"/>
              <w:right w:w="43" w:type="dxa"/>
            </w:tcMar>
            <w:vAlign w:val="bottom"/>
          </w:tcPr>
          <w:p w14:paraId="1170B9AE" w14:textId="77777777" w:rsidR="000A2A2B" w:rsidRPr="007C3060" w:rsidRDefault="000A2A2B" w:rsidP="007C3060">
            <w:r w:rsidRPr="007C3060">
              <w:t>45 mill. kroner</w:t>
            </w:r>
          </w:p>
        </w:tc>
      </w:tr>
      <w:tr w:rsidR="004B729E" w:rsidRPr="007C3060" w14:paraId="198D2E67" w14:textId="77777777">
        <w:trPr>
          <w:trHeight w:val="380"/>
        </w:trPr>
        <w:tc>
          <w:tcPr>
            <w:tcW w:w="620" w:type="dxa"/>
            <w:tcBorders>
              <w:top w:val="nil"/>
              <w:left w:val="nil"/>
              <w:bottom w:val="nil"/>
              <w:right w:val="nil"/>
            </w:tcBorders>
            <w:tcMar>
              <w:top w:w="128" w:type="dxa"/>
              <w:left w:w="43" w:type="dxa"/>
              <w:bottom w:w="43" w:type="dxa"/>
              <w:right w:w="43" w:type="dxa"/>
            </w:tcMar>
          </w:tcPr>
          <w:p w14:paraId="29F10989" w14:textId="77777777" w:rsidR="000A2A2B" w:rsidRPr="007C3060" w:rsidRDefault="000A2A2B" w:rsidP="007C3060">
            <w:r w:rsidRPr="007C3060">
              <w:t>1710</w:t>
            </w:r>
          </w:p>
        </w:tc>
        <w:tc>
          <w:tcPr>
            <w:tcW w:w="620" w:type="dxa"/>
            <w:tcBorders>
              <w:top w:val="nil"/>
              <w:left w:val="nil"/>
              <w:bottom w:val="nil"/>
              <w:right w:val="nil"/>
            </w:tcBorders>
            <w:tcMar>
              <w:top w:w="128" w:type="dxa"/>
              <w:left w:w="43" w:type="dxa"/>
              <w:bottom w:w="43" w:type="dxa"/>
              <w:right w:w="43" w:type="dxa"/>
            </w:tcMar>
            <w:vAlign w:val="bottom"/>
          </w:tcPr>
          <w:p w14:paraId="1F078F9C" w14:textId="77777777" w:rsidR="000A2A2B" w:rsidRPr="007C3060" w:rsidRDefault="000A2A2B" w:rsidP="007C3060"/>
        </w:tc>
        <w:tc>
          <w:tcPr>
            <w:tcW w:w="6160" w:type="dxa"/>
            <w:tcBorders>
              <w:top w:val="nil"/>
              <w:left w:val="nil"/>
              <w:bottom w:val="nil"/>
              <w:right w:val="nil"/>
            </w:tcBorders>
            <w:tcMar>
              <w:top w:w="128" w:type="dxa"/>
              <w:left w:w="43" w:type="dxa"/>
              <w:bottom w:w="43" w:type="dxa"/>
              <w:right w:w="43" w:type="dxa"/>
            </w:tcMar>
            <w:vAlign w:val="bottom"/>
          </w:tcPr>
          <w:p w14:paraId="001D080D" w14:textId="77777777" w:rsidR="000A2A2B" w:rsidRPr="007C3060" w:rsidRDefault="000A2A2B" w:rsidP="007C3060">
            <w:r w:rsidRPr="007C3060">
              <w:t>Forsvarsbygg og nybygg og nyanlegg</w:t>
            </w:r>
          </w:p>
        </w:tc>
        <w:tc>
          <w:tcPr>
            <w:tcW w:w="2140" w:type="dxa"/>
            <w:tcBorders>
              <w:top w:val="nil"/>
              <w:left w:val="nil"/>
              <w:bottom w:val="nil"/>
              <w:right w:val="nil"/>
            </w:tcBorders>
            <w:tcMar>
              <w:top w:w="128" w:type="dxa"/>
              <w:left w:w="43" w:type="dxa"/>
              <w:bottom w:w="43" w:type="dxa"/>
              <w:right w:w="43" w:type="dxa"/>
            </w:tcMar>
            <w:vAlign w:val="bottom"/>
          </w:tcPr>
          <w:p w14:paraId="74CA8CEC" w14:textId="77777777" w:rsidR="000A2A2B" w:rsidRPr="007C3060" w:rsidRDefault="000A2A2B" w:rsidP="007C3060"/>
        </w:tc>
      </w:tr>
      <w:tr w:rsidR="004B729E" w:rsidRPr="007C3060" w14:paraId="7E84F6D0" w14:textId="77777777">
        <w:trPr>
          <w:trHeight w:val="380"/>
        </w:trPr>
        <w:tc>
          <w:tcPr>
            <w:tcW w:w="620" w:type="dxa"/>
            <w:tcBorders>
              <w:top w:val="nil"/>
              <w:left w:val="nil"/>
              <w:bottom w:val="nil"/>
              <w:right w:val="nil"/>
            </w:tcBorders>
            <w:tcMar>
              <w:top w:w="128" w:type="dxa"/>
              <w:left w:w="43" w:type="dxa"/>
              <w:bottom w:w="43" w:type="dxa"/>
              <w:right w:w="43" w:type="dxa"/>
            </w:tcMar>
          </w:tcPr>
          <w:p w14:paraId="5839E03C" w14:textId="77777777" w:rsidR="000A2A2B" w:rsidRPr="007C3060" w:rsidRDefault="000A2A2B" w:rsidP="007C3060"/>
        </w:tc>
        <w:tc>
          <w:tcPr>
            <w:tcW w:w="620" w:type="dxa"/>
            <w:tcBorders>
              <w:top w:val="nil"/>
              <w:left w:val="nil"/>
              <w:bottom w:val="nil"/>
              <w:right w:val="nil"/>
            </w:tcBorders>
            <w:tcMar>
              <w:top w:w="128" w:type="dxa"/>
              <w:left w:w="43" w:type="dxa"/>
              <w:bottom w:w="43" w:type="dxa"/>
              <w:right w:w="43" w:type="dxa"/>
            </w:tcMar>
            <w:vAlign w:val="bottom"/>
          </w:tcPr>
          <w:p w14:paraId="3F5C4E31" w14:textId="77777777" w:rsidR="000A2A2B" w:rsidRPr="007C3060" w:rsidRDefault="000A2A2B" w:rsidP="007C3060">
            <w:r w:rsidRPr="007C3060">
              <w:t>01</w:t>
            </w:r>
          </w:p>
        </w:tc>
        <w:tc>
          <w:tcPr>
            <w:tcW w:w="6160" w:type="dxa"/>
            <w:tcBorders>
              <w:top w:val="nil"/>
              <w:left w:val="nil"/>
              <w:bottom w:val="nil"/>
              <w:right w:val="nil"/>
            </w:tcBorders>
            <w:tcMar>
              <w:top w:w="128" w:type="dxa"/>
              <w:left w:w="43" w:type="dxa"/>
              <w:bottom w:w="43" w:type="dxa"/>
              <w:right w:w="43" w:type="dxa"/>
            </w:tcMar>
            <w:vAlign w:val="bottom"/>
          </w:tcPr>
          <w:p w14:paraId="533072F5" w14:textId="77777777" w:rsidR="000A2A2B" w:rsidRPr="007C3060" w:rsidRDefault="000A2A2B" w:rsidP="007C3060">
            <w:r w:rsidRPr="007C3060">
              <w:t xml:space="preserve">Driftsutgifter </w:t>
            </w:r>
          </w:p>
        </w:tc>
        <w:tc>
          <w:tcPr>
            <w:tcW w:w="2140" w:type="dxa"/>
            <w:tcBorders>
              <w:top w:val="nil"/>
              <w:left w:val="nil"/>
              <w:bottom w:val="nil"/>
              <w:right w:val="nil"/>
            </w:tcBorders>
            <w:tcMar>
              <w:top w:w="128" w:type="dxa"/>
              <w:left w:w="43" w:type="dxa"/>
              <w:bottom w:w="43" w:type="dxa"/>
              <w:right w:w="43" w:type="dxa"/>
            </w:tcMar>
            <w:vAlign w:val="bottom"/>
          </w:tcPr>
          <w:p w14:paraId="04B713F3" w14:textId="77777777" w:rsidR="000A2A2B" w:rsidRPr="007C3060" w:rsidRDefault="000A2A2B" w:rsidP="007C3060">
            <w:r w:rsidRPr="007C3060">
              <w:t>500 mill. kroner</w:t>
            </w:r>
          </w:p>
        </w:tc>
      </w:tr>
      <w:tr w:rsidR="004B729E" w:rsidRPr="007C3060" w14:paraId="4FE07B15" w14:textId="77777777">
        <w:trPr>
          <w:trHeight w:val="380"/>
        </w:trPr>
        <w:tc>
          <w:tcPr>
            <w:tcW w:w="620" w:type="dxa"/>
            <w:tcBorders>
              <w:top w:val="nil"/>
              <w:left w:val="nil"/>
              <w:bottom w:val="nil"/>
              <w:right w:val="nil"/>
            </w:tcBorders>
            <w:tcMar>
              <w:top w:w="128" w:type="dxa"/>
              <w:left w:w="43" w:type="dxa"/>
              <w:bottom w:w="43" w:type="dxa"/>
              <w:right w:w="43" w:type="dxa"/>
            </w:tcMar>
          </w:tcPr>
          <w:p w14:paraId="4DFD89D7" w14:textId="77777777" w:rsidR="000A2A2B" w:rsidRPr="007C3060" w:rsidRDefault="000A2A2B" w:rsidP="007C3060"/>
        </w:tc>
        <w:tc>
          <w:tcPr>
            <w:tcW w:w="620" w:type="dxa"/>
            <w:tcBorders>
              <w:top w:val="nil"/>
              <w:left w:val="nil"/>
              <w:bottom w:val="nil"/>
              <w:right w:val="nil"/>
            </w:tcBorders>
            <w:tcMar>
              <w:top w:w="128" w:type="dxa"/>
              <w:left w:w="43" w:type="dxa"/>
              <w:bottom w:w="43" w:type="dxa"/>
              <w:right w:w="43" w:type="dxa"/>
            </w:tcMar>
            <w:vAlign w:val="bottom"/>
          </w:tcPr>
          <w:p w14:paraId="129DD5C0" w14:textId="77777777" w:rsidR="000A2A2B" w:rsidRPr="007C3060" w:rsidRDefault="000A2A2B" w:rsidP="007C3060">
            <w:r w:rsidRPr="007C3060">
              <w:t>47</w:t>
            </w:r>
          </w:p>
        </w:tc>
        <w:tc>
          <w:tcPr>
            <w:tcW w:w="6160" w:type="dxa"/>
            <w:tcBorders>
              <w:top w:val="nil"/>
              <w:left w:val="nil"/>
              <w:bottom w:val="nil"/>
              <w:right w:val="nil"/>
            </w:tcBorders>
            <w:tcMar>
              <w:top w:w="128" w:type="dxa"/>
              <w:left w:w="43" w:type="dxa"/>
              <w:bottom w:w="43" w:type="dxa"/>
              <w:right w:w="43" w:type="dxa"/>
            </w:tcMar>
            <w:vAlign w:val="bottom"/>
          </w:tcPr>
          <w:p w14:paraId="4C1DD5A8" w14:textId="77777777" w:rsidR="000A2A2B" w:rsidRPr="007C3060" w:rsidRDefault="000A2A2B" w:rsidP="007C3060">
            <w:r w:rsidRPr="007C3060">
              <w:t>Nybygg og nyanlegg</w:t>
            </w:r>
          </w:p>
        </w:tc>
        <w:tc>
          <w:tcPr>
            <w:tcW w:w="2140" w:type="dxa"/>
            <w:tcBorders>
              <w:top w:val="nil"/>
              <w:left w:val="nil"/>
              <w:bottom w:val="nil"/>
              <w:right w:val="nil"/>
            </w:tcBorders>
            <w:tcMar>
              <w:top w:w="128" w:type="dxa"/>
              <w:left w:w="43" w:type="dxa"/>
              <w:bottom w:w="43" w:type="dxa"/>
              <w:right w:w="43" w:type="dxa"/>
            </w:tcMar>
            <w:vAlign w:val="bottom"/>
          </w:tcPr>
          <w:p w14:paraId="2F9A5CA2" w14:textId="77777777" w:rsidR="000A2A2B" w:rsidRPr="007C3060" w:rsidRDefault="000A2A2B" w:rsidP="007C3060">
            <w:r w:rsidRPr="007C3060">
              <w:t>6 100 mill. kroner</w:t>
            </w:r>
          </w:p>
        </w:tc>
      </w:tr>
      <w:tr w:rsidR="004B729E" w:rsidRPr="007C3060" w14:paraId="2F8B99A3" w14:textId="77777777">
        <w:trPr>
          <w:trHeight w:val="380"/>
        </w:trPr>
        <w:tc>
          <w:tcPr>
            <w:tcW w:w="620" w:type="dxa"/>
            <w:tcBorders>
              <w:top w:val="nil"/>
              <w:left w:val="nil"/>
              <w:bottom w:val="nil"/>
              <w:right w:val="nil"/>
            </w:tcBorders>
            <w:tcMar>
              <w:top w:w="128" w:type="dxa"/>
              <w:left w:w="43" w:type="dxa"/>
              <w:bottom w:w="43" w:type="dxa"/>
              <w:right w:w="43" w:type="dxa"/>
            </w:tcMar>
          </w:tcPr>
          <w:p w14:paraId="71DEB25D" w14:textId="77777777" w:rsidR="000A2A2B" w:rsidRPr="007C3060" w:rsidRDefault="000A2A2B" w:rsidP="007C3060">
            <w:r w:rsidRPr="007C3060">
              <w:t>1720</w:t>
            </w:r>
          </w:p>
        </w:tc>
        <w:tc>
          <w:tcPr>
            <w:tcW w:w="620" w:type="dxa"/>
            <w:tcBorders>
              <w:top w:val="nil"/>
              <w:left w:val="nil"/>
              <w:bottom w:val="nil"/>
              <w:right w:val="nil"/>
            </w:tcBorders>
            <w:tcMar>
              <w:top w:w="128" w:type="dxa"/>
              <w:left w:w="43" w:type="dxa"/>
              <w:bottom w:w="43" w:type="dxa"/>
              <w:right w:w="43" w:type="dxa"/>
            </w:tcMar>
            <w:vAlign w:val="bottom"/>
          </w:tcPr>
          <w:p w14:paraId="076D7C8B" w14:textId="77777777" w:rsidR="000A2A2B" w:rsidRPr="007C3060" w:rsidRDefault="000A2A2B" w:rsidP="007C3060"/>
        </w:tc>
        <w:tc>
          <w:tcPr>
            <w:tcW w:w="6160" w:type="dxa"/>
            <w:tcBorders>
              <w:top w:val="nil"/>
              <w:left w:val="nil"/>
              <w:bottom w:val="nil"/>
              <w:right w:val="nil"/>
            </w:tcBorders>
            <w:tcMar>
              <w:top w:w="128" w:type="dxa"/>
              <w:left w:w="43" w:type="dxa"/>
              <w:bottom w:w="43" w:type="dxa"/>
              <w:right w:w="43" w:type="dxa"/>
            </w:tcMar>
            <w:vAlign w:val="bottom"/>
          </w:tcPr>
          <w:p w14:paraId="0E4FA38F" w14:textId="77777777" w:rsidR="000A2A2B" w:rsidRPr="007C3060" w:rsidRDefault="000A2A2B" w:rsidP="007C3060">
            <w:r w:rsidRPr="007C3060">
              <w:t>Forsvaret</w:t>
            </w:r>
          </w:p>
        </w:tc>
        <w:tc>
          <w:tcPr>
            <w:tcW w:w="2140" w:type="dxa"/>
            <w:tcBorders>
              <w:top w:val="nil"/>
              <w:left w:val="nil"/>
              <w:bottom w:val="nil"/>
              <w:right w:val="nil"/>
            </w:tcBorders>
            <w:tcMar>
              <w:top w:w="128" w:type="dxa"/>
              <w:left w:w="43" w:type="dxa"/>
              <w:bottom w:w="43" w:type="dxa"/>
              <w:right w:w="43" w:type="dxa"/>
            </w:tcMar>
            <w:vAlign w:val="bottom"/>
          </w:tcPr>
          <w:p w14:paraId="20426E3B" w14:textId="77777777" w:rsidR="000A2A2B" w:rsidRPr="007C3060" w:rsidRDefault="000A2A2B" w:rsidP="007C3060"/>
        </w:tc>
      </w:tr>
      <w:tr w:rsidR="004B729E" w:rsidRPr="007C3060" w14:paraId="6F5DA7D6" w14:textId="77777777">
        <w:trPr>
          <w:trHeight w:val="380"/>
        </w:trPr>
        <w:tc>
          <w:tcPr>
            <w:tcW w:w="620" w:type="dxa"/>
            <w:tcBorders>
              <w:top w:val="nil"/>
              <w:left w:val="nil"/>
              <w:bottom w:val="nil"/>
              <w:right w:val="nil"/>
            </w:tcBorders>
            <w:tcMar>
              <w:top w:w="128" w:type="dxa"/>
              <w:left w:w="43" w:type="dxa"/>
              <w:bottom w:w="43" w:type="dxa"/>
              <w:right w:w="43" w:type="dxa"/>
            </w:tcMar>
          </w:tcPr>
          <w:p w14:paraId="1991D1A4" w14:textId="77777777" w:rsidR="000A2A2B" w:rsidRPr="007C3060" w:rsidRDefault="000A2A2B" w:rsidP="007C3060"/>
        </w:tc>
        <w:tc>
          <w:tcPr>
            <w:tcW w:w="620" w:type="dxa"/>
            <w:tcBorders>
              <w:top w:val="nil"/>
              <w:left w:val="nil"/>
              <w:bottom w:val="nil"/>
              <w:right w:val="nil"/>
            </w:tcBorders>
            <w:tcMar>
              <w:top w:w="128" w:type="dxa"/>
              <w:left w:w="43" w:type="dxa"/>
              <w:bottom w:w="43" w:type="dxa"/>
              <w:right w:w="43" w:type="dxa"/>
            </w:tcMar>
            <w:vAlign w:val="bottom"/>
          </w:tcPr>
          <w:p w14:paraId="0A2448BD" w14:textId="77777777" w:rsidR="000A2A2B" w:rsidRPr="007C3060" w:rsidRDefault="000A2A2B" w:rsidP="007C3060">
            <w:r w:rsidRPr="007C3060">
              <w:t>01</w:t>
            </w:r>
          </w:p>
        </w:tc>
        <w:tc>
          <w:tcPr>
            <w:tcW w:w="6160" w:type="dxa"/>
            <w:tcBorders>
              <w:top w:val="nil"/>
              <w:left w:val="nil"/>
              <w:bottom w:val="nil"/>
              <w:right w:val="nil"/>
            </w:tcBorders>
            <w:tcMar>
              <w:top w:w="128" w:type="dxa"/>
              <w:left w:w="43" w:type="dxa"/>
              <w:bottom w:w="43" w:type="dxa"/>
              <w:right w:w="43" w:type="dxa"/>
            </w:tcMar>
            <w:vAlign w:val="bottom"/>
          </w:tcPr>
          <w:p w14:paraId="2D072B11" w14:textId="77777777" w:rsidR="000A2A2B" w:rsidRPr="007C3060" w:rsidRDefault="000A2A2B" w:rsidP="007C3060">
            <w:r w:rsidRPr="007C3060">
              <w:t>Driftsutgifter</w:t>
            </w:r>
          </w:p>
        </w:tc>
        <w:tc>
          <w:tcPr>
            <w:tcW w:w="2140" w:type="dxa"/>
            <w:tcBorders>
              <w:top w:val="nil"/>
              <w:left w:val="nil"/>
              <w:bottom w:val="nil"/>
              <w:right w:val="nil"/>
            </w:tcBorders>
            <w:tcMar>
              <w:top w:w="128" w:type="dxa"/>
              <w:left w:w="43" w:type="dxa"/>
              <w:bottom w:w="43" w:type="dxa"/>
              <w:right w:w="43" w:type="dxa"/>
            </w:tcMar>
            <w:vAlign w:val="bottom"/>
          </w:tcPr>
          <w:p w14:paraId="070BEBB1" w14:textId="77777777" w:rsidR="000A2A2B" w:rsidRPr="007C3060" w:rsidRDefault="000A2A2B" w:rsidP="007C3060">
            <w:r w:rsidRPr="007C3060">
              <w:t>18 650 mill. kroner</w:t>
            </w:r>
          </w:p>
        </w:tc>
      </w:tr>
      <w:tr w:rsidR="004B729E" w:rsidRPr="007C3060" w14:paraId="5B53CBAC" w14:textId="77777777">
        <w:trPr>
          <w:trHeight w:val="380"/>
        </w:trPr>
        <w:tc>
          <w:tcPr>
            <w:tcW w:w="620" w:type="dxa"/>
            <w:tcBorders>
              <w:top w:val="nil"/>
              <w:left w:val="nil"/>
              <w:bottom w:val="nil"/>
              <w:right w:val="nil"/>
            </w:tcBorders>
            <w:tcMar>
              <w:top w:w="128" w:type="dxa"/>
              <w:left w:w="43" w:type="dxa"/>
              <w:bottom w:w="43" w:type="dxa"/>
              <w:right w:w="43" w:type="dxa"/>
            </w:tcMar>
          </w:tcPr>
          <w:p w14:paraId="76FCA1F8" w14:textId="77777777" w:rsidR="000A2A2B" w:rsidRPr="007C3060" w:rsidRDefault="000A2A2B" w:rsidP="007C3060">
            <w:r w:rsidRPr="007C3060">
              <w:t>1740</w:t>
            </w:r>
          </w:p>
        </w:tc>
        <w:tc>
          <w:tcPr>
            <w:tcW w:w="620" w:type="dxa"/>
            <w:tcBorders>
              <w:top w:val="nil"/>
              <w:left w:val="nil"/>
              <w:bottom w:val="nil"/>
              <w:right w:val="nil"/>
            </w:tcBorders>
            <w:tcMar>
              <w:top w:w="128" w:type="dxa"/>
              <w:left w:w="43" w:type="dxa"/>
              <w:bottom w:w="43" w:type="dxa"/>
              <w:right w:w="43" w:type="dxa"/>
            </w:tcMar>
            <w:vAlign w:val="bottom"/>
          </w:tcPr>
          <w:p w14:paraId="54DE9038" w14:textId="77777777" w:rsidR="000A2A2B" w:rsidRPr="007C3060" w:rsidRDefault="000A2A2B" w:rsidP="007C3060"/>
        </w:tc>
        <w:tc>
          <w:tcPr>
            <w:tcW w:w="6160" w:type="dxa"/>
            <w:tcBorders>
              <w:top w:val="nil"/>
              <w:left w:val="nil"/>
              <w:bottom w:val="nil"/>
              <w:right w:val="nil"/>
            </w:tcBorders>
            <w:tcMar>
              <w:top w:w="128" w:type="dxa"/>
              <w:left w:w="43" w:type="dxa"/>
              <w:bottom w:w="43" w:type="dxa"/>
              <w:right w:w="43" w:type="dxa"/>
            </w:tcMar>
            <w:vAlign w:val="bottom"/>
          </w:tcPr>
          <w:p w14:paraId="794F882F" w14:textId="77777777" w:rsidR="000A2A2B" w:rsidRPr="007C3060" w:rsidRDefault="000A2A2B" w:rsidP="007C3060">
            <w:r w:rsidRPr="007C3060">
              <w:t>Statens graderte plattformtjenester</w:t>
            </w:r>
          </w:p>
        </w:tc>
        <w:tc>
          <w:tcPr>
            <w:tcW w:w="2140" w:type="dxa"/>
            <w:tcBorders>
              <w:top w:val="nil"/>
              <w:left w:val="nil"/>
              <w:bottom w:val="nil"/>
              <w:right w:val="nil"/>
            </w:tcBorders>
            <w:tcMar>
              <w:top w:w="128" w:type="dxa"/>
              <w:left w:w="43" w:type="dxa"/>
              <w:bottom w:w="43" w:type="dxa"/>
              <w:right w:w="43" w:type="dxa"/>
            </w:tcMar>
            <w:vAlign w:val="bottom"/>
          </w:tcPr>
          <w:p w14:paraId="7B287D17" w14:textId="77777777" w:rsidR="000A2A2B" w:rsidRPr="007C3060" w:rsidRDefault="000A2A2B" w:rsidP="007C3060"/>
        </w:tc>
      </w:tr>
      <w:tr w:rsidR="004B729E" w:rsidRPr="007C3060" w14:paraId="1B5EAB99" w14:textId="77777777">
        <w:trPr>
          <w:trHeight w:val="380"/>
        </w:trPr>
        <w:tc>
          <w:tcPr>
            <w:tcW w:w="620" w:type="dxa"/>
            <w:tcBorders>
              <w:top w:val="nil"/>
              <w:left w:val="nil"/>
              <w:bottom w:val="nil"/>
              <w:right w:val="nil"/>
            </w:tcBorders>
            <w:tcMar>
              <w:top w:w="128" w:type="dxa"/>
              <w:left w:w="43" w:type="dxa"/>
              <w:bottom w:w="43" w:type="dxa"/>
              <w:right w:w="43" w:type="dxa"/>
            </w:tcMar>
          </w:tcPr>
          <w:p w14:paraId="38B96A1D" w14:textId="77777777" w:rsidR="000A2A2B" w:rsidRPr="007C3060" w:rsidRDefault="000A2A2B" w:rsidP="007C3060"/>
        </w:tc>
        <w:tc>
          <w:tcPr>
            <w:tcW w:w="620" w:type="dxa"/>
            <w:tcBorders>
              <w:top w:val="nil"/>
              <w:left w:val="nil"/>
              <w:bottom w:val="nil"/>
              <w:right w:val="nil"/>
            </w:tcBorders>
            <w:tcMar>
              <w:top w:w="128" w:type="dxa"/>
              <w:left w:w="43" w:type="dxa"/>
              <w:bottom w:w="43" w:type="dxa"/>
              <w:right w:w="43" w:type="dxa"/>
            </w:tcMar>
            <w:vAlign w:val="bottom"/>
          </w:tcPr>
          <w:p w14:paraId="3C28B234" w14:textId="77777777" w:rsidR="000A2A2B" w:rsidRPr="007C3060" w:rsidRDefault="000A2A2B" w:rsidP="007C3060">
            <w:r w:rsidRPr="007C3060">
              <w:t>01</w:t>
            </w:r>
          </w:p>
        </w:tc>
        <w:tc>
          <w:tcPr>
            <w:tcW w:w="6160" w:type="dxa"/>
            <w:tcBorders>
              <w:top w:val="nil"/>
              <w:left w:val="nil"/>
              <w:bottom w:val="nil"/>
              <w:right w:val="nil"/>
            </w:tcBorders>
            <w:tcMar>
              <w:top w:w="128" w:type="dxa"/>
              <w:left w:w="43" w:type="dxa"/>
              <w:bottom w:w="43" w:type="dxa"/>
              <w:right w:w="43" w:type="dxa"/>
            </w:tcMar>
            <w:vAlign w:val="bottom"/>
          </w:tcPr>
          <w:p w14:paraId="00493C4D" w14:textId="77777777" w:rsidR="000A2A2B" w:rsidRPr="007C3060" w:rsidRDefault="000A2A2B" w:rsidP="007C3060">
            <w:r w:rsidRPr="007C3060">
              <w:t>Driftsutgifter</w:t>
            </w:r>
          </w:p>
        </w:tc>
        <w:tc>
          <w:tcPr>
            <w:tcW w:w="2140" w:type="dxa"/>
            <w:tcBorders>
              <w:top w:val="nil"/>
              <w:left w:val="nil"/>
              <w:bottom w:val="nil"/>
              <w:right w:val="nil"/>
            </w:tcBorders>
            <w:tcMar>
              <w:top w:w="128" w:type="dxa"/>
              <w:left w:w="43" w:type="dxa"/>
              <w:bottom w:w="43" w:type="dxa"/>
              <w:right w:w="43" w:type="dxa"/>
            </w:tcMar>
            <w:vAlign w:val="bottom"/>
          </w:tcPr>
          <w:p w14:paraId="149B0D6C" w14:textId="77777777" w:rsidR="000A2A2B" w:rsidRPr="007C3060" w:rsidRDefault="000A2A2B" w:rsidP="007C3060">
            <w:r w:rsidRPr="007C3060">
              <w:t>90 mill. kroner</w:t>
            </w:r>
          </w:p>
        </w:tc>
      </w:tr>
      <w:tr w:rsidR="004B729E" w:rsidRPr="007C3060" w14:paraId="067B91B9" w14:textId="77777777">
        <w:trPr>
          <w:trHeight w:val="380"/>
        </w:trPr>
        <w:tc>
          <w:tcPr>
            <w:tcW w:w="620" w:type="dxa"/>
            <w:tcBorders>
              <w:top w:val="nil"/>
              <w:left w:val="nil"/>
              <w:bottom w:val="nil"/>
              <w:right w:val="nil"/>
            </w:tcBorders>
            <w:tcMar>
              <w:top w:w="128" w:type="dxa"/>
              <w:left w:w="43" w:type="dxa"/>
              <w:bottom w:w="43" w:type="dxa"/>
              <w:right w:w="43" w:type="dxa"/>
            </w:tcMar>
          </w:tcPr>
          <w:p w14:paraId="19E9D9BE" w14:textId="77777777" w:rsidR="000A2A2B" w:rsidRPr="007C3060" w:rsidRDefault="000A2A2B" w:rsidP="007C3060">
            <w:r w:rsidRPr="007C3060">
              <w:t>1760</w:t>
            </w:r>
          </w:p>
        </w:tc>
        <w:tc>
          <w:tcPr>
            <w:tcW w:w="620" w:type="dxa"/>
            <w:tcBorders>
              <w:top w:val="nil"/>
              <w:left w:val="nil"/>
              <w:bottom w:val="nil"/>
              <w:right w:val="nil"/>
            </w:tcBorders>
            <w:tcMar>
              <w:top w:w="128" w:type="dxa"/>
              <w:left w:w="43" w:type="dxa"/>
              <w:bottom w:w="43" w:type="dxa"/>
              <w:right w:w="43" w:type="dxa"/>
            </w:tcMar>
            <w:vAlign w:val="bottom"/>
          </w:tcPr>
          <w:p w14:paraId="3B530CD0" w14:textId="77777777" w:rsidR="000A2A2B" w:rsidRPr="007C3060" w:rsidRDefault="000A2A2B" w:rsidP="007C3060"/>
        </w:tc>
        <w:tc>
          <w:tcPr>
            <w:tcW w:w="6160" w:type="dxa"/>
            <w:tcBorders>
              <w:top w:val="nil"/>
              <w:left w:val="nil"/>
              <w:bottom w:val="nil"/>
              <w:right w:val="nil"/>
            </w:tcBorders>
            <w:tcMar>
              <w:top w:w="128" w:type="dxa"/>
              <w:left w:w="43" w:type="dxa"/>
              <w:bottom w:w="43" w:type="dxa"/>
              <w:right w:w="43" w:type="dxa"/>
            </w:tcMar>
            <w:vAlign w:val="bottom"/>
          </w:tcPr>
          <w:p w14:paraId="7C1F69A4" w14:textId="77777777" w:rsidR="000A2A2B" w:rsidRPr="007C3060" w:rsidRDefault="000A2A2B" w:rsidP="007C3060">
            <w:r w:rsidRPr="007C3060">
              <w:t>Forsvarsmateriell og større anskaffelser og vedlikehold</w:t>
            </w:r>
          </w:p>
        </w:tc>
        <w:tc>
          <w:tcPr>
            <w:tcW w:w="2140" w:type="dxa"/>
            <w:tcBorders>
              <w:top w:val="nil"/>
              <w:left w:val="nil"/>
              <w:bottom w:val="nil"/>
              <w:right w:val="nil"/>
            </w:tcBorders>
            <w:tcMar>
              <w:top w:w="128" w:type="dxa"/>
              <w:left w:w="43" w:type="dxa"/>
              <w:bottom w:w="43" w:type="dxa"/>
              <w:right w:w="43" w:type="dxa"/>
            </w:tcMar>
            <w:vAlign w:val="bottom"/>
          </w:tcPr>
          <w:p w14:paraId="5C24AFDD" w14:textId="77777777" w:rsidR="000A2A2B" w:rsidRPr="007C3060" w:rsidRDefault="000A2A2B" w:rsidP="007C3060"/>
        </w:tc>
      </w:tr>
      <w:tr w:rsidR="004B729E" w:rsidRPr="007C3060" w14:paraId="2ACE4166" w14:textId="77777777">
        <w:trPr>
          <w:trHeight w:val="380"/>
        </w:trPr>
        <w:tc>
          <w:tcPr>
            <w:tcW w:w="620" w:type="dxa"/>
            <w:tcBorders>
              <w:top w:val="nil"/>
              <w:left w:val="nil"/>
              <w:bottom w:val="nil"/>
              <w:right w:val="nil"/>
            </w:tcBorders>
            <w:tcMar>
              <w:top w:w="128" w:type="dxa"/>
              <w:left w:w="43" w:type="dxa"/>
              <w:bottom w:w="43" w:type="dxa"/>
              <w:right w:w="43" w:type="dxa"/>
            </w:tcMar>
          </w:tcPr>
          <w:p w14:paraId="4D9210EA" w14:textId="77777777" w:rsidR="000A2A2B" w:rsidRPr="007C3060" w:rsidRDefault="000A2A2B" w:rsidP="007C3060"/>
        </w:tc>
        <w:tc>
          <w:tcPr>
            <w:tcW w:w="620" w:type="dxa"/>
            <w:tcBorders>
              <w:top w:val="nil"/>
              <w:left w:val="nil"/>
              <w:bottom w:val="nil"/>
              <w:right w:val="nil"/>
            </w:tcBorders>
            <w:tcMar>
              <w:top w:w="128" w:type="dxa"/>
              <w:left w:w="43" w:type="dxa"/>
              <w:bottom w:w="43" w:type="dxa"/>
              <w:right w:w="43" w:type="dxa"/>
            </w:tcMar>
            <w:vAlign w:val="bottom"/>
          </w:tcPr>
          <w:p w14:paraId="779FCF60" w14:textId="77777777" w:rsidR="000A2A2B" w:rsidRPr="007C3060" w:rsidRDefault="000A2A2B" w:rsidP="007C3060">
            <w:r w:rsidRPr="007C3060">
              <w:t>44</w:t>
            </w:r>
          </w:p>
        </w:tc>
        <w:tc>
          <w:tcPr>
            <w:tcW w:w="6160" w:type="dxa"/>
            <w:tcBorders>
              <w:top w:val="nil"/>
              <w:left w:val="nil"/>
              <w:bottom w:val="nil"/>
              <w:right w:val="nil"/>
            </w:tcBorders>
            <w:tcMar>
              <w:top w:w="128" w:type="dxa"/>
              <w:left w:w="43" w:type="dxa"/>
              <w:bottom w:w="43" w:type="dxa"/>
              <w:right w:w="43" w:type="dxa"/>
            </w:tcMar>
            <w:vAlign w:val="bottom"/>
          </w:tcPr>
          <w:p w14:paraId="48E38512" w14:textId="77777777" w:rsidR="000A2A2B" w:rsidRPr="007C3060" w:rsidRDefault="000A2A2B" w:rsidP="007C3060">
            <w:r w:rsidRPr="007C3060">
              <w:t>Fellesfinansierte investeringer, nasjonalfinansiert andel</w:t>
            </w:r>
          </w:p>
        </w:tc>
        <w:tc>
          <w:tcPr>
            <w:tcW w:w="2140" w:type="dxa"/>
            <w:tcBorders>
              <w:top w:val="nil"/>
              <w:left w:val="nil"/>
              <w:bottom w:val="nil"/>
              <w:right w:val="nil"/>
            </w:tcBorders>
            <w:tcMar>
              <w:top w:w="128" w:type="dxa"/>
              <w:left w:w="43" w:type="dxa"/>
              <w:bottom w:w="43" w:type="dxa"/>
              <w:right w:w="43" w:type="dxa"/>
            </w:tcMar>
            <w:vAlign w:val="bottom"/>
          </w:tcPr>
          <w:p w14:paraId="5B74CC4B" w14:textId="77777777" w:rsidR="000A2A2B" w:rsidRPr="007C3060" w:rsidRDefault="000A2A2B" w:rsidP="007C3060">
            <w:r w:rsidRPr="007C3060">
              <w:t>440 mill. kroner</w:t>
            </w:r>
          </w:p>
        </w:tc>
      </w:tr>
      <w:tr w:rsidR="004B729E" w:rsidRPr="007C3060" w14:paraId="3F083360"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45AFABF6" w14:textId="77777777" w:rsidR="000A2A2B" w:rsidRPr="007C3060" w:rsidRDefault="000A2A2B" w:rsidP="007C3060"/>
        </w:tc>
        <w:tc>
          <w:tcPr>
            <w:tcW w:w="620" w:type="dxa"/>
            <w:tcBorders>
              <w:top w:val="nil"/>
              <w:left w:val="nil"/>
              <w:bottom w:val="single" w:sz="4" w:space="0" w:color="000000"/>
              <w:right w:val="nil"/>
            </w:tcBorders>
            <w:tcMar>
              <w:top w:w="128" w:type="dxa"/>
              <w:left w:w="43" w:type="dxa"/>
              <w:bottom w:w="43" w:type="dxa"/>
              <w:right w:w="43" w:type="dxa"/>
            </w:tcMar>
            <w:vAlign w:val="bottom"/>
          </w:tcPr>
          <w:p w14:paraId="7F64E843" w14:textId="77777777" w:rsidR="000A2A2B" w:rsidRPr="007C3060" w:rsidRDefault="000A2A2B" w:rsidP="007C3060">
            <w:r w:rsidRPr="007C3060">
              <w:t>48</w:t>
            </w:r>
          </w:p>
        </w:tc>
        <w:tc>
          <w:tcPr>
            <w:tcW w:w="6160" w:type="dxa"/>
            <w:tcBorders>
              <w:top w:val="nil"/>
              <w:left w:val="nil"/>
              <w:bottom w:val="single" w:sz="4" w:space="0" w:color="000000"/>
              <w:right w:val="nil"/>
            </w:tcBorders>
            <w:tcMar>
              <w:top w:w="128" w:type="dxa"/>
              <w:left w:w="43" w:type="dxa"/>
              <w:bottom w:w="43" w:type="dxa"/>
              <w:right w:w="43" w:type="dxa"/>
            </w:tcMar>
            <w:vAlign w:val="bottom"/>
          </w:tcPr>
          <w:p w14:paraId="5D2F41C2" w14:textId="77777777" w:rsidR="000A2A2B" w:rsidRPr="007C3060" w:rsidRDefault="000A2A2B" w:rsidP="007C3060">
            <w:r w:rsidRPr="007C3060">
              <w:t>Fellesfinansierte investeringer, fellesfinansiert andel</w:t>
            </w:r>
          </w:p>
        </w:tc>
        <w:tc>
          <w:tcPr>
            <w:tcW w:w="2140" w:type="dxa"/>
            <w:tcBorders>
              <w:top w:val="nil"/>
              <w:left w:val="nil"/>
              <w:bottom w:val="single" w:sz="4" w:space="0" w:color="000000"/>
              <w:right w:val="nil"/>
            </w:tcBorders>
            <w:tcMar>
              <w:top w:w="128" w:type="dxa"/>
              <w:left w:w="43" w:type="dxa"/>
              <w:bottom w:w="43" w:type="dxa"/>
              <w:right w:w="43" w:type="dxa"/>
            </w:tcMar>
            <w:vAlign w:val="bottom"/>
          </w:tcPr>
          <w:p w14:paraId="78FA8D35" w14:textId="77777777" w:rsidR="000A2A2B" w:rsidRPr="007C3060" w:rsidRDefault="000A2A2B" w:rsidP="007C3060">
            <w:r w:rsidRPr="007C3060">
              <w:t>1 280 mill. kroner</w:t>
            </w:r>
          </w:p>
        </w:tc>
      </w:tr>
    </w:tbl>
    <w:p w14:paraId="13A23C78" w14:textId="77777777" w:rsidR="000A2A2B" w:rsidRPr="007C3060" w:rsidRDefault="000A2A2B" w:rsidP="007C3060">
      <w:pPr>
        <w:pStyle w:val="a-vedtak-del"/>
      </w:pPr>
      <w:r w:rsidRPr="007C3060">
        <w:t>XXXII</w:t>
      </w:r>
    </w:p>
    <w:p w14:paraId="51F693CC" w14:textId="77777777" w:rsidR="000A2A2B" w:rsidRPr="007C3060" w:rsidRDefault="000A2A2B" w:rsidP="007C3060">
      <w:pPr>
        <w:pStyle w:val="a-vedtak-tekst"/>
      </w:pPr>
      <w:r w:rsidRPr="007C3060">
        <w:t>Tilsagnsfullmakt</w:t>
      </w:r>
    </w:p>
    <w:p w14:paraId="7B90C888" w14:textId="77777777" w:rsidR="000A2A2B" w:rsidRPr="007C3060" w:rsidRDefault="000A2A2B" w:rsidP="007C3060">
      <w:r w:rsidRPr="007C3060">
        <w:t>Stortinget samtykker i at Forsvarsdepartementet i 2025 kan gi tilsagn om tilskudd utover gitte bevilgninger, men slik at samlet ramme for nye tilsagn og gammelt ansvar ikke overstiger følgende beløp:</w:t>
      </w:r>
    </w:p>
    <w:p w14:paraId="7C69F7EC" w14:textId="77777777" w:rsidR="000A2A2B" w:rsidRPr="007C3060" w:rsidRDefault="000A2A2B" w:rsidP="007C3060">
      <w:pPr>
        <w:pStyle w:val="Tabellnavn"/>
      </w:pPr>
      <w:r w:rsidRPr="007C3060">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160"/>
        <w:gridCol w:w="2140"/>
      </w:tblGrid>
      <w:tr w:rsidR="004B729E" w:rsidRPr="007C3060" w14:paraId="5A44E414"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5915F1" w14:textId="77777777" w:rsidR="000A2A2B" w:rsidRPr="007C3060" w:rsidRDefault="000A2A2B" w:rsidP="007C3060">
            <w:r w:rsidRPr="007C306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AB861B" w14:textId="77777777" w:rsidR="000A2A2B" w:rsidRPr="007C3060" w:rsidRDefault="000A2A2B" w:rsidP="007C3060">
            <w:r w:rsidRPr="007C3060">
              <w:t>Post</w:t>
            </w:r>
          </w:p>
        </w:tc>
        <w:tc>
          <w:tcPr>
            <w:tcW w:w="6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44A58E" w14:textId="77777777" w:rsidR="000A2A2B" w:rsidRPr="007C3060" w:rsidRDefault="000A2A2B" w:rsidP="007C3060">
            <w:r w:rsidRPr="007C3060">
              <w:t>Betegnelse</w:t>
            </w:r>
          </w:p>
        </w:tc>
        <w:tc>
          <w:tcPr>
            <w:tcW w:w="2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901A11" w14:textId="77777777" w:rsidR="000A2A2B" w:rsidRPr="007C3060" w:rsidRDefault="000A2A2B" w:rsidP="007C3060">
            <w:r w:rsidRPr="007C3060">
              <w:t>Samlet ramme</w:t>
            </w:r>
          </w:p>
        </w:tc>
      </w:tr>
      <w:tr w:rsidR="004B729E" w:rsidRPr="007C3060" w14:paraId="5CC2F4A5"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1FEEAE4E" w14:textId="77777777" w:rsidR="000A2A2B" w:rsidRPr="007C3060" w:rsidRDefault="000A2A2B" w:rsidP="007C3060">
            <w:r w:rsidRPr="007C3060">
              <w:t>1700</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22A1B46A" w14:textId="77777777" w:rsidR="000A2A2B" w:rsidRPr="007C3060" w:rsidRDefault="000A2A2B" w:rsidP="007C3060"/>
        </w:tc>
        <w:tc>
          <w:tcPr>
            <w:tcW w:w="6160" w:type="dxa"/>
            <w:tcBorders>
              <w:top w:val="single" w:sz="4" w:space="0" w:color="000000"/>
              <w:left w:val="nil"/>
              <w:bottom w:val="nil"/>
              <w:right w:val="nil"/>
            </w:tcBorders>
            <w:tcMar>
              <w:top w:w="128" w:type="dxa"/>
              <w:left w:w="43" w:type="dxa"/>
              <w:bottom w:w="43" w:type="dxa"/>
              <w:right w:w="43" w:type="dxa"/>
            </w:tcMar>
            <w:vAlign w:val="bottom"/>
          </w:tcPr>
          <w:p w14:paraId="30930453" w14:textId="77777777" w:rsidR="000A2A2B" w:rsidRPr="007C3060" w:rsidRDefault="000A2A2B" w:rsidP="007C3060">
            <w:r w:rsidRPr="007C3060">
              <w:t>Forsvarsdepartementet</w:t>
            </w:r>
          </w:p>
        </w:tc>
        <w:tc>
          <w:tcPr>
            <w:tcW w:w="2140" w:type="dxa"/>
            <w:tcBorders>
              <w:top w:val="single" w:sz="4" w:space="0" w:color="000000"/>
              <w:left w:val="nil"/>
              <w:bottom w:val="nil"/>
              <w:right w:val="nil"/>
            </w:tcBorders>
            <w:tcMar>
              <w:top w:w="128" w:type="dxa"/>
              <w:left w:w="43" w:type="dxa"/>
              <w:bottom w:w="43" w:type="dxa"/>
              <w:right w:w="43" w:type="dxa"/>
            </w:tcMar>
            <w:vAlign w:val="bottom"/>
          </w:tcPr>
          <w:p w14:paraId="1319B860" w14:textId="77777777" w:rsidR="000A2A2B" w:rsidRPr="007C3060" w:rsidRDefault="000A2A2B" w:rsidP="007C3060"/>
        </w:tc>
      </w:tr>
      <w:tr w:rsidR="004B729E" w:rsidRPr="007C3060" w14:paraId="0196AA78"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3E303981" w14:textId="77777777" w:rsidR="000A2A2B" w:rsidRPr="007C3060" w:rsidRDefault="000A2A2B" w:rsidP="007C3060"/>
        </w:tc>
        <w:tc>
          <w:tcPr>
            <w:tcW w:w="620" w:type="dxa"/>
            <w:tcBorders>
              <w:top w:val="nil"/>
              <w:left w:val="nil"/>
              <w:bottom w:val="single" w:sz="4" w:space="0" w:color="000000"/>
              <w:right w:val="nil"/>
            </w:tcBorders>
            <w:tcMar>
              <w:top w:w="128" w:type="dxa"/>
              <w:left w:w="43" w:type="dxa"/>
              <w:bottom w:w="43" w:type="dxa"/>
              <w:right w:w="43" w:type="dxa"/>
            </w:tcMar>
            <w:vAlign w:val="bottom"/>
          </w:tcPr>
          <w:p w14:paraId="5B1AE25A" w14:textId="77777777" w:rsidR="000A2A2B" w:rsidRPr="007C3060" w:rsidRDefault="000A2A2B" w:rsidP="007C3060">
            <w:r w:rsidRPr="007C3060">
              <w:t>78</w:t>
            </w:r>
          </w:p>
        </w:tc>
        <w:tc>
          <w:tcPr>
            <w:tcW w:w="6160" w:type="dxa"/>
            <w:tcBorders>
              <w:top w:val="nil"/>
              <w:left w:val="nil"/>
              <w:bottom w:val="single" w:sz="4" w:space="0" w:color="000000"/>
              <w:right w:val="nil"/>
            </w:tcBorders>
            <w:tcMar>
              <w:top w:w="128" w:type="dxa"/>
              <w:left w:w="43" w:type="dxa"/>
              <w:bottom w:w="43" w:type="dxa"/>
              <w:right w:w="43" w:type="dxa"/>
            </w:tcMar>
            <w:vAlign w:val="bottom"/>
          </w:tcPr>
          <w:p w14:paraId="316A8464" w14:textId="77777777" w:rsidR="000A2A2B" w:rsidRPr="007C3060" w:rsidRDefault="000A2A2B" w:rsidP="007C3060">
            <w:r w:rsidRPr="007C3060">
              <w:t>Norges tilskudd til NATOs og internasjonale driftsbudsjetter</w:t>
            </w:r>
          </w:p>
        </w:tc>
        <w:tc>
          <w:tcPr>
            <w:tcW w:w="2140" w:type="dxa"/>
            <w:tcBorders>
              <w:top w:val="nil"/>
              <w:left w:val="nil"/>
              <w:bottom w:val="single" w:sz="4" w:space="0" w:color="000000"/>
              <w:right w:val="nil"/>
            </w:tcBorders>
            <w:tcMar>
              <w:top w:w="128" w:type="dxa"/>
              <w:left w:w="43" w:type="dxa"/>
              <w:bottom w:w="43" w:type="dxa"/>
              <w:right w:w="43" w:type="dxa"/>
            </w:tcMar>
            <w:vAlign w:val="bottom"/>
          </w:tcPr>
          <w:p w14:paraId="5E65C72B" w14:textId="77777777" w:rsidR="000A2A2B" w:rsidRPr="007C3060" w:rsidRDefault="000A2A2B" w:rsidP="007C3060">
            <w:r w:rsidRPr="007C3060">
              <w:t>155 mill. kroner</w:t>
            </w:r>
          </w:p>
        </w:tc>
      </w:tr>
    </w:tbl>
    <w:p w14:paraId="55A03E54" w14:textId="77777777" w:rsidR="000A2A2B" w:rsidRPr="007C3060" w:rsidRDefault="000A2A2B" w:rsidP="007C3060">
      <w:pPr>
        <w:pStyle w:val="a-vedtak-del"/>
      </w:pPr>
      <w:r w:rsidRPr="007C3060">
        <w:t>XXXIII</w:t>
      </w:r>
    </w:p>
    <w:p w14:paraId="7F840D8B" w14:textId="77777777" w:rsidR="000A2A2B" w:rsidRPr="007C3060" w:rsidRDefault="000A2A2B" w:rsidP="007C3060">
      <w:pPr>
        <w:pStyle w:val="a-vedtak-tekst"/>
      </w:pPr>
      <w:r w:rsidRPr="007C3060">
        <w:t>Investeringsfullmakt</w:t>
      </w:r>
    </w:p>
    <w:p w14:paraId="08087ABF" w14:textId="77777777" w:rsidR="000A2A2B" w:rsidRPr="007C3060" w:rsidRDefault="000A2A2B" w:rsidP="007C3060">
      <w:r w:rsidRPr="007C3060">
        <w:t>Stortinget samtykker i at Forsvarsdepartementet i 2025 kan starte opp og gjennomføre eiendoms-, bygg- og anleggsprosjekter med en kostnadsramme under 1 000 mill. kroner. Fullmakten inkluderer også til-hørende brukerutstyr i prosjektene.</w:t>
      </w:r>
    </w:p>
    <w:p w14:paraId="48599E91" w14:textId="77777777" w:rsidR="000A2A2B" w:rsidRPr="007C3060" w:rsidRDefault="000A2A2B" w:rsidP="007C3060">
      <w:pPr>
        <w:pStyle w:val="a-vedtak-del"/>
      </w:pPr>
      <w:r w:rsidRPr="007C3060">
        <w:t>XXXIV</w:t>
      </w:r>
    </w:p>
    <w:p w14:paraId="31250ED2" w14:textId="77777777" w:rsidR="000A2A2B" w:rsidRPr="007C3060" w:rsidRDefault="000A2A2B" w:rsidP="007C3060">
      <w:pPr>
        <w:pStyle w:val="a-vedtak-tekst"/>
      </w:pPr>
      <w:r w:rsidRPr="007C3060">
        <w:t>Fullmakt til å pådra staten forpliktelser i investeringsprosjekter</w:t>
      </w:r>
    </w:p>
    <w:p w14:paraId="75B66893" w14:textId="77777777" w:rsidR="000A2A2B" w:rsidRPr="007C3060" w:rsidRDefault="000A2A2B" w:rsidP="007C3060">
      <w:r w:rsidRPr="007C3060">
        <w:t>Stortinget samtykker i at Forsvarsdepartement i 2025 under kap. 1710 Forsvarsbygg og nybygg og nyanlegg, post 01 Driftsutgifter kan bestille og forplikte staten utover budsjettåret i det tidligere godkjente investeringsprosjektet Sikker teknisk infrastruktur innenfor endret kostnadsramme på 3 194 mill. kroner.</w:t>
      </w:r>
    </w:p>
    <w:p w14:paraId="71D6CAE2" w14:textId="77777777" w:rsidR="000A2A2B" w:rsidRPr="007C3060" w:rsidRDefault="000A2A2B" w:rsidP="007C3060">
      <w:r w:rsidRPr="007C3060">
        <w:t xml:space="preserve">Fullmakten gjelder også forpliktelser som inngås i senere budsjettår. Samlede utbetalinger og gjenstående forpliktelser skal til enhver tid holdes innenfor den vedtatte kostnadsrammen for prosjektet. Kostnadsrammen er oppgitt i 2025-kroner. Forsvarsdepartement gis fullmakt til å pris- og </w:t>
      </w:r>
      <w:proofErr w:type="spellStart"/>
      <w:r w:rsidRPr="007C3060">
        <w:t>valutajustere</w:t>
      </w:r>
      <w:proofErr w:type="spellEnd"/>
      <w:r w:rsidRPr="007C3060">
        <w:t xml:space="preserve"> kostnadsrammen i senere år.</w:t>
      </w:r>
    </w:p>
    <w:p w14:paraId="58322720" w14:textId="77777777" w:rsidR="000A2A2B" w:rsidRPr="007C3060" w:rsidRDefault="000A2A2B" w:rsidP="007C3060">
      <w:pPr>
        <w:pStyle w:val="a-vedtak-del"/>
      </w:pPr>
      <w:r w:rsidRPr="007C3060">
        <w:lastRenderedPageBreak/>
        <w:t>XXXV</w:t>
      </w:r>
    </w:p>
    <w:p w14:paraId="1713ED8A" w14:textId="77777777" w:rsidR="000A2A2B" w:rsidRPr="007C3060" w:rsidRDefault="000A2A2B" w:rsidP="007C3060">
      <w:pPr>
        <w:pStyle w:val="a-vedtak-tekst"/>
      </w:pPr>
      <w:r w:rsidRPr="007C3060">
        <w:t>Tilsagnsfullmakt</w:t>
      </w:r>
    </w:p>
    <w:p w14:paraId="728C84B9" w14:textId="77777777" w:rsidR="000A2A2B" w:rsidRPr="007C3060" w:rsidRDefault="000A2A2B" w:rsidP="007C3060">
      <w:r w:rsidRPr="007C3060">
        <w:t>Stortinget samtykker i at Energidepartementet i 2025 kan gi tilsagn utover gitte bevilgninger, men slik at samlet ramme for nye tilsagn og gammelt ansvar ikke overstiger følgende beløp:</w:t>
      </w:r>
    </w:p>
    <w:p w14:paraId="13CC92E3" w14:textId="77777777" w:rsidR="000A2A2B" w:rsidRPr="007C3060" w:rsidRDefault="000A2A2B" w:rsidP="007C3060">
      <w:pPr>
        <w:pStyle w:val="Tabellnavn"/>
      </w:pPr>
      <w:r w:rsidRPr="007C3060">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160"/>
        <w:gridCol w:w="2140"/>
      </w:tblGrid>
      <w:tr w:rsidR="004B729E" w:rsidRPr="007C3060" w14:paraId="70CACD92"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2BD4AD" w14:textId="77777777" w:rsidR="000A2A2B" w:rsidRPr="007C3060" w:rsidRDefault="000A2A2B" w:rsidP="007C3060">
            <w:r w:rsidRPr="007C306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8AABE3" w14:textId="77777777" w:rsidR="000A2A2B" w:rsidRPr="007C3060" w:rsidRDefault="000A2A2B" w:rsidP="007C3060">
            <w:r w:rsidRPr="007C3060">
              <w:t>Post</w:t>
            </w:r>
          </w:p>
        </w:tc>
        <w:tc>
          <w:tcPr>
            <w:tcW w:w="6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F128C3" w14:textId="77777777" w:rsidR="000A2A2B" w:rsidRPr="007C3060" w:rsidRDefault="000A2A2B" w:rsidP="007C3060">
            <w:r w:rsidRPr="007C3060">
              <w:t>Betegnelse</w:t>
            </w:r>
          </w:p>
        </w:tc>
        <w:tc>
          <w:tcPr>
            <w:tcW w:w="2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B5A013" w14:textId="77777777" w:rsidR="000A2A2B" w:rsidRPr="007C3060" w:rsidRDefault="000A2A2B" w:rsidP="007C3060">
            <w:r w:rsidRPr="007C3060">
              <w:t>Samlet ramme</w:t>
            </w:r>
          </w:p>
        </w:tc>
      </w:tr>
      <w:tr w:rsidR="004B729E" w:rsidRPr="007C3060" w14:paraId="36C4DE90"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2F3D3D9F" w14:textId="77777777" w:rsidR="000A2A2B" w:rsidRPr="007C3060" w:rsidRDefault="000A2A2B" w:rsidP="007C3060">
            <w:r w:rsidRPr="007C3060">
              <w:t>1850</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5B71BFAC" w14:textId="77777777" w:rsidR="000A2A2B" w:rsidRPr="007C3060" w:rsidRDefault="000A2A2B" w:rsidP="007C3060"/>
        </w:tc>
        <w:tc>
          <w:tcPr>
            <w:tcW w:w="6160" w:type="dxa"/>
            <w:tcBorders>
              <w:top w:val="single" w:sz="4" w:space="0" w:color="000000"/>
              <w:left w:val="nil"/>
              <w:bottom w:val="nil"/>
              <w:right w:val="nil"/>
            </w:tcBorders>
            <w:tcMar>
              <w:top w:w="128" w:type="dxa"/>
              <w:left w:w="43" w:type="dxa"/>
              <w:bottom w:w="43" w:type="dxa"/>
              <w:right w:w="43" w:type="dxa"/>
            </w:tcMar>
            <w:vAlign w:val="bottom"/>
          </w:tcPr>
          <w:p w14:paraId="35D30B31" w14:textId="77777777" w:rsidR="000A2A2B" w:rsidRPr="007C3060" w:rsidRDefault="000A2A2B" w:rsidP="007C3060">
            <w:r w:rsidRPr="007C3060">
              <w:t>Klima, industri og teknologi</w:t>
            </w:r>
          </w:p>
        </w:tc>
        <w:tc>
          <w:tcPr>
            <w:tcW w:w="2140" w:type="dxa"/>
            <w:tcBorders>
              <w:top w:val="single" w:sz="4" w:space="0" w:color="000000"/>
              <w:left w:val="nil"/>
              <w:bottom w:val="nil"/>
              <w:right w:val="nil"/>
            </w:tcBorders>
            <w:tcMar>
              <w:top w:w="128" w:type="dxa"/>
              <w:left w:w="43" w:type="dxa"/>
              <w:bottom w:w="43" w:type="dxa"/>
              <w:right w:w="43" w:type="dxa"/>
            </w:tcMar>
            <w:vAlign w:val="bottom"/>
          </w:tcPr>
          <w:p w14:paraId="7C612B3E" w14:textId="77777777" w:rsidR="000A2A2B" w:rsidRPr="007C3060" w:rsidRDefault="000A2A2B" w:rsidP="007C3060"/>
        </w:tc>
      </w:tr>
      <w:tr w:rsidR="004B729E" w:rsidRPr="007C3060" w14:paraId="2D75ABE1"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399B09AA" w14:textId="77777777" w:rsidR="000A2A2B" w:rsidRPr="007C3060" w:rsidRDefault="000A2A2B" w:rsidP="007C3060"/>
        </w:tc>
        <w:tc>
          <w:tcPr>
            <w:tcW w:w="620" w:type="dxa"/>
            <w:tcBorders>
              <w:top w:val="nil"/>
              <w:left w:val="nil"/>
              <w:bottom w:val="single" w:sz="4" w:space="0" w:color="000000"/>
              <w:right w:val="nil"/>
            </w:tcBorders>
            <w:tcMar>
              <w:top w:w="128" w:type="dxa"/>
              <w:left w:w="43" w:type="dxa"/>
              <w:bottom w:w="43" w:type="dxa"/>
              <w:right w:w="43" w:type="dxa"/>
            </w:tcMar>
            <w:vAlign w:val="bottom"/>
          </w:tcPr>
          <w:p w14:paraId="0BCE7FF3" w14:textId="77777777" w:rsidR="000A2A2B" w:rsidRPr="007C3060" w:rsidRDefault="000A2A2B" w:rsidP="007C3060">
            <w:r w:rsidRPr="007C3060">
              <w:t>73</w:t>
            </w:r>
          </w:p>
        </w:tc>
        <w:tc>
          <w:tcPr>
            <w:tcW w:w="6160" w:type="dxa"/>
            <w:tcBorders>
              <w:top w:val="nil"/>
              <w:left w:val="nil"/>
              <w:bottom w:val="single" w:sz="4" w:space="0" w:color="000000"/>
              <w:right w:val="nil"/>
            </w:tcBorders>
            <w:tcMar>
              <w:top w:w="128" w:type="dxa"/>
              <w:left w:w="43" w:type="dxa"/>
              <w:bottom w:w="43" w:type="dxa"/>
              <w:right w:w="43" w:type="dxa"/>
            </w:tcMar>
            <w:vAlign w:val="bottom"/>
          </w:tcPr>
          <w:p w14:paraId="0C0F41CE" w14:textId="77777777" w:rsidR="000A2A2B" w:rsidRPr="007C3060" w:rsidRDefault="000A2A2B" w:rsidP="007C3060">
            <w:r w:rsidRPr="007C3060">
              <w:t>Norges forskningsråd</w:t>
            </w:r>
          </w:p>
        </w:tc>
        <w:tc>
          <w:tcPr>
            <w:tcW w:w="2140" w:type="dxa"/>
            <w:tcBorders>
              <w:top w:val="nil"/>
              <w:left w:val="nil"/>
              <w:bottom w:val="single" w:sz="4" w:space="0" w:color="000000"/>
              <w:right w:val="nil"/>
            </w:tcBorders>
            <w:tcMar>
              <w:top w:w="128" w:type="dxa"/>
              <w:left w:w="43" w:type="dxa"/>
              <w:bottom w:w="43" w:type="dxa"/>
              <w:right w:w="43" w:type="dxa"/>
            </w:tcMar>
            <w:vAlign w:val="bottom"/>
          </w:tcPr>
          <w:p w14:paraId="405C3BFA" w14:textId="77777777" w:rsidR="000A2A2B" w:rsidRPr="007C3060" w:rsidRDefault="000A2A2B" w:rsidP="007C3060">
            <w:r w:rsidRPr="007C3060">
              <w:t>4 151 mill. kroner</w:t>
            </w:r>
          </w:p>
        </w:tc>
      </w:tr>
    </w:tbl>
    <w:p w14:paraId="09419A6F" w14:textId="77777777" w:rsidR="000A2A2B" w:rsidRPr="007C3060" w:rsidRDefault="000A2A2B" w:rsidP="007C3060">
      <w:pPr>
        <w:pStyle w:val="Fullmakttit"/>
      </w:pPr>
      <w:r w:rsidRPr="007C3060">
        <w:t>Andre fullmakter</w:t>
      </w:r>
    </w:p>
    <w:p w14:paraId="34CE4C5F" w14:textId="77777777" w:rsidR="000A2A2B" w:rsidRPr="007C3060" w:rsidRDefault="000A2A2B" w:rsidP="007C3060">
      <w:pPr>
        <w:pStyle w:val="a-vedtak-del"/>
      </w:pPr>
      <w:r w:rsidRPr="007C3060">
        <w:t>XXXVI</w:t>
      </w:r>
    </w:p>
    <w:p w14:paraId="6954AD41" w14:textId="77777777" w:rsidR="000A2A2B" w:rsidRPr="007C3060" w:rsidRDefault="000A2A2B" w:rsidP="007C3060">
      <w:pPr>
        <w:pStyle w:val="a-vedtak-tekst"/>
      </w:pPr>
      <w:r w:rsidRPr="007C3060">
        <w:t>Bruk av gjeldsbrev og raskere trekk på gjeldsbrev</w:t>
      </w:r>
    </w:p>
    <w:p w14:paraId="70878129" w14:textId="77777777" w:rsidR="000A2A2B" w:rsidRPr="007C3060" w:rsidRDefault="000A2A2B" w:rsidP="007C3060">
      <w:r w:rsidRPr="007C3060">
        <w:t>Stortinget samtykker i at:</w:t>
      </w:r>
    </w:p>
    <w:p w14:paraId="1972E6FA" w14:textId="77777777" w:rsidR="000A2A2B" w:rsidRPr="007C3060" w:rsidRDefault="000A2A2B" w:rsidP="00954E73">
      <w:pPr>
        <w:pStyle w:val="Nummerertliste"/>
        <w:numPr>
          <w:ilvl w:val="0"/>
          <w:numId w:val="23"/>
        </w:numPr>
      </w:pPr>
      <w:r w:rsidRPr="007C3060">
        <w:t xml:space="preserve">Utenriksdepartementet fra 2025 ikke lenger utsteder gjeldsbrev. I 2025 gjennomføres en overgang fra gjeldsbrev til kontantbidrag for fondene for de fattigste landene. Dette gjelder Verdensbanken (International Development Association, IDA), Afrikabanken (Afrikafondet, </w:t>
      </w:r>
      <w:proofErr w:type="spellStart"/>
      <w:r w:rsidRPr="007C3060">
        <w:t>AfDF</w:t>
      </w:r>
      <w:proofErr w:type="spellEnd"/>
      <w:r w:rsidRPr="007C3060">
        <w:t xml:space="preserve">) og Asiabanken (Asia-fondet, </w:t>
      </w:r>
      <w:proofErr w:type="spellStart"/>
      <w:r w:rsidRPr="007C3060">
        <w:t>AsDF</w:t>
      </w:r>
      <w:proofErr w:type="spellEnd"/>
      <w:r w:rsidRPr="007C3060">
        <w:t>) ved inngåelse av nye, fremtidige forpliktelser til de tre fondene.</w:t>
      </w:r>
    </w:p>
    <w:p w14:paraId="6813B9A5" w14:textId="77777777" w:rsidR="000A2A2B" w:rsidRPr="007C3060" w:rsidRDefault="000A2A2B" w:rsidP="007C3060">
      <w:pPr>
        <w:pStyle w:val="Nummerertliste"/>
      </w:pPr>
      <w:r w:rsidRPr="007C3060">
        <w:t>aktive gjeldsbrev fra tidligere inngåtte forpliktelser kan trekkes helt ned gjennom engangsoperasjoner for hvert enkelt fond.</w:t>
      </w:r>
    </w:p>
    <w:p w14:paraId="57C5CAF4" w14:textId="77777777" w:rsidR="000A2A2B" w:rsidRPr="007C3060" w:rsidRDefault="000A2A2B" w:rsidP="007C3060">
      <w:pPr>
        <w:pStyle w:val="a-vedtak-del"/>
      </w:pPr>
      <w:r w:rsidRPr="007C3060">
        <w:t>XXXVII</w:t>
      </w:r>
    </w:p>
    <w:p w14:paraId="5A07CE94" w14:textId="77777777" w:rsidR="000A2A2B" w:rsidRPr="007C3060" w:rsidRDefault="000A2A2B" w:rsidP="007C3060">
      <w:pPr>
        <w:pStyle w:val="a-vedtak-tekst"/>
      </w:pPr>
      <w:r w:rsidRPr="007C3060">
        <w:t>Deltakelse i kapitaløkninger og fondspåfyllinger i internasjonale banker og fond</w:t>
      </w:r>
    </w:p>
    <w:p w14:paraId="788CD8BB" w14:textId="77777777" w:rsidR="000A2A2B" w:rsidRPr="007C3060" w:rsidRDefault="000A2A2B" w:rsidP="007C3060">
      <w:r w:rsidRPr="007C3060">
        <w:t>Stortinget samtykker i at:</w:t>
      </w:r>
    </w:p>
    <w:p w14:paraId="4E637D63" w14:textId="77777777" w:rsidR="000A2A2B" w:rsidRPr="007C3060" w:rsidRDefault="000A2A2B" w:rsidP="00954E73">
      <w:pPr>
        <w:pStyle w:val="Nummerertliste"/>
        <w:numPr>
          <w:ilvl w:val="0"/>
          <w:numId w:val="24"/>
        </w:numPr>
      </w:pPr>
      <w:r w:rsidRPr="007C3060">
        <w:t>Norge deltar i den 21. giverlandspåfyllingen av Verdensbankens fond for de fattigste landene, IDA21 (International Development Association), med bidrag på til sammen 5 024 mill. kroner for perioden 2026–2028, som også inkluderer bidraget i punkt 2 nedenfor. Til fratrekk ved utbetaling kommer en kontantrabatt på om lag 538 mill. kroner og bidrag til HIPC. Rabatten utløses i forbindelse med at Norge fra og med IDA21 går over til ordinære kontantbidrag over tre år og avslutter ordningen med gjeldsbrev som trekkes ned over ni år. Utbetalingen blir om lag 4 413,5 mill. kroner fordelt på tre like årlige beløp, som belastes kap. 172 Multilaterale finansinstitusjoner og gjeldslette, post 70 Verdens-banken.</w:t>
      </w:r>
    </w:p>
    <w:p w14:paraId="59CE17C1" w14:textId="77777777" w:rsidR="000A2A2B" w:rsidRPr="007C3060" w:rsidRDefault="000A2A2B" w:rsidP="007C3060">
      <w:pPr>
        <w:pStyle w:val="Nummerertliste"/>
      </w:pPr>
      <w:r w:rsidRPr="007C3060">
        <w:t xml:space="preserve">Norge deltar, i forbindelse med den 21. giverlandspåfyllingen av Verdensbankens fond for de fattigste landene, IDA21 (International Development Association) for perioden 2026–2028, i det internasjonale gjeldsletteinitiativet for de fattigste landene, </w:t>
      </w:r>
      <w:proofErr w:type="spellStart"/>
      <w:r w:rsidRPr="007C3060">
        <w:t>Heavily</w:t>
      </w:r>
      <w:proofErr w:type="spellEnd"/>
      <w:r w:rsidRPr="007C3060">
        <w:t xml:space="preserve"> </w:t>
      </w:r>
      <w:proofErr w:type="spellStart"/>
      <w:r w:rsidRPr="007C3060">
        <w:t>Indebted</w:t>
      </w:r>
      <w:proofErr w:type="spellEnd"/>
      <w:r w:rsidRPr="007C3060">
        <w:t xml:space="preserve"> </w:t>
      </w:r>
      <w:proofErr w:type="spellStart"/>
      <w:r w:rsidRPr="007C3060">
        <w:t>Poor</w:t>
      </w:r>
      <w:proofErr w:type="spellEnd"/>
      <w:r w:rsidRPr="007C3060">
        <w:t xml:space="preserve"> </w:t>
      </w:r>
      <w:proofErr w:type="spellStart"/>
      <w:r w:rsidRPr="007C3060">
        <w:t>Countries</w:t>
      </w:r>
      <w:proofErr w:type="spellEnd"/>
      <w:r w:rsidRPr="007C3060">
        <w:t xml:space="preserve"> (HIPC), med et bidrag på 72,64 mill. kroner fordelt på tre like årlige beløp. Utbetalingene belastes kap. 172 Multilaterale finans-institusjoner og gjeldslette, post 73 Gjeldslette.</w:t>
      </w:r>
    </w:p>
    <w:p w14:paraId="52722A51" w14:textId="77777777" w:rsidR="000A2A2B" w:rsidRPr="007C3060" w:rsidRDefault="000A2A2B" w:rsidP="007C3060">
      <w:pPr>
        <w:pStyle w:val="Nummerertliste"/>
      </w:pPr>
      <w:r w:rsidRPr="007C3060">
        <w:lastRenderedPageBreak/>
        <w:t>Norge deltar i den 14. påfyllingen av giverlandsbidraget til Den asiatiske utviklingsbankens fond for de fattigste landene, Asiafondet (ADF-14), med et bidrag på til sammen inntil 248,71 mill. kroner for perioden 2025–2028, utbetalt i fire like årlige beløp. Utbetalingene belastes kap. 172 Multilaterale finans-institusjoner og gjeldslette, post 71 Regionale banker og fond.</w:t>
      </w:r>
    </w:p>
    <w:p w14:paraId="00CE5227" w14:textId="77777777" w:rsidR="000A2A2B" w:rsidRPr="007C3060" w:rsidRDefault="000A2A2B" w:rsidP="007C3060">
      <w:pPr>
        <w:pStyle w:val="Nummerertliste"/>
      </w:pPr>
      <w:r w:rsidRPr="007C3060">
        <w:t>Norge kjøper hybridkapital (kjernebidrag) for 250 mill. kroner i Den internasjonale bank for gjenoppbygging og utvikling (IBRD) i 2025 ved en engangsutbetaling og i henhold til inngått avtale med IBRD.</w:t>
      </w:r>
    </w:p>
    <w:p w14:paraId="063244CA" w14:textId="77777777" w:rsidR="000A2A2B" w:rsidRPr="007C3060" w:rsidRDefault="000A2A2B" w:rsidP="007C3060">
      <w:pPr>
        <w:pStyle w:val="a-vedtak-del"/>
      </w:pPr>
      <w:r w:rsidRPr="007C3060">
        <w:t>XXXVIII</w:t>
      </w:r>
    </w:p>
    <w:p w14:paraId="5185A9B6" w14:textId="77777777" w:rsidR="000A2A2B" w:rsidRPr="007C3060" w:rsidRDefault="000A2A2B" w:rsidP="007C3060">
      <w:pPr>
        <w:pStyle w:val="a-vedtak-tekst"/>
      </w:pPr>
      <w:r w:rsidRPr="007C3060">
        <w:t>Det internasjonale gjeldsletteinitiativet (MDRI)</w:t>
      </w:r>
    </w:p>
    <w:p w14:paraId="0FCC9687" w14:textId="77777777" w:rsidR="000A2A2B" w:rsidRPr="007C3060" w:rsidRDefault="000A2A2B" w:rsidP="007C3060">
      <w:r w:rsidRPr="007C3060">
        <w:t>Stortinget samtykker i at:</w:t>
      </w:r>
    </w:p>
    <w:p w14:paraId="36B76062" w14:textId="77777777" w:rsidR="000A2A2B" w:rsidRPr="007C3060" w:rsidRDefault="000A2A2B" w:rsidP="00954E73">
      <w:pPr>
        <w:pStyle w:val="Nummerertliste"/>
        <w:numPr>
          <w:ilvl w:val="0"/>
          <w:numId w:val="25"/>
        </w:numPr>
      </w:pPr>
      <w:r w:rsidRPr="007C3060">
        <w:t>Norge, samtidig som det inngås bindende avtale om Norges ordinære giverbidrag til IDA21, kan utstede en bindende forpliktelse til IDA for Norges bidrag til Det internasjonale gjeldsletteinitiativet (MDRI) i perioden 2034 til 2036.</w:t>
      </w:r>
    </w:p>
    <w:p w14:paraId="33F950F1" w14:textId="77777777" w:rsidR="000A2A2B" w:rsidRPr="007C3060" w:rsidRDefault="000A2A2B" w:rsidP="007C3060">
      <w:pPr>
        <w:pStyle w:val="Nummerertliste"/>
      </w:pPr>
      <w:r w:rsidRPr="007C3060">
        <w:t>Norge, samtidig som det inngås bindende avtale om Norges giverbidrag til IDA21, deltar i Det multilaterale gjeldsletteinitiativet (MDRI) i perioden 2026 til 2028 med til sammen 798,24 mill. kroner. Utbetalingene belastes kap. 172 Multilaterale finansinstitusjoner og gjeldslette, post 73 Gjeldslette.</w:t>
      </w:r>
    </w:p>
    <w:p w14:paraId="7EA2F002" w14:textId="77777777" w:rsidR="000A2A2B" w:rsidRPr="007C3060" w:rsidRDefault="000A2A2B" w:rsidP="007C3060">
      <w:pPr>
        <w:pStyle w:val="a-vedtak-del"/>
      </w:pPr>
      <w:r w:rsidRPr="007C3060">
        <w:t>XXXIX</w:t>
      </w:r>
    </w:p>
    <w:p w14:paraId="4BDE8159" w14:textId="77777777" w:rsidR="000A2A2B" w:rsidRPr="007C3060" w:rsidRDefault="000A2A2B" w:rsidP="007C3060">
      <w:pPr>
        <w:pStyle w:val="a-vedtak-tekst"/>
      </w:pPr>
      <w:r w:rsidRPr="007C3060">
        <w:t>Festeavtale mellom Norge og Folkerepublikken Kina</w:t>
      </w:r>
    </w:p>
    <w:p w14:paraId="321520A7" w14:textId="77777777" w:rsidR="000A2A2B" w:rsidRPr="007C3060" w:rsidRDefault="000A2A2B" w:rsidP="007C3060">
      <w:r w:rsidRPr="007C3060">
        <w:t xml:space="preserve">Stortinget samtykker i at Utenriksdepartementet i 2025 kan inngå en festeavtale mellom Norge og Folkerepublikken Kina for Norges ambassadeanlegg i Beijing med varighet fra 1. desember 2027 til 1. desember 2097, der det </w:t>
      </w:r>
      <w:proofErr w:type="gramStart"/>
      <w:r w:rsidRPr="007C3060">
        <w:t>fremgår</w:t>
      </w:r>
      <w:proofErr w:type="gramEnd"/>
      <w:r w:rsidRPr="007C3060">
        <w:t xml:space="preserve"> at hele festeavgiften på 248 mill. kinesiske </w:t>
      </w:r>
      <w:proofErr w:type="spellStart"/>
      <w:r w:rsidRPr="007C3060">
        <w:t>renminbi</w:t>
      </w:r>
      <w:proofErr w:type="spellEnd"/>
      <w:r w:rsidRPr="007C3060">
        <w:t xml:space="preserve"> (RMB) (tilsvarende om lag 353 mill. kroner) for avtaleperioden på 70 år skal utbetales som et engangsbeløp i 2027.</w:t>
      </w:r>
    </w:p>
    <w:p w14:paraId="6F928107" w14:textId="77777777" w:rsidR="000A2A2B" w:rsidRPr="007C3060" w:rsidRDefault="000A2A2B" w:rsidP="007C3060">
      <w:pPr>
        <w:pStyle w:val="a-vedtak-del"/>
      </w:pPr>
      <w:r w:rsidRPr="007C3060">
        <w:t>XL</w:t>
      </w:r>
    </w:p>
    <w:p w14:paraId="626CEBFE" w14:textId="77777777" w:rsidR="000A2A2B" w:rsidRPr="007C3060" w:rsidRDefault="000A2A2B" w:rsidP="007C3060">
      <w:pPr>
        <w:pStyle w:val="a-vedtak-tekst"/>
      </w:pPr>
      <w:r w:rsidRPr="007C3060">
        <w:t>Stikkordsfullmakt</w:t>
      </w:r>
    </w:p>
    <w:p w14:paraId="07A65242" w14:textId="77777777" w:rsidR="000A2A2B" w:rsidRPr="007C3060" w:rsidRDefault="000A2A2B" w:rsidP="007C3060">
      <w:r w:rsidRPr="007C3060">
        <w:t>Stortinget samtykker i at Utenriksdepartementet i 2025 kan tilføre stikkordet «kan overføres» på kap. 118 Utenrikspolitiske satsinger, post 78 Initiativ om humanitære konsekvenser av kjernevåpen.</w:t>
      </w:r>
    </w:p>
    <w:p w14:paraId="12AE5F6F" w14:textId="77777777" w:rsidR="000A2A2B" w:rsidRPr="007C3060" w:rsidRDefault="000A2A2B" w:rsidP="007C3060">
      <w:pPr>
        <w:pStyle w:val="a-vedtak-del"/>
      </w:pPr>
      <w:r w:rsidRPr="007C3060">
        <w:t>XLI</w:t>
      </w:r>
    </w:p>
    <w:p w14:paraId="468FD44E" w14:textId="77777777" w:rsidR="000A2A2B" w:rsidRPr="007C3060" w:rsidRDefault="000A2A2B" w:rsidP="007C3060">
      <w:pPr>
        <w:pStyle w:val="a-vedtak-tekst"/>
      </w:pPr>
      <w:r w:rsidRPr="007C3060">
        <w:t>Justering av kostnadsrammen for midler til utstyr og inventar i Nytt vikingtidsmuseum</w:t>
      </w:r>
    </w:p>
    <w:p w14:paraId="16D089E8" w14:textId="77777777" w:rsidR="000A2A2B" w:rsidRPr="007C3060" w:rsidRDefault="000A2A2B" w:rsidP="007C3060">
      <w:r w:rsidRPr="007C3060">
        <w:t>Stortinget samtykker i at Kunnskapsdepartementet kan justere kostnadsrammen for midler til utstyr og inventar i Nytt vikingtidsmuseum i 2025 og senere år.</w:t>
      </w:r>
    </w:p>
    <w:p w14:paraId="59474D64" w14:textId="77777777" w:rsidR="000A2A2B" w:rsidRPr="007C3060" w:rsidRDefault="000A2A2B" w:rsidP="007C3060">
      <w:pPr>
        <w:pStyle w:val="a-vedtak-del"/>
      </w:pPr>
      <w:r w:rsidRPr="007C3060">
        <w:lastRenderedPageBreak/>
        <w:t>XLII</w:t>
      </w:r>
    </w:p>
    <w:p w14:paraId="1F70D371" w14:textId="77777777" w:rsidR="000A2A2B" w:rsidRPr="007C3060" w:rsidRDefault="000A2A2B" w:rsidP="007C3060">
      <w:pPr>
        <w:pStyle w:val="a-vedtak-tekst"/>
      </w:pPr>
      <w:r w:rsidRPr="007C3060">
        <w:t>Husbankens låneramme</w:t>
      </w:r>
    </w:p>
    <w:p w14:paraId="466C4EEC" w14:textId="77777777" w:rsidR="000A2A2B" w:rsidRPr="007C3060" w:rsidRDefault="000A2A2B" w:rsidP="007C3060">
      <w:r w:rsidRPr="007C3060">
        <w:t>Stortinget samtykker i at Husbanken i 2025 kan gi tilsagn om lån for 33 mrd. kroner. Lånene vil bli utbetalt i 2025 og senere år.</w:t>
      </w:r>
    </w:p>
    <w:p w14:paraId="441C8867" w14:textId="77777777" w:rsidR="000A2A2B" w:rsidRPr="007C3060" w:rsidRDefault="000A2A2B" w:rsidP="007C3060">
      <w:pPr>
        <w:pStyle w:val="a-vedtak-del"/>
      </w:pPr>
      <w:r w:rsidRPr="007C3060">
        <w:t>XLIII</w:t>
      </w:r>
    </w:p>
    <w:p w14:paraId="15A9BB00" w14:textId="77777777" w:rsidR="000A2A2B" w:rsidRPr="007C3060" w:rsidRDefault="000A2A2B" w:rsidP="007C3060">
      <w:pPr>
        <w:pStyle w:val="a-vedtak-tekst"/>
      </w:pPr>
      <w:r w:rsidRPr="007C3060">
        <w:t>Videreføring av EASP-avtalen</w:t>
      </w:r>
    </w:p>
    <w:p w14:paraId="2B77B1D6" w14:textId="77777777" w:rsidR="000A2A2B" w:rsidRPr="007C3060" w:rsidRDefault="000A2A2B" w:rsidP="007C3060">
      <w:r w:rsidRPr="007C3060">
        <w:t xml:space="preserve">Stortinget samtykker i at Norge deltar i </w:t>
      </w:r>
      <w:proofErr w:type="spellStart"/>
      <w:r w:rsidRPr="007C3060">
        <w:t>Esrange</w:t>
      </w:r>
      <w:proofErr w:type="spellEnd"/>
      <w:r w:rsidRPr="007C3060">
        <w:t xml:space="preserve"> Andøya Special Project (EASP) for en ny femårsperiode fra 2026 til 2030.</w:t>
      </w:r>
    </w:p>
    <w:p w14:paraId="29EE397B" w14:textId="77777777" w:rsidR="000A2A2B" w:rsidRPr="007C3060" w:rsidRDefault="000A2A2B" w:rsidP="007C3060">
      <w:pPr>
        <w:pStyle w:val="a-vedtak-del"/>
      </w:pPr>
      <w:r w:rsidRPr="007C3060">
        <w:t>XLIV</w:t>
      </w:r>
    </w:p>
    <w:p w14:paraId="331FFC40" w14:textId="77777777" w:rsidR="000A2A2B" w:rsidRPr="007C3060" w:rsidRDefault="000A2A2B" w:rsidP="007C3060">
      <w:pPr>
        <w:pStyle w:val="a-vedtak-tekst"/>
      </w:pPr>
      <w:r w:rsidRPr="007C3060">
        <w:t>Salgsfullmakt</w:t>
      </w:r>
    </w:p>
    <w:p w14:paraId="6D1CF18C" w14:textId="77777777" w:rsidR="000A2A2B" w:rsidRPr="007C3060" w:rsidRDefault="000A2A2B" w:rsidP="007C3060">
      <w:r w:rsidRPr="007C3060">
        <w:t>Stortinget samtykker i at Nærings- og fiskeridepartementet kan selge statens aksjer i Eksportfinans ASA til DNB Bank ASA for totalt 749,8 mill. kroner.</w:t>
      </w:r>
    </w:p>
    <w:p w14:paraId="0A6B80F2" w14:textId="77777777" w:rsidR="000A2A2B" w:rsidRPr="007C3060" w:rsidRDefault="000A2A2B" w:rsidP="007C3060">
      <w:pPr>
        <w:pStyle w:val="a-vedtak-del"/>
      </w:pPr>
      <w:r w:rsidRPr="007C3060">
        <w:t>XLV</w:t>
      </w:r>
    </w:p>
    <w:p w14:paraId="593E8BC5" w14:textId="77777777" w:rsidR="000A2A2B" w:rsidRPr="007C3060" w:rsidRDefault="000A2A2B" w:rsidP="007C3060">
      <w:pPr>
        <w:pStyle w:val="a-vedtak-tekst"/>
      </w:pPr>
      <w:r w:rsidRPr="007C3060">
        <w:t xml:space="preserve">Fullmakt til avvikling av </w:t>
      </w:r>
      <w:proofErr w:type="spellStart"/>
      <w:r w:rsidRPr="007C3060">
        <w:t>Bjørnøen</w:t>
      </w:r>
      <w:proofErr w:type="spellEnd"/>
      <w:r w:rsidRPr="007C3060">
        <w:t xml:space="preserve"> AS</w:t>
      </w:r>
    </w:p>
    <w:p w14:paraId="4F84E5D3" w14:textId="77777777" w:rsidR="000A2A2B" w:rsidRPr="007C3060" w:rsidRDefault="000A2A2B" w:rsidP="007C3060">
      <w:r w:rsidRPr="007C3060">
        <w:t xml:space="preserve">Stortinget samtykker i at Klima- og miljødepartementet kan avvikle </w:t>
      </w:r>
      <w:proofErr w:type="spellStart"/>
      <w:r w:rsidRPr="007C3060">
        <w:t>Bjørnøen</w:t>
      </w:r>
      <w:proofErr w:type="spellEnd"/>
      <w:r w:rsidRPr="007C3060">
        <w:t xml:space="preserve"> AS.</w:t>
      </w:r>
    </w:p>
    <w:p w14:paraId="3871A0A7" w14:textId="77777777" w:rsidR="000A2A2B" w:rsidRPr="007C3060" w:rsidRDefault="000A2A2B" w:rsidP="007C3060">
      <w:pPr>
        <w:pStyle w:val="a-vedtak-del"/>
      </w:pPr>
      <w:r w:rsidRPr="007C3060">
        <w:t>XLVI</w:t>
      </w:r>
    </w:p>
    <w:p w14:paraId="7A2CE7B4" w14:textId="77777777" w:rsidR="000A2A2B" w:rsidRPr="007C3060" w:rsidRDefault="000A2A2B" w:rsidP="007C3060">
      <w:pPr>
        <w:pStyle w:val="a-vedtak-tekst"/>
      </w:pPr>
      <w:r w:rsidRPr="007C3060">
        <w:t>Fullmakt til overdragelse av eiendom</w:t>
      </w:r>
    </w:p>
    <w:p w14:paraId="27C1D7B5" w14:textId="77777777" w:rsidR="000A2A2B" w:rsidRPr="007C3060" w:rsidRDefault="000A2A2B" w:rsidP="007C3060">
      <w:r w:rsidRPr="007C3060">
        <w:t>Stortinget samtykker i at Landbruks- og matdepartementet kan overdra Syverud gård i Ås kommune til Norges miljø- og biovitenskapelige universitet (NMBU) uten vederlag.</w:t>
      </w:r>
    </w:p>
    <w:p w14:paraId="527D0335" w14:textId="77777777" w:rsidR="000A2A2B" w:rsidRPr="007C3060" w:rsidRDefault="000A2A2B" w:rsidP="007C3060">
      <w:pPr>
        <w:pStyle w:val="a-vedtak-del"/>
      </w:pPr>
      <w:r w:rsidRPr="007C3060">
        <w:t>XLVII</w:t>
      </w:r>
    </w:p>
    <w:p w14:paraId="20F0FAE5" w14:textId="77777777" w:rsidR="000A2A2B" w:rsidRPr="007C3060" w:rsidRDefault="000A2A2B" w:rsidP="007C3060">
      <w:pPr>
        <w:pStyle w:val="a-vedtak-tekst"/>
      </w:pPr>
      <w:r w:rsidRPr="007C3060">
        <w:t>Fullmakt til å aktivere i statens kapitalregnskap</w:t>
      </w:r>
    </w:p>
    <w:p w14:paraId="57D5F995" w14:textId="77777777" w:rsidR="000A2A2B" w:rsidRPr="007C3060" w:rsidRDefault="000A2A2B" w:rsidP="007C3060">
      <w:r w:rsidRPr="007C3060">
        <w:t>Stortinget samtykker i at følgende aktiveres i statens kapitalregnskap:</w:t>
      </w:r>
    </w:p>
    <w:p w14:paraId="46D4B387" w14:textId="77777777" w:rsidR="000A2A2B" w:rsidRPr="007C3060" w:rsidRDefault="000A2A2B" w:rsidP="00954E73">
      <w:pPr>
        <w:pStyle w:val="Nummerertliste"/>
        <w:numPr>
          <w:ilvl w:val="0"/>
          <w:numId w:val="26"/>
        </w:numPr>
      </w:pPr>
      <w:r w:rsidRPr="007C3060">
        <w:t>lån bevilget på kap. 1358 Norske tog AS, post 70 Lån</w:t>
      </w:r>
    </w:p>
    <w:p w14:paraId="68F8192F" w14:textId="77777777" w:rsidR="000A2A2B" w:rsidRPr="007C3060" w:rsidRDefault="000A2A2B" w:rsidP="007C3060">
      <w:pPr>
        <w:pStyle w:val="Nummerertliste"/>
      </w:pPr>
      <w:r w:rsidRPr="007C3060">
        <w:t>tilskudd til egenkapital bevilget på kap. 1358 Norske tog AS, post 71 Egenkapitaltilskudd</w:t>
      </w:r>
    </w:p>
    <w:p w14:paraId="10EB036F" w14:textId="77777777" w:rsidR="000A2A2B" w:rsidRPr="007C3060" w:rsidRDefault="000A2A2B" w:rsidP="007C3060">
      <w:pPr>
        <w:pStyle w:val="Nummerertliste"/>
      </w:pPr>
      <w:r w:rsidRPr="007C3060">
        <w:t>driftskreditt bevilget på kap. 1358 Norske tog AS, post 86 Driftskreditt.</w:t>
      </w:r>
    </w:p>
    <w:p w14:paraId="22EF6742" w14:textId="77777777" w:rsidR="000A2A2B" w:rsidRPr="007C3060" w:rsidRDefault="000A2A2B" w:rsidP="007C3060">
      <w:pPr>
        <w:pStyle w:val="a-vedtak-del"/>
      </w:pPr>
      <w:r w:rsidRPr="007C3060">
        <w:t>XLVIII</w:t>
      </w:r>
    </w:p>
    <w:p w14:paraId="55590FB7" w14:textId="77777777" w:rsidR="000A2A2B" w:rsidRPr="007C3060" w:rsidRDefault="000A2A2B" w:rsidP="007C3060">
      <w:pPr>
        <w:pStyle w:val="a-vedtak-tekst"/>
      </w:pPr>
      <w:r w:rsidRPr="007C3060">
        <w:t>Økt kostnadsramme for NTNU Campussamling</w:t>
      </w:r>
    </w:p>
    <w:p w14:paraId="54BCB6EC" w14:textId="77777777" w:rsidR="000A2A2B" w:rsidRPr="007C3060" w:rsidRDefault="000A2A2B" w:rsidP="007C3060">
      <w:r w:rsidRPr="007C3060">
        <w:t>Stortinget samtykker i at Digitaliserings- og forvaltningsdepartementet kan justere kostnadsrammen for byggeprosjektet NTNU Campussamling til 7 934 mill. kroner, prisnivå per 1. juli 2025.</w:t>
      </w:r>
    </w:p>
    <w:p w14:paraId="66C25499" w14:textId="77777777" w:rsidR="000A2A2B" w:rsidRPr="007C3060" w:rsidRDefault="000A2A2B" w:rsidP="007C3060">
      <w:pPr>
        <w:pStyle w:val="a-vedtak-del"/>
      </w:pPr>
      <w:r w:rsidRPr="007C3060">
        <w:lastRenderedPageBreak/>
        <w:t>XLIX</w:t>
      </w:r>
    </w:p>
    <w:p w14:paraId="48345BC1" w14:textId="77777777" w:rsidR="000A2A2B" w:rsidRPr="007C3060" w:rsidRDefault="000A2A2B" w:rsidP="007C3060">
      <w:pPr>
        <w:pStyle w:val="a-vedtak-tekst"/>
      </w:pPr>
      <w:r w:rsidRPr="007C3060">
        <w:t>Utbetaling av tilskudd</w:t>
      </w:r>
    </w:p>
    <w:p w14:paraId="1BB0E3B7" w14:textId="77777777" w:rsidR="000A2A2B" w:rsidRPr="007C3060" w:rsidRDefault="000A2A2B" w:rsidP="007C3060">
      <w:r w:rsidRPr="007C3060">
        <w:t>Stortinget samtykker i at Forsvarsdepartementet i 2025 får unntak fra forutsetningene i stortingsvedtak av 8. november 1984 om utbetaling av gitte bevilgninger på følgende måte:</w:t>
      </w:r>
    </w:p>
    <w:p w14:paraId="6C1CACD5" w14:textId="77777777" w:rsidR="000A2A2B" w:rsidRPr="007C3060" w:rsidRDefault="000A2A2B" w:rsidP="007C3060">
      <w:r w:rsidRPr="007C3060">
        <w:t xml:space="preserve">Utbetalinger av tilskudd i forbindelse med den militære støtten til Ukraina gjennom Nansen-programmet kan foretas når dette er </w:t>
      </w:r>
      <w:proofErr w:type="gramStart"/>
      <w:r w:rsidRPr="007C3060">
        <w:t>påkrevd</w:t>
      </w:r>
      <w:proofErr w:type="gramEnd"/>
      <w:r w:rsidRPr="007C3060">
        <w:t xml:space="preserve"> for å gjennomføre nødvendige donasjoner av materiell, kapasitet og -tjenester til støtte for Ukraina, i henhold til avtale eller regelverk for den enkelte donasjon, fond, eller finansieringsmekanisme.</w:t>
      </w:r>
    </w:p>
    <w:p w14:paraId="231F60EA" w14:textId="77777777" w:rsidR="000A2A2B" w:rsidRPr="007C3060" w:rsidRDefault="000A2A2B" w:rsidP="007C3060">
      <w:pPr>
        <w:pStyle w:val="a-vedtak-del"/>
      </w:pPr>
      <w:r w:rsidRPr="007C3060">
        <w:t>L</w:t>
      </w:r>
    </w:p>
    <w:p w14:paraId="05D5BC77" w14:textId="77777777" w:rsidR="000A2A2B" w:rsidRPr="007C3060" w:rsidRDefault="000A2A2B" w:rsidP="007C3060">
      <w:pPr>
        <w:pStyle w:val="a-vedtak-tekst"/>
      </w:pPr>
      <w:r w:rsidRPr="007C3060">
        <w:t>Fastsettelse av Norgespris</w:t>
      </w:r>
    </w:p>
    <w:p w14:paraId="73ABD155" w14:textId="77777777" w:rsidR="000A2A2B" w:rsidRPr="007C3060" w:rsidRDefault="000A2A2B" w:rsidP="007C3060">
      <w:r w:rsidRPr="007C3060">
        <w:t>Stortinget samtykker i at Energidepartementet i 2025 kan fastsette en Norgespris for strøm og fjernvarme for perioden 1. oktober 2025 til og med 31. desember 2026 på 40 øre/kWh eksklusiv avgifter.</w:t>
      </w:r>
    </w:p>
    <w:p w14:paraId="218A9B3F" w14:textId="77777777" w:rsidR="000A2A2B" w:rsidRPr="007C3060" w:rsidRDefault="000A2A2B" w:rsidP="007C3060">
      <w:pPr>
        <w:pStyle w:val="a-vedtak-del"/>
      </w:pPr>
      <w:r w:rsidRPr="007C3060">
        <w:t>LI</w:t>
      </w:r>
    </w:p>
    <w:p w14:paraId="5D7292FB" w14:textId="77777777" w:rsidR="000A2A2B" w:rsidRPr="007C3060" w:rsidRDefault="000A2A2B" w:rsidP="007C3060">
      <w:pPr>
        <w:pStyle w:val="a-vedtak-tekst"/>
      </w:pPr>
      <w:r w:rsidRPr="007C3060">
        <w:t>Oppgjørsordning og nettoføring av Norgespris</w:t>
      </w:r>
    </w:p>
    <w:p w14:paraId="0F7D91E3" w14:textId="77777777" w:rsidR="000A2A2B" w:rsidRPr="007C3060" w:rsidRDefault="000A2A2B" w:rsidP="007C3060">
      <w:r w:rsidRPr="007C3060">
        <w:t>Stortinget samtykker i at Energidepartementet i 2025 kan fastsette en oppgjørsordning for prissikring av Norgespris og nettoføre utgifter og inntekter for ordningene over kap. 1820 Norges vassdrags- og energidirektorat, post 77 Norgespris for strøm og post 78 Norgespris for fjernvarme.</w:t>
      </w:r>
    </w:p>
    <w:p w14:paraId="5F5257C0" w14:textId="77777777" w:rsidR="000A2A2B" w:rsidRPr="007C3060" w:rsidRDefault="000A2A2B" w:rsidP="007C3060">
      <w:pPr>
        <w:pStyle w:val="a-vedtak-del"/>
      </w:pPr>
      <w:r w:rsidRPr="007C3060">
        <w:t>LII</w:t>
      </w:r>
    </w:p>
    <w:p w14:paraId="74FD59FB" w14:textId="77777777" w:rsidR="000A2A2B" w:rsidRPr="007C3060" w:rsidRDefault="000A2A2B" w:rsidP="007C3060">
      <w:pPr>
        <w:pStyle w:val="a-vedtak-tekst"/>
      </w:pPr>
      <w:r w:rsidRPr="007C3060">
        <w:t>Stikkordsfullmakt og fullmakt til å utgiftsføre strømstønad for fjernvarme uten bevilgning</w:t>
      </w:r>
    </w:p>
    <w:p w14:paraId="3671EE57" w14:textId="77777777" w:rsidR="000A2A2B" w:rsidRPr="007C3060" w:rsidRDefault="000A2A2B" w:rsidP="007C3060">
      <w:r w:rsidRPr="007C3060">
        <w:t>Stortinget samtykker i at Energidepartementet i 2025 kan:</w:t>
      </w:r>
    </w:p>
    <w:p w14:paraId="4BD158B2" w14:textId="77777777" w:rsidR="000A2A2B" w:rsidRPr="007C3060" w:rsidRDefault="000A2A2B" w:rsidP="00954E73">
      <w:pPr>
        <w:pStyle w:val="Nummerertliste"/>
        <w:numPr>
          <w:ilvl w:val="0"/>
          <w:numId w:val="27"/>
        </w:numPr>
      </w:pPr>
      <w:r w:rsidRPr="007C3060">
        <w:t>utgiftsføre uten bevilgning utbetaling av strømstønad til fjernvarme under kap. 1820, post 79 Strøm-stønad for fjernvarme.</w:t>
      </w:r>
    </w:p>
    <w:p w14:paraId="39447D61" w14:textId="77777777" w:rsidR="000A2A2B" w:rsidRPr="007C3060" w:rsidRDefault="000A2A2B" w:rsidP="007C3060">
      <w:pPr>
        <w:pStyle w:val="Nummerertliste"/>
      </w:pPr>
      <w:r w:rsidRPr="007C3060">
        <w:t>tilføye stikkordet «overslagsbevilgning» under kap. 1820, post 79 Strømstønad for fjernvarme.</w:t>
      </w:r>
    </w:p>
    <w:p w14:paraId="138ACE7A" w14:textId="77777777" w:rsidR="000A2A2B" w:rsidRDefault="000A2A2B" w:rsidP="007C3060"/>
    <w:p w14:paraId="68816499" w14:textId="6C19B025" w:rsidR="00954E73" w:rsidRPr="00954E73" w:rsidRDefault="00954E73" w:rsidP="00954E73">
      <w:pPr>
        <w:pStyle w:val="Overskrift1"/>
        <w:numPr>
          <w:ilvl w:val="0"/>
          <w:numId w:val="28"/>
        </w:numPr>
        <w:rPr>
          <w:color w:val="EE0000"/>
        </w:rPr>
      </w:pPr>
      <w:r w:rsidRPr="00954E73">
        <w:rPr>
          <w:color w:val="EE0000"/>
        </w:rPr>
        <w:t>[</w:t>
      </w:r>
      <w:proofErr w:type="spellStart"/>
      <w:r w:rsidRPr="00954E73">
        <w:rPr>
          <w:color w:val="EE0000"/>
        </w:rPr>
        <w:t>Vedleggsnr</w:t>
      </w:r>
      <w:proofErr w:type="spellEnd"/>
      <w:r w:rsidRPr="00954E73">
        <w:rPr>
          <w:color w:val="EE0000"/>
        </w:rPr>
        <w:t>. Resett]</w:t>
      </w:r>
    </w:p>
    <w:p w14:paraId="4F1FE8CC" w14:textId="56F8ADA0" w:rsidR="000A2A2B" w:rsidRPr="007C3060" w:rsidRDefault="000A2A2B" w:rsidP="007C3060">
      <w:pPr>
        <w:pStyle w:val="vedlegg-nr"/>
      </w:pPr>
    </w:p>
    <w:p w14:paraId="1632C915" w14:textId="77777777" w:rsidR="000A2A2B" w:rsidRPr="007C3060" w:rsidRDefault="000A2A2B" w:rsidP="007C3060">
      <w:pPr>
        <w:pStyle w:val="vedlegg-tit"/>
      </w:pPr>
      <w:r w:rsidRPr="007C3060">
        <w:t>Endringer etter saldert budsjett, utgifter</w:t>
      </w:r>
    </w:p>
    <w:p w14:paraId="3558DE7B" w14:textId="77777777" w:rsidR="000A2A2B" w:rsidRPr="007C3060" w:rsidRDefault="000A2A2B" w:rsidP="007C3060">
      <w:pPr>
        <w:pStyle w:val="Tabellnavn"/>
      </w:pPr>
      <w:r w:rsidRPr="007C3060">
        <w:t>07N1xt2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80"/>
        <w:gridCol w:w="540"/>
        <w:gridCol w:w="4000"/>
        <w:gridCol w:w="1160"/>
        <w:gridCol w:w="1080"/>
        <w:gridCol w:w="1280"/>
        <w:gridCol w:w="1160"/>
      </w:tblGrid>
      <w:tr w:rsidR="004B729E" w:rsidRPr="007C3060" w14:paraId="6C88B864" w14:textId="77777777">
        <w:trPr>
          <w:trHeight w:val="360"/>
        </w:trPr>
        <w:tc>
          <w:tcPr>
            <w:tcW w:w="580" w:type="dxa"/>
            <w:tcBorders>
              <w:top w:val="nil"/>
              <w:left w:val="nil"/>
              <w:bottom w:val="nil"/>
              <w:right w:val="nil"/>
            </w:tcBorders>
            <w:tcMar>
              <w:top w:w="128" w:type="dxa"/>
              <w:left w:w="43" w:type="dxa"/>
              <w:bottom w:w="43" w:type="dxa"/>
              <w:right w:w="43" w:type="dxa"/>
            </w:tcMar>
          </w:tcPr>
          <w:p w14:paraId="2D5BE2D6" w14:textId="77777777" w:rsidR="000A2A2B" w:rsidRPr="007C3060" w:rsidRDefault="000A2A2B" w:rsidP="007C3060"/>
        </w:tc>
        <w:tc>
          <w:tcPr>
            <w:tcW w:w="540" w:type="dxa"/>
            <w:tcBorders>
              <w:top w:val="nil"/>
              <w:left w:val="nil"/>
              <w:bottom w:val="nil"/>
              <w:right w:val="nil"/>
            </w:tcBorders>
            <w:tcMar>
              <w:top w:w="128" w:type="dxa"/>
              <w:left w:w="43" w:type="dxa"/>
              <w:bottom w:w="43" w:type="dxa"/>
              <w:right w:w="123" w:type="dxa"/>
            </w:tcMar>
            <w:vAlign w:val="bottom"/>
          </w:tcPr>
          <w:p w14:paraId="3919F087" w14:textId="77777777" w:rsidR="000A2A2B" w:rsidRPr="007C3060" w:rsidRDefault="000A2A2B" w:rsidP="007C3060"/>
        </w:tc>
        <w:tc>
          <w:tcPr>
            <w:tcW w:w="4000" w:type="dxa"/>
            <w:tcBorders>
              <w:top w:val="nil"/>
              <w:left w:val="nil"/>
              <w:bottom w:val="nil"/>
              <w:right w:val="nil"/>
            </w:tcBorders>
            <w:tcMar>
              <w:top w:w="128" w:type="dxa"/>
              <w:left w:w="43" w:type="dxa"/>
              <w:bottom w:w="43" w:type="dxa"/>
              <w:right w:w="43" w:type="dxa"/>
            </w:tcMar>
            <w:vAlign w:val="bottom"/>
          </w:tcPr>
          <w:p w14:paraId="332D3B24" w14:textId="77777777" w:rsidR="000A2A2B" w:rsidRPr="007C3060" w:rsidRDefault="000A2A2B" w:rsidP="007C3060"/>
        </w:tc>
        <w:tc>
          <w:tcPr>
            <w:tcW w:w="1160" w:type="dxa"/>
            <w:tcBorders>
              <w:top w:val="nil"/>
              <w:left w:val="nil"/>
              <w:bottom w:val="nil"/>
              <w:right w:val="nil"/>
            </w:tcBorders>
            <w:tcMar>
              <w:top w:w="128" w:type="dxa"/>
              <w:left w:w="43" w:type="dxa"/>
              <w:bottom w:w="43" w:type="dxa"/>
              <w:right w:w="43" w:type="dxa"/>
            </w:tcMar>
            <w:vAlign w:val="bottom"/>
          </w:tcPr>
          <w:p w14:paraId="6942B495" w14:textId="77777777" w:rsidR="000A2A2B" w:rsidRPr="007C3060" w:rsidRDefault="000A2A2B" w:rsidP="007C3060"/>
        </w:tc>
        <w:tc>
          <w:tcPr>
            <w:tcW w:w="1080" w:type="dxa"/>
            <w:tcBorders>
              <w:top w:val="nil"/>
              <w:left w:val="nil"/>
              <w:bottom w:val="nil"/>
              <w:right w:val="nil"/>
            </w:tcBorders>
            <w:tcMar>
              <w:top w:w="128" w:type="dxa"/>
              <w:left w:w="43" w:type="dxa"/>
              <w:bottom w:w="43" w:type="dxa"/>
              <w:right w:w="43" w:type="dxa"/>
            </w:tcMar>
            <w:vAlign w:val="bottom"/>
          </w:tcPr>
          <w:p w14:paraId="3F16B689" w14:textId="77777777" w:rsidR="000A2A2B" w:rsidRPr="007C3060" w:rsidRDefault="000A2A2B" w:rsidP="007C3060"/>
        </w:tc>
        <w:tc>
          <w:tcPr>
            <w:tcW w:w="1280" w:type="dxa"/>
            <w:tcBorders>
              <w:top w:val="nil"/>
              <w:left w:val="nil"/>
              <w:bottom w:val="nil"/>
              <w:right w:val="nil"/>
            </w:tcBorders>
            <w:tcMar>
              <w:top w:w="128" w:type="dxa"/>
              <w:left w:w="43" w:type="dxa"/>
              <w:bottom w:w="43" w:type="dxa"/>
              <w:right w:w="43" w:type="dxa"/>
            </w:tcMar>
            <w:vAlign w:val="bottom"/>
          </w:tcPr>
          <w:p w14:paraId="656569A7" w14:textId="77777777" w:rsidR="000A2A2B" w:rsidRPr="007C3060" w:rsidRDefault="000A2A2B" w:rsidP="007C3060"/>
        </w:tc>
        <w:tc>
          <w:tcPr>
            <w:tcW w:w="1160" w:type="dxa"/>
            <w:tcBorders>
              <w:top w:val="nil"/>
              <w:left w:val="nil"/>
              <w:bottom w:val="nil"/>
              <w:right w:val="nil"/>
            </w:tcBorders>
            <w:tcMar>
              <w:top w:w="128" w:type="dxa"/>
              <w:left w:w="43" w:type="dxa"/>
              <w:bottom w:w="43" w:type="dxa"/>
              <w:right w:w="43" w:type="dxa"/>
            </w:tcMar>
            <w:vAlign w:val="bottom"/>
          </w:tcPr>
          <w:p w14:paraId="7E931B3C" w14:textId="77777777" w:rsidR="000A2A2B" w:rsidRPr="007C3060" w:rsidRDefault="000A2A2B" w:rsidP="007C3060">
            <w:r w:rsidRPr="007C3060">
              <w:t>1 000 kroner</w:t>
            </w:r>
          </w:p>
        </w:tc>
      </w:tr>
      <w:tr w:rsidR="004B729E" w:rsidRPr="007C3060" w14:paraId="3155972D" w14:textId="77777777">
        <w:trPr>
          <w:trHeight w:val="1120"/>
        </w:trPr>
        <w:tc>
          <w:tcPr>
            <w:tcW w:w="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416CE3C" w14:textId="77777777" w:rsidR="000A2A2B" w:rsidRPr="007C3060" w:rsidRDefault="000A2A2B" w:rsidP="007C3060">
            <w:r w:rsidRPr="007C3060">
              <w:lastRenderedPageBreak/>
              <w:t>Kap.</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123" w:type="dxa"/>
            </w:tcMar>
            <w:vAlign w:val="bottom"/>
          </w:tcPr>
          <w:p w14:paraId="09F2C205" w14:textId="77777777" w:rsidR="000A2A2B" w:rsidRPr="007C3060" w:rsidRDefault="000A2A2B" w:rsidP="007C3060">
            <w:r w:rsidRPr="007C3060">
              <w:t xml:space="preserve">Post </w:t>
            </w:r>
          </w:p>
        </w:tc>
        <w:tc>
          <w:tcPr>
            <w:tcW w:w="40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109F4B6" w14:textId="77777777" w:rsidR="000A2A2B" w:rsidRPr="007C3060" w:rsidRDefault="000A2A2B" w:rsidP="007C3060">
            <w:r w:rsidRPr="007C3060">
              <w:t>Formål</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5FDBB1E" w14:textId="77777777" w:rsidR="000A2A2B" w:rsidRPr="007C3060" w:rsidRDefault="000A2A2B" w:rsidP="007C3060">
            <w:r w:rsidRPr="007C3060">
              <w:t>Saldert -budsjett</w:t>
            </w: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2002EEF" w14:textId="69624CD0" w:rsidR="000A2A2B" w:rsidRPr="007C3060" w:rsidRDefault="000A2A2B" w:rsidP="007C3060">
            <w:r w:rsidRPr="007C3060">
              <w:t>Endringer foreslått i perioden</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C157A24" w14:textId="7B29B2A2" w:rsidR="000A2A2B" w:rsidRPr="007C3060" w:rsidRDefault="000A2A2B" w:rsidP="007C3060">
            <w:r w:rsidRPr="007C3060">
              <w:t>Endringer foreslått i denne -proposisjonen</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FB7F76" w14:textId="77777777" w:rsidR="000A2A2B" w:rsidRPr="007C3060" w:rsidRDefault="000A2A2B" w:rsidP="007C3060">
            <w:r w:rsidRPr="007C3060">
              <w:t>Status etter endringen</w:t>
            </w:r>
          </w:p>
        </w:tc>
      </w:tr>
      <w:tr w:rsidR="004B729E" w:rsidRPr="007C3060" w14:paraId="548D3363"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3B9573DD" w14:textId="77777777" w:rsidR="000A2A2B" w:rsidRPr="007C3060" w:rsidRDefault="000A2A2B" w:rsidP="007C3060">
            <w:r w:rsidRPr="007C3060">
              <w:t>20</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vAlign w:val="bottom"/>
          </w:tcPr>
          <w:p w14:paraId="6F8AA8F1"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5802694" w14:textId="77777777" w:rsidR="000A2A2B" w:rsidRPr="007C3060" w:rsidRDefault="000A2A2B" w:rsidP="007C3060">
            <w:r w:rsidRPr="007C3060">
              <w:t>Statsministerens kontor</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054CD84"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05CFAF3"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A140662"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D45A9BA" w14:textId="77777777" w:rsidR="000A2A2B" w:rsidRPr="007C3060" w:rsidRDefault="000A2A2B" w:rsidP="007C3060"/>
        </w:tc>
      </w:tr>
      <w:tr w:rsidR="004B729E" w:rsidRPr="007C3060" w14:paraId="1B8FD3D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7F94F9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26FC3B3"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B3946D"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51F0BE" w14:textId="77777777" w:rsidR="000A2A2B" w:rsidRPr="007C3060" w:rsidRDefault="000A2A2B" w:rsidP="007C3060">
            <w:r w:rsidRPr="007C3060">
              <w:t>116 121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8D660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8F7BC0" w14:textId="77777777" w:rsidR="000A2A2B" w:rsidRPr="007C3060" w:rsidRDefault="000A2A2B" w:rsidP="007C3060">
            <w:r w:rsidRPr="007C3060">
              <w:t>-6 000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8B357C" w14:textId="77777777" w:rsidR="000A2A2B" w:rsidRPr="007C3060" w:rsidRDefault="000A2A2B" w:rsidP="007C3060">
            <w:r w:rsidRPr="007C3060">
              <w:t>110 121</w:t>
            </w:r>
          </w:p>
        </w:tc>
      </w:tr>
      <w:tr w:rsidR="004B729E" w:rsidRPr="007C3060" w14:paraId="3366D34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7BF2B22" w14:textId="77777777" w:rsidR="000A2A2B" w:rsidRPr="007C3060" w:rsidRDefault="000A2A2B" w:rsidP="007C3060">
            <w:r w:rsidRPr="007C3060">
              <w:t>21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BE6A87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DACE67" w14:textId="77777777" w:rsidR="000A2A2B" w:rsidRPr="007C3060" w:rsidRDefault="000A2A2B" w:rsidP="007C3060">
            <w:r w:rsidRPr="007C3060">
              <w:t>Statsrådet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2D1D29"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C47C45"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E03CC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87A237" w14:textId="77777777" w:rsidR="000A2A2B" w:rsidRPr="007C3060" w:rsidRDefault="000A2A2B" w:rsidP="007C3060"/>
        </w:tc>
      </w:tr>
      <w:tr w:rsidR="004B729E" w:rsidRPr="007C3060" w14:paraId="49C5CBFB" w14:textId="77777777">
        <w:trPr>
          <w:trHeight w:val="380"/>
        </w:trPr>
        <w:tc>
          <w:tcPr>
            <w:tcW w:w="580" w:type="dxa"/>
            <w:tcBorders>
              <w:top w:val="nil"/>
              <w:left w:val="single" w:sz="4" w:space="0" w:color="000000"/>
              <w:bottom w:val="single" w:sz="4" w:space="0" w:color="000000"/>
              <w:right w:val="nil"/>
            </w:tcBorders>
            <w:tcMar>
              <w:top w:w="128" w:type="dxa"/>
              <w:left w:w="43" w:type="dxa"/>
              <w:bottom w:w="43" w:type="dxa"/>
              <w:right w:w="43" w:type="dxa"/>
            </w:tcMar>
          </w:tcPr>
          <w:p w14:paraId="0AC30BBB" w14:textId="77777777" w:rsidR="000A2A2B" w:rsidRPr="007C3060" w:rsidRDefault="000A2A2B" w:rsidP="007C306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123" w:type="dxa"/>
            </w:tcMar>
            <w:vAlign w:val="bottom"/>
          </w:tcPr>
          <w:p w14:paraId="77A5B15D" w14:textId="77777777" w:rsidR="000A2A2B" w:rsidRPr="007C3060" w:rsidRDefault="000A2A2B" w:rsidP="007C3060">
            <w:r w:rsidRPr="007C3060">
              <w:t>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A9231FA" w14:textId="77777777" w:rsidR="000A2A2B" w:rsidRPr="007C3060" w:rsidRDefault="000A2A2B" w:rsidP="007C3060">
            <w:r w:rsidRPr="007C3060">
              <w:t xml:space="preserve">Driftsutgifter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593FA98" w14:textId="77777777" w:rsidR="000A2A2B" w:rsidRPr="007C3060" w:rsidRDefault="000A2A2B" w:rsidP="007C3060">
            <w:r w:rsidRPr="007C3060">
              <w:t>197 674</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9016A97" w14:textId="77777777" w:rsidR="000A2A2B" w:rsidRPr="007C3060" w:rsidRDefault="000A2A2B" w:rsidP="007C3060">
            <w:r w:rsidRPr="007C3060">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66306BD" w14:textId="77777777" w:rsidR="000A2A2B" w:rsidRPr="007C3060" w:rsidRDefault="000A2A2B" w:rsidP="007C3060">
            <w:r w:rsidRPr="007C3060">
              <w:t>8 200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063902" w14:textId="77777777" w:rsidR="000A2A2B" w:rsidRPr="007C3060" w:rsidRDefault="000A2A2B" w:rsidP="007C3060">
            <w:r w:rsidRPr="007C3060">
              <w:t>205 874</w:t>
            </w:r>
          </w:p>
        </w:tc>
      </w:tr>
      <w:tr w:rsidR="004B729E" w:rsidRPr="007C3060" w14:paraId="40070926"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42F363F" w14:textId="77777777" w:rsidR="000A2A2B" w:rsidRPr="007C3060" w:rsidRDefault="000A2A2B" w:rsidP="007C3060">
            <w:r w:rsidRPr="007C3060">
              <w:t>Sum endringer Regjeringen</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240F576"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115A341"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624EA53" w14:textId="77777777" w:rsidR="000A2A2B" w:rsidRPr="007C3060" w:rsidRDefault="000A2A2B" w:rsidP="007C3060">
            <w:r w:rsidRPr="007C3060">
              <w:t>2 200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13E59C8" w14:textId="77777777" w:rsidR="000A2A2B" w:rsidRPr="007C3060" w:rsidRDefault="000A2A2B" w:rsidP="007C3060"/>
        </w:tc>
      </w:tr>
      <w:tr w:rsidR="004B729E" w:rsidRPr="007C3060" w14:paraId="53AB975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8F6D92F" w14:textId="77777777" w:rsidR="000A2A2B" w:rsidRPr="007C3060" w:rsidRDefault="000A2A2B" w:rsidP="007C3060">
            <w:r w:rsidRPr="007C3060">
              <w:t>41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0F6CCD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1E56F5" w14:textId="77777777" w:rsidR="000A2A2B" w:rsidRPr="007C3060" w:rsidRDefault="000A2A2B" w:rsidP="007C3060">
            <w:r w:rsidRPr="007C3060">
              <w:t>Stortinget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FAEDF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86F09E"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C9D4D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F6DDE7" w14:textId="77777777" w:rsidR="000A2A2B" w:rsidRPr="007C3060" w:rsidRDefault="000A2A2B" w:rsidP="007C3060"/>
        </w:tc>
      </w:tr>
      <w:tr w:rsidR="004B729E" w:rsidRPr="007C3060" w14:paraId="7931F6FD"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8D90BA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9A178A9"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9EC7A3" w14:textId="77777777" w:rsidR="000A2A2B" w:rsidRPr="007C3060" w:rsidRDefault="000A2A2B" w:rsidP="007C3060">
            <w:r w:rsidRPr="007C3060">
              <w:t xml:space="preserve">Større utstyrsanskaffelser og vedlikehold,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5D5C55" w14:textId="77777777" w:rsidR="000A2A2B" w:rsidRPr="007C3060" w:rsidRDefault="000A2A2B" w:rsidP="007C3060">
            <w:r w:rsidRPr="007C3060">
              <w:t>175 247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ABF17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5C1344" w14:textId="77777777" w:rsidR="000A2A2B" w:rsidRPr="007C3060" w:rsidRDefault="000A2A2B" w:rsidP="007C3060">
            <w:r w:rsidRPr="007C3060">
              <w:t>9 700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5BDCC9" w14:textId="77777777" w:rsidR="000A2A2B" w:rsidRPr="007C3060" w:rsidRDefault="000A2A2B" w:rsidP="007C3060">
            <w:r w:rsidRPr="007C3060">
              <w:t>184 947</w:t>
            </w:r>
          </w:p>
        </w:tc>
      </w:tr>
      <w:tr w:rsidR="004B729E" w:rsidRPr="007C3060" w14:paraId="7BD28DD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CDD3E4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EABC327"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6A64F8" w14:textId="77777777" w:rsidR="000A2A2B" w:rsidRPr="007C3060" w:rsidRDefault="000A2A2B" w:rsidP="007C3060">
            <w:r w:rsidRPr="007C3060">
              <w:t xml:space="preserve">Tilskudd til partigruppene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B0419B" w14:textId="77777777" w:rsidR="000A2A2B" w:rsidRPr="007C3060" w:rsidRDefault="000A2A2B" w:rsidP="007C3060">
            <w:r w:rsidRPr="007C3060">
              <w:t>255 288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D1A40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8EC71C" w14:textId="77777777" w:rsidR="000A2A2B" w:rsidRPr="007C3060" w:rsidRDefault="000A2A2B" w:rsidP="007C3060">
            <w:r w:rsidRPr="007C3060">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794ED8" w14:textId="77777777" w:rsidR="000A2A2B" w:rsidRPr="007C3060" w:rsidRDefault="000A2A2B" w:rsidP="007C3060">
            <w:r w:rsidRPr="007C3060">
              <w:t>258 288</w:t>
            </w:r>
          </w:p>
        </w:tc>
      </w:tr>
      <w:tr w:rsidR="004B729E" w:rsidRPr="007C3060" w14:paraId="6DD28952" w14:textId="77777777">
        <w:trPr>
          <w:trHeight w:val="380"/>
        </w:trPr>
        <w:tc>
          <w:tcPr>
            <w:tcW w:w="580" w:type="dxa"/>
            <w:tcBorders>
              <w:top w:val="nil"/>
              <w:left w:val="single" w:sz="4" w:space="0" w:color="000000"/>
              <w:bottom w:val="single" w:sz="4" w:space="0" w:color="000000"/>
              <w:right w:val="nil"/>
            </w:tcBorders>
            <w:tcMar>
              <w:top w:w="128" w:type="dxa"/>
              <w:left w:w="43" w:type="dxa"/>
              <w:bottom w:w="43" w:type="dxa"/>
              <w:right w:w="43" w:type="dxa"/>
            </w:tcMar>
          </w:tcPr>
          <w:p w14:paraId="5798FF25" w14:textId="77777777" w:rsidR="000A2A2B" w:rsidRPr="007C3060" w:rsidRDefault="000A2A2B" w:rsidP="007C306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123" w:type="dxa"/>
            </w:tcMar>
            <w:vAlign w:val="bottom"/>
          </w:tcPr>
          <w:p w14:paraId="2381208F" w14:textId="77777777" w:rsidR="000A2A2B" w:rsidRPr="007C3060" w:rsidRDefault="000A2A2B" w:rsidP="007C3060">
            <w:r w:rsidRPr="007C3060">
              <w:t>73</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BCAD9EE" w14:textId="77777777" w:rsidR="000A2A2B" w:rsidRPr="007C3060" w:rsidRDefault="000A2A2B" w:rsidP="007C3060">
            <w:r w:rsidRPr="007C3060">
              <w:t xml:space="preserve">Kontingenter, internasjonale delegasjoner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01739FB" w14:textId="77777777" w:rsidR="000A2A2B" w:rsidRPr="007C3060" w:rsidRDefault="000A2A2B" w:rsidP="007C3060">
            <w:r w:rsidRPr="007C3060">
              <w:t>18 788</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61826B4" w14:textId="77777777" w:rsidR="000A2A2B" w:rsidRPr="007C3060" w:rsidRDefault="000A2A2B" w:rsidP="007C3060">
            <w:r w:rsidRPr="007C3060">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7919D08" w14:textId="77777777" w:rsidR="000A2A2B" w:rsidRPr="007C3060" w:rsidRDefault="000A2A2B" w:rsidP="007C3060">
            <w:r w:rsidRPr="007C3060">
              <w:t>4 622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422D5A" w14:textId="77777777" w:rsidR="000A2A2B" w:rsidRPr="007C3060" w:rsidRDefault="000A2A2B" w:rsidP="007C3060">
            <w:r w:rsidRPr="007C3060">
              <w:t>23 410</w:t>
            </w:r>
          </w:p>
        </w:tc>
      </w:tr>
      <w:tr w:rsidR="004B729E" w:rsidRPr="007C3060" w14:paraId="3EDBADDA"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0EAEE66" w14:textId="77777777" w:rsidR="000A2A2B" w:rsidRPr="007C3060" w:rsidRDefault="000A2A2B" w:rsidP="007C3060">
            <w:r w:rsidRPr="007C3060">
              <w:t>Sum endringer Stortinget og eksterne organer</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FC89035"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C50E9DE"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728AE5B" w14:textId="77777777" w:rsidR="000A2A2B" w:rsidRPr="007C3060" w:rsidRDefault="000A2A2B" w:rsidP="007C3060">
            <w:r w:rsidRPr="007C3060">
              <w:t>17 322</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B5C88E" w14:textId="77777777" w:rsidR="000A2A2B" w:rsidRPr="007C3060" w:rsidRDefault="000A2A2B" w:rsidP="007C3060"/>
        </w:tc>
      </w:tr>
      <w:tr w:rsidR="004B729E" w:rsidRPr="007C3060" w14:paraId="7922C81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CA95BDD" w14:textId="77777777" w:rsidR="000A2A2B" w:rsidRPr="007C3060" w:rsidRDefault="000A2A2B" w:rsidP="007C3060">
            <w:r w:rsidRPr="007C3060">
              <w:t>100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835F4B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F9081D" w14:textId="77777777" w:rsidR="000A2A2B" w:rsidRPr="007C3060" w:rsidRDefault="000A2A2B" w:rsidP="007C3060">
            <w:r w:rsidRPr="007C3060">
              <w:t>Utenriksdepartementet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B903E5"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D74D57"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BF0B32"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1D8277" w14:textId="77777777" w:rsidR="000A2A2B" w:rsidRPr="007C3060" w:rsidRDefault="000A2A2B" w:rsidP="007C3060"/>
        </w:tc>
      </w:tr>
      <w:tr w:rsidR="004B729E" w:rsidRPr="007C3060" w14:paraId="6AA8C0B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663621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DB7D643"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A3BF7A"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F57DF7" w14:textId="77777777" w:rsidR="000A2A2B" w:rsidRPr="007C3060" w:rsidRDefault="000A2A2B" w:rsidP="007C3060">
            <w:r w:rsidRPr="007C3060">
              <w:t>4 857 100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EE53F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18A990" w14:textId="77777777" w:rsidR="000A2A2B" w:rsidRPr="007C3060" w:rsidRDefault="000A2A2B" w:rsidP="007C3060">
            <w:r w:rsidRPr="007C3060">
              <w:t>8 400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2DC9F0" w14:textId="77777777" w:rsidR="000A2A2B" w:rsidRPr="007C3060" w:rsidRDefault="000A2A2B" w:rsidP="007C3060">
            <w:r w:rsidRPr="007C3060">
              <w:t>4 865 500</w:t>
            </w:r>
          </w:p>
        </w:tc>
      </w:tr>
      <w:tr w:rsidR="004B729E" w:rsidRPr="007C3060" w14:paraId="312F583F"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6F740F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6834A6C"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CAE826" w14:textId="77777777" w:rsidR="000A2A2B" w:rsidRPr="007C3060" w:rsidRDefault="000A2A2B" w:rsidP="007C3060">
            <w:r w:rsidRPr="007C3060">
              <w:t xml:space="preserve">Større utstyrsanskaffelser og vedlikehold,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38EE9E" w14:textId="77777777" w:rsidR="000A2A2B" w:rsidRPr="007C3060" w:rsidRDefault="000A2A2B" w:rsidP="007C3060">
            <w:r w:rsidRPr="007C3060">
              <w:t>111 979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27040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D3730F" w14:textId="77777777" w:rsidR="000A2A2B" w:rsidRPr="007C3060" w:rsidRDefault="000A2A2B" w:rsidP="007C3060">
            <w:r w:rsidRPr="007C3060">
              <w:t>-50 000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F20ED2" w14:textId="77777777" w:rsidR="000A2A2B" w:rsidRPr="007C3060" w:rsidRDefault="000A2A2B" w:rsidP="007C3060">
            <w:r w:rsidRPr="007C3060">
              <w:t>61 979</w:t>
            </w:r>
          </w:p>
        </w:tc>
      </w:tr>
      <w:tr w:rsidR="004B729E" w:rsidRPr="007C3060" w14:paraId="5E3562D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00592715" w14:textId="77777777" w:rsidR="000A2A2B" w:rsidRPr="007C3060" w:rsidRDefault="000A2A2B" w:rsidP="007C3060">
            <w:r w:rsidRPr="007C3060">
              <w:t>105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73CFAF6"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74A142" w14:textId="77777777" w:rsidR="000A2A2B" w:rsidRPr="007C3060" w:rsidRDefault="000A2A2B" w:rsidP="007C3060">
            <w:r w:rsidRPr="007C3060">
              <w:t>Direktoratet for eksportkontroll og -sanksjoner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5B4CCD"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9E16A2"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D72D9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FD4464" w14:textId="77777777" w:rsidR="000A2A2B" w:rsidRPr="007C3060" w:rsidRDefault="000A2A2B" w:rsidP="007C3060"/>
        </w:tc>
      </w:tr>
      <w:tr w:rsidR="004B729E" w:rsidRPr="007C3060" w14:paraId="21BAAD9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11D493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B8D9F0A"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1B0BFD"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A7BC14" w14:textId="77777777" w:rsidR="000A2A2B" w:rsidRPr="007C3060" w:rsidRDefault="000A2A2B" w:rsidP="007C3060">
            <w:r w:rsidRPr="007C3060">
              <w:t>60 000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E73CE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19655C" w14:textId="77777777" w:rsidR="000A2A2B" w:rsidRPr="007C3060" w:rsidRDefault="000A2A2B" w:rsidP="007C3060">
            <w:r w:rsidRPr="007C3060">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52274E" w14:textId="77777777" w:rsidR="000A2A2B" w:rsidRPr="007C3060" w:rsidRDefault="000A2A2B" w:rsidP="007C3060">
            <w:r w:rsidRPr="007C3060">
              <w:t>63 000</w:t>
            </w:r>
          </w:p>
        </w:tc>
      </w:tr>
      <w:tr w:rsidR="004B729E" w:rsidRPr="007C3060" w14:paraId="041F638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1A31516" w14:textId="77777777" w:rsidR="000A2A2B" w:rsidRPr="007C3060" w:rsidRDefault="000A2A2B" w:rsidP="007C3060">
            <w:r w:rsidRPr="007C3060">
              <w:t>115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86CB78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CA456F" w14:textId="77777777" w:rsidR="000A2A2B" w:rsidRPr="007C3060" w:rsidRDefault="000A2A2B" w:rsidP="007C3060">
            <w:r w:rsidRPr="007C3060">
              <w:t>Næringsfremme, kultur og informasjon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D6896B"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629C66"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16B65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5D2349" w14:textId="77777777" w:rsidR="000A2A2B" w:rsidRPr="007C3060" w:rsidRDefault="000A2A2B" w:rsidP="007C3060"/>
        </w:tc>
      </w:tr>
      <w:tr w:rsidR="004B729E" w:rsidRPr="007C3060" w14:paraId="578F7BBF"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33A6B9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33D69A0"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09F1B2" w14:textId="77777777" w:rsidR="000A2A2B" w:rsidRPr="007C3060" w:rsidRDefault="000A2A2B" w:rsidP="007C3060">
            <w:r w:rsidRPr="007C3060">
              <w:t>Kultur- og informasjonsformål,</w:t>
            </w:r>
            <w:r w:rsidRPr="007C3060">
              <w:br/>
            </w:r>
            <w:r w:rsidRPr="007C3060">
              <w:rPr>
                <w:rStyle w:val="kursiv"/>
              </w:rPr>
              <w:t>kan overføres, 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8A19F2" w14:textId="77777777" w:rsidR="000A2A2B" w:rsidRPr="007C3060" w:rsidRDefault="000A2A2B" w:rsidP="007C3060">
            <w:r w:rsidRPr="007C3060">
              <w:t>38 571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12426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8AACC1" w14:textId="77777777" w:rsidR="000A2A2B" w:rsidRPr="007C3060" w:rsidRDefault="000A2A2B" w:rsidP="007C3060">
            <w:r w:rsidRPr="007C3060">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12568F" w14:textId="77777777" w:rsidR="000A2A2B" w:rsidRPr="007C3060" w:rsidRDefault="000A2A2B" w:rsidP="007C3060">
            <w:r w:rsidRPr="007C3060">
              <w:t>41 571</w:t>
            </w:r>
          </w:p>
        </w:tc>
      </w:tr>
      <w:tr w:rsidR="004B729E" w:rsidRPr="007C3060" w14:paraId="50CA0F8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68B3963" w14:textId="77777777" w:rsidR="000A2A2B" w:rsidRPr="007C3060" w:rsidRDefault="000A2A2B" w:rsidP="007C3060">
            <w:r w:rsidRPr="007C3060">
              <w:t>116</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6254D2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0CAD60" w14:textId="77777777" w:rsidR="000A2A2B" w:rsidRPr="007C3060" w:rsidRDefault="000A2A2B" w:rsidP="007C3060">
            <w:r w:rsidRPr="007C3060">
              <w:t>Internasjonale organisasjoner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64132A"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40238D"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A0A44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CAF948" w14:textId="77777777" w:rsidR="000A2A2B" w:rsidRPr="007C3060" w:rsidRDefault="000A2A2B" w:rsidP="007C3060"/>
        </w:tc>
      </w:tr>
      <w:tr w:rsidR="004B729E" w:rsidRPr="007C3060" w14:paraId="1E8FCD2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2C3909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38F51DD"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44771C" w14:textId="77777777" w:rsidR="000A2A2B" w:rsidRPr="007C3060" w:rsidRDefault="000A2A2B" w:rsidP="007C3060">
            <w:r w:rsidRPr="007C3060">
              <w:t xml:space="preserve">Pliktige bidrag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9A2F43" w14:textId="77777777" w:rsidR="000A2A2B" w:rsidRPr="007C3060" w:rsidRDefault="000A2A2B" w:rsidP="007C3060">
            <w:r w:rsidRPr="007C3060">
              <w:t>1 596 300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13D8C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6F65E3" w14:textId="77777777" w:rsidR="000A2A2B" w:rsidRPr="007C3060" w:rsidRDefault="000A2A2B" w:rsidP="007C3060">
            <w:r w:rsidRPr="007C3060">
              <w:t>176 819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A4A662" w14:textId="77777777" w:rsidR="000A2A2B" w:rsidRPr="007C3060" w:rsidRDefault="000A2A2B" w:rsidP="007C3060">
            <w:r w:rsidRPr="007C3060">
              <w:t>1 773 119</w:t>
            </w:r>
          </w:p>
        </w:tc>
      </w:tr>
      <w:tr w:rsidR="004B729E" w:rsidRPr="007C3060" w14:paraId="167B778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DBF0D72" w14:textId="77777777" w:rsidR="000A2A2B" w:rsidRPr="007C3060" w:rsidRDefault="000A2A2B" w:rsidP="007C3060">
            <w:r w:rsidRPr="007C3060">
              <w:t>117</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5737693"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98CD07" w14:textId="77777777" w:rsidR="000A2A2B" w:rsidRPr="007C3060" w:rsidRDefault="000A2A2B" w:rsidP="007C3060">
            <w:r w:rsidRPr="007C3060">
              <w:t>EØS-finansieringsordningene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FE677A"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D4764F"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CB770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A17E69" w14:textId="77777777" w:rsidR="000A2A2B" w:rsidRPr="007C3060" w:rsidRDefault="000A2A2B" w:rsidP="007C3060"/>
        </w:tc>
      </w:tr>
      <w:tr w:rsidR="004B729E" w:rsidRPr="007C3060" w14:paraId="2B629383"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9A674A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1D50980" w14:textId="77777777" w:rsidR="000A2A2B" w:rsidRPr="007C3060" w:rsidRDefault="000A2A2B" w:rsidP="007C3060">
            <w:r w:rsidRPr="007C3060">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DA3225" w14:textId="77777777" w:rsidR="000A2A2B" w:rsidRPr="007C3060" w:rsidRDefault="000A2A2B" w:rsidP="007C3060">
            <w:r w:rsidRPr="007C3060">
              <w:t xml:space="preserve">EØS-finansieringsordningen 2014-2021,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C26339" w14:textId="77777777" w:rsidR="000A2A2B" w:rsidRPr="007C3060" w:rsidRDefault="000A2A2B" w:rsidP="007C3060">
            <w:r w:rsidRPr="007C3060">
              <w:t>295 000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655AD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5BFCB3" w14:textId="77777777" w:rsidR="000A2A2B" w:rsidRPr="007C3060" w:rsidRDefault="000A2A2B" w:rsidP="007C3060">
            <w:r w:rsidRPr="007C3060">
              <w:t>165 000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FA10C9" w14:textId="77777777" w:rsidR="000A2A2B" w:rsidRPr="007C3060" w:rsidRDefault="000A2A2B" w:rsidP="007C3060">
            <w:r w:rsidRPr="007C3060">
              <w:t>460 000</w:t>
            </w:r>
          </w:p>
        </w:tc>
      </w:tr>
      <w:tr w:rsidR="004B729E" w:rsidRPr="007C3060" w14:paraId="0F27D9A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FC1CDA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8FC2B75" w14:textId="77777777" w:rsidR="000A2A2B" w:rsidRPr="007C3060" w:rsidRDefault="000A2A2B" w:rsidP="007C3060">
            <w:r w:rsidRPr="007C3060">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1BF79B" w14:textId="77777777" w:rsidR="000A2A2B" w:rsidRPr="007C3060" w:rsidRDefault="000A2A2B" w:rsidP="007C3060">
            <w:r w:rsidRPr="007C3060">
              <w:t xml:space="preserve">Den norske finansieringsordningen 2014-2021,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F6AF75" w14:textId="77777777" w:rsidR="000A2A2B" w:rsidRPr="007C3060" w:rsidRDefault="000A2A2B" w:rsidP="007C3060">
            <w:r w:rsidRPr="007C3060">
              <w:t>334 000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B5CD2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8D47F7" w14:textId="77777777" w:rsidR="000A2A2B" w:rsidRPr="007C3060" w:rsidRDefault="000A2A2B" w:rsidP="007C3060">
            <w:r w:rsidRPr="007C3060">
              <w:t>-73 000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0E7192" w14:textId="77777777" w:rsidR="000A2A2B" w:rsidRPr="007C3060" w:rsidRDefault="000A2A2B" w:rsidP="007C3060">
            <w:r w:rsidRPr="007C3060">
              <w:t>261 000</w:t>
            </w:r>
          </w:p>
        </w:tc>
      </w:tr>
      <w:tr w:rsidR="004B729E" w:rsidRPr="007C3060" w14:paraId="50EF0F03" w14:textId="77777777">
        <w:trPr>
          <w:trHeight w:val="64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06D515C4" w14:textId="77777777" w:rsidR="000A2A2B" w:rsidRPr="007C3060" w:rsidRDefault="000A2A2B" w:rsidP="007C3060"/>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37B0A19F" w14:textId="77777777" w:rsidR="000A2A2B" w:rsidRPr="007C3060" w:rsidRDefault="000A2A2B" w:rsidP="007C3060">
            <w:r w:rsidRPr="007C3060">
              <w:t>79</w:t>
            </w:r>
          </w:p>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E352B0E" w14:textId="77777777" w:rsidR="000A2A2B" w:rsidRPr="007C3060" w:rsidRDefault="000A2A2B" w:rsidP="007C3060">
            <w:r w:rsidRPr="007C3060">
              <w:t xml:space="preserve">EØS-finansieringsordningen 2021-2028, </w:t>
            </w:r>
            <w:r w:rsidRPr="007C3060">
              <w:rPr>
                <w:rStyle w:val="kursiv"/>
              </w:rPr>
              <w:t>kan overføres</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8C166D8" w14:textId="77777777" w:rsidR="000A2A2B" w:rsidRPr="007C3060" w:rsidRDefault="000A2A2B" w:rsidP="007C3060">
            <w:r w:rsidRPr="007C3060">
              <w:t>-</w:t>
            </w:r>
          </w:p>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E932D22" w14:textId="77777777" w:rsidR="000A2A2B" w:rsidRPr="007C3060" w:rsidRDefault="000A2A2B" w:rsidP="007C3060">
            <w:r w:rsidRPr="007C3060">
              <w:t>-</w:t>
            </w:r>
          </w:p>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F3741D4" w14:textId="77777777" w:rsidR="000A2A2B" w:rsidRPr="007C3060" w:rsidRDefault="000A2A2B" w:rsidP="007C3060">
            <w:r w:rsidRPr="007C3060">
              <w:t>150 000</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5E518A3" w14:textId="77777777" w:rsidR="000A2A2B" w:rsidRPr="007C3060" w:rsidRDefault="000A2A2B" w:rsidP="007C3060">
            <w:r w:rsidRPr="007C3060">
              <w:t>150 000</w:t>
            </w:r>
          </w:p>
        </w:tc>
      </w:tr>
      <w:tr w:rsidR="004B729E" w:rsidRPr="007C3060" w14:paraId="2F82B4FB"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E1FD23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5D03F94" w14:textId="77777777" w:rsidR="000A2A2B" w:rsidRPr="007C3060" w:rsidRDefault="000A2A2B" w:rsidP="007C3060">
            <w:r w:rsidRPr="007C306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23E237" w14:textId="77777777" w:rsidR="000A2A2B" w:rsidRPr="007C3060" w:rsidRDefault="000A2A2B" w:rsidP="007C3060">
            <w:r w:rsidRPr="007C3060">
              <w:t xml:space="preserve">Den norske finansieringsordningen 2021-2028,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AA1C78"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12DBD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87D1EB" w14:textId="77777777" w:rsidR="000A2A2B" w:rsidRPr="007C3060" w:rsidRDefault="000A2A2B" w:rsidP="007C3060">
            <w:r w:rsidRPr="007C3060">
              <w:t>130 000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8CFAEB" w14:textId="77777777" w:rsidR="000A2A2B" w:rsidRPr="007C3060" w:rsidRDefault="000A2A2B" w:rsidP="007C3060">
            <w:r w:rsidRPr="007C3060">
              <w:t>130 000</w:t>
            </w:r>
          </w:p>
        </w:tc>
      </w:tr>
      <w:tr w:rsidR="004B729E" w:rsidRPr="007C3060" w14:paraId="0EF1602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465D015" w14:textId="77777777" w:rsidR="000A2A2B" w:rsidRPr="007C3060" w:rsidRDefault="000A2A2B" w:rsidP="007C3060">
            <w:r w:rsidRPr="007C3060">
              <w:t>118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0EC99B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D28E8C" w14:textId="77777777" w:rsidR="000A2A2B" w:rsidRPr="007C3060" w:rsidRDefault="000A2A2B" w:rsidP="007C3060">
            <w:r w:rsidRPr="007C3060">
              <w:t>Utenrikspolitiske satsinger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B3751D"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A0B4BA"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41F93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02B547" w14:textId="77777777" w:rsidR="000A2A2B" w:rsidRPr="007C3060" w:rsidRDefault="000A2A2B" w:rsidP="007C3060"/>
        </w:tc>
      </w:tr>
      <w:tr w:rsidR="004B729E" w:rsidRPr="007C3060" w14:paraId="654271C8"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D0184D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E52F8F0"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24E32E" w14:textId="77777777" w:rsidR="000A2A2B" w:rsidRPr="007C3060" w:rsidRDefault="000A2A2B" w:rsidP="007C3060">
            <w:r w:rsidRPr="007C3060">
              <w:t xml:space="preserve">Spesielle driftsutgifter, </w:t>
            </w:r>
            <w:r w:rsidRPr="007C3060">
              <w:rPr>
                <w:rStyle w:val="kursiv"/>
              </w:rPr>
              <w:t>kan overføres,</w:t>
            </w:r>
            <w:r w:rsidRPr="007C3060">
              <w:rPr>
                <w:rStyle w:val="kursiv"/>
              </w:rPr>
              <w:br/>
              <w:t>kan nyttes under post 70, 71, 72, 73 og 76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2C4D4D" w14:textId="77777777" w:rsidR="000A2A2B" w:rsidRPr="007C3060" w:rsidRDefault="000A2A2B" w:rsidP="007C3060">
            <w:r w:rsidRPr="007C3060">
              <w:t>103 526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9E6AE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77D0EC" w14:textId="77777777" w:rsidR="000A2A2B" w:rsidRPr="007C3060" w:rsidRDefault="000A2A2B" w:rsidP="007C3060">
            <w:r w:rsidRPr="007C3060">
              <w:t>42 700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96BFA1" w14:textId="77777777" w:rsidR="000A2A2B" w:rsidRPr="007C3060" w:rsidRDefault="000A2A2B" w:rsidP="007C3060">
            <w:r w:rsidRPr="007C3060">
              <w:t>146 226</w:t>
            </w:r>
          </w:p>
        </w:tc>
      </w:tr>
      <w:tr w:rsidR="004B729E" w:rsidRPr="007C3060" w14:paraId="34CB6510"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113EDE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499C3FB"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00359A" w14:textId="09B6E059" w:rsidR="000A2A2B" w:rsidRPr="007C3060" w:rsidRDefault="000A2A2B" w:rsidP="007C3060">
            <w:r w:rsidRPr="007C3060">
              <w:t xml:space="preserve">Nordområdene og Antarktis, </w:t>
            </w:r>
            <w:r w:rsidRPr="007C3060">
              <w:rPr>
                <w:rStyle w:val="kursiv"/>
              </w:rPr>
              <w:t>kan overføres, 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14F803" w14:textId="77777777" w:rsidR="000A2A2B" w:rsidRPr="007C3060" w:rsidRDefault="000A2A2B" w:rsidP="007C3060">
            <w:r w:rsidRPr="007C3060">
              <w:t>54 630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7B653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E74F9E" w14:textId="77777777" w:rsidR="000A2A2B" w:rsidRPr="007C3060" w:rsidRDefault="000A2A2B" w:rsidP="007C3060">
            <w:r w:rsidRPr="007C3060">
              <w:t>-38 000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E6294E" w14:textId="77777777" w:rsidR="000A2A2B" w:rsidRPr="007C3060" w:rsidRDefault="000A2A2B" w:rsidP="007C3060">
            <w:r w:rsidRPr="007C3060">
              <w:t>16 630</w:t>
            </w:r>
          </w:p>
        </w:tc>
      </w:tr>
      <w:tr w:rsidR="004B729E" w:rsidRPr="007C3060" w14:paraId="193DFED5"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9F0D47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71438F8"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DA4441" w14:textId="47C97499" w:rsidR="000A2A2B" w:rsidRPr="007C3060" w:rsidRDefault="000A2A2B" w:rsidP="007C3060">
            <w:r w:rsidRPr="007C3060">
              <w:t xml:space="preserve">Globale sikkerhetsspørsmål, </w:t>
            </w:r>
            <w:r w:rsidRPr="007C3060">
              <w:rPr>
                <w:rStyle w:val="kursiv"/>
              </w:rPr>
              <w:t>kan overføres, 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795A5D" w14:textId="77777777" w:rsidR="000A2A2B" w:rsidRPr="007C3060" w:rsidRDefault="000A2A2B" w:rsidP="007C3060">
            <w:r w:rsidRPr="007C3060">
              <w:t>7 300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8C791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0DBF31" w14:textId="77777777" w:rsidR="000A2A2B" w:rsidRPr="007C3060" w:rsidRDefault="000A2A2B" w:rsidP="007C3060">
            <w:r w:rsidRPr="007C3060">
              <w:t>-2 700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6CAD38" w14:textId="77777777" w:rsidR="000A2A2B" w:rsidRPr="007C3060" w:rsidRDefault="000A2A2B" w:rsidP="007C3060">
            <w:r w:rsidRPr="007C3060">
              <w:t>4 600</w:t>
            </w:r>
          </w:p>
        </w:tc>
      </w:tr>
      <w:tr w:rsidR="004B729E" w:rsidRPr="007C3060" w14:paraId="0AA6E519"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7A6601C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65F0550"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5B959E" w14:textId="168AE940" w:rsidR="000A2A2B" w:rsidRPr="007C3060" w:rsidRDefault="000A2A2B" w:rsidP="007C3060">
            <w:r w:rsidRPr="007C3060">
              <w:t xml:space="preserve">Nedrustning, ikke-spredning og kjerne-fysisk sikkerhet mv., </w:t>
            </w:r>
            <w:r w:rsidRPr="007C3060">
              <w:rPr>
                <w:rStyle w:val="kursiv"/>
              </w:rPr>
              <w:t>kan overføres, 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87BA25" w14:textId="77777777" w:rsidR="000A2A2B" w:rsidRPr="007C3060" w:rsidRDefault="000A2A2B" w:rsidP="007C3060">
            <w:r w:rsidRPr="007C3060">
              <w:t>44 390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FCFF1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D24961" w14:textId="77777777" w:rsidR="000A2A2B" w:rsidRPr="007C3060" w:rsidRDefault="000A2A2B" w:rsidP="007C3060">
            <w:r w:rsidRPr="007C3060">
              <w:t>-11 000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55E109" w14:textId="77777777" w:rsidR="000A2A2B" w:rsidRPr="007C3060" w:rsidRDefault="000A2A2B" w:rsidP="007C3060">
            <w:r w:rsidRPr="007C3060">
              <w:t>33 390</w:t>
            </w:r>
          </w:p>
        </w:tc>
      </w:tr>
      <w:tr w:rsidR="004B729E" w:rsidRPr="007C3060" w14:paraId="5C0371C0"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FAFA6D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0A0F0EE" w14:textId="77777777" w:rsidR="000A2A2B" w:rsidRPr="007C3060" w:rsidRDefault="000A2A2B" w:rsidP="007C3060">
            <w:r w:rsidRPr="007C306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47BE57" w14:textId="6A2303A8" w:rsidR="000A2A2B" w:rsidRPr="007C3060" w:rsidRDefault="000A2A2B" w:rsidP="007C3060">
            <w:r w:rsidRPr="007C3060">
              <w:t xml:space="preserve">Russland, </w:t>
            </w:r>
            <w:r w:rsidRPr="007C3060">
              <w:rPr>
                <w:rStyle w:val="kursiv"/>
              </w:rPr>
              <w:t>kan overføres, 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5DEE50" w14:textId="77777777" w:rsidR="000A2A2B" w:rsidRPr="007C3060" w:rsidRDefault="000A2A2B" w:rsidP="007C3060">
            <w:r w:rsidRPr="007C3060">
              <w:t>33 600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8C63A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D8E446" w14:textId="77777777" w:rsidR="000A2A2B" w:rsidRPr="007C3060" w:rsidRDefault="000A2A2B" w:rsidP="007C3060">
            <w:r w:rsidRPr="007C3060">
              <w:t>6 000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BA3802" w14:textId="77777777" w:rsidR="000A2A2B" w:rsidRPr="007C3060" w:rsidRDefault="000A2A2B" w:rsidP="007C3060">
            <w:r w:rsidRPr="007C3060">
              <w:t>39 600</w:t>
            </w:r>
          </w:p>
        </w:tc>
      </w:tr>
      <w:tr w:rsidR="004B729E" w:rsidRPr="007C3060" w14:paraId="76A9A013"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0B2FC87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32A3E6B" w14:textId="77777777" w:rsidR="000A2A2B" w:rsidRPr="007C3060" w:rsidRDefault="000A2A2B" w:rsidP="007C3060">
            <w:r w:rsidRPr="007C3060">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A969C2" w14:textId="77777777" w:rsidR="000A2A2B" w:rsidRPr="007C3060" w:rsidRDefault="000A2A2B" w:rsidP="007C3060">
            <w:r w:rsidRPr="007C3060">
              <w:t xml:space="preserve">Norges forskningsråd – utenriksområdet,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4B1DFA" w14:textId="77777777" w:rsidR="000A2A2B" w:rsidRPr="007C3060" w:rsidRDefault="000A2A2B" w:rsidP="007C3060">
            <w:r w:rsidRPr="007C3060">
              <w:t>50 766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C9EC3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78DA12" w14:textId="77777777" w:rsidR="000A2A2B" w:rsidRPr="007C3060" w:rsidRDefault="000A2A2B" w:rsidP="007C3060">
            <w:r w:rsidRPr="007C3060">
              <w:t>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52AC52" w14:textId="77777777" w:rsidR="000A2A2B" w:rsidRPr="007C3060" w:rsidRDefault="000A2A2B" w:rsidP="007C3060">
            <w:r w:rsidRPr="007C3060">
              <w:t>51 366</w:t>
            </w:r>
          </w:p>
        </w:tc>
      </w:tr>
      <w:tr w:rsidR="004B729E" w:rsidRPr="007C3060" w14:paraId="3D8E637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46EF462" w14:textId="77777777" w:rsidR="000A2A2B" w:rsidRPr="007C3060" w:rsidRDefault="000A2A2B" w:rsidP="007C3060">
            <w:r w:rsidRPr="007C3060">
              <w:lastRenderedPageBreak/>
              <w:t>140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FA23AA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B002F6" w14:textId="77777777" w:rsidR="000A2A2B" w:rsidRPr="007C3060" w:rsidRDefault="000A2A2B" w:rsidP="007C3060">
            <w:r w:rsidRPr="007C3060">
              <w:t>Utenriksdepartementet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6E745A"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728A7E"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7EFE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FB0227" w14:textId="77777777" w:rsidR="000A2A2B" w:rsidRPr="007C3060" w:rsidRDefault="000A2A2B" w:rsidP="007C3060"/>
        </w:tc>
      </w:tr>
      <w:tr w:rsidR="004B729E" w:rsidRPr="007C3060" w14:paraId="32A4C6D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A8AA92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487ACE8"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013085"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AF6243" w14:textId="77777777" w:rsidR="000A2A2B" w:rsidRPr="007C3060" w:rsidRDefault="000A2A2B" w:rsidP="007C3060">
            <w:r w:rsidRPr="007C3060">
              <w:t>95 083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599F9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4C82C7" w14:textId="77777777" w:rsidR="000A2A2B" w:rsidRPr="007C3060" w:rsidRDefault="000A2A2B" w:rsidP="007C3060">
            <w:r w:rsidRPr="007C3060">
              <w:t>-6 500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41F019" w14:textId="77777777" w:rsidR="000A2A2B" w:rsidRPr="007C3060" w:rsidRDefault="000A2A2B" w:rsidP="007C3060">
            <w:r w:rsidRPr="007C3060">
              <w:t>88 583</w:t>
            </w:r>
          </w:p>
        </w:tc>
      </w:tr>
      <w:tr w:rsidR="004B729E" w:rsidRPr="007C3060" w14:paraId="5D7D616A"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66C5B06" w14:textId="77777777" w:rsidR="000A2A2B" w:rsidRPr="007C3060" w:rsidRDefault="000A2A2B" w:rsidP="007C3060">
            <w:r w:rsidRPr="007C3060">
              <w:t>141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5ECF53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88C29B" w14:textId="77777777" w:rsidR="000A2A2B" w:rsidRPr="007C3060" w:rsidRDefault="000A2A2B" w:rsidP="007C3060">
            <w:r w:rsidRPr="007C3060">
              <w:t>Direktoratet for utviklingssamarbeid (Norad)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9E9CE9"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F66000"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CDB32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5F6A49" w14:textId="77777777" w:rsidR="000A2A2B" w:rsidRPr="007C3060" w:rsidRDefault="000A2A2B" w:rsidP="007C3060"/>
        </w:tc>
      </w:tr>
      <w:tr w:rsidR="004B729E" w:rsidRPr="007C3060" w14:paraId="75EE178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E0EFE4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03E5479"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3B5589"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4D4FB8" w14:textId="77777777" w:rsidR="000A2A2B" w:rsidRPr="007C3060" w:rsidRDefault="000A2A2B" w:rsidP="007C3060">
            <w:r w:rsidRPr="007C3060">
              <w:t>419 283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F835B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31684D" w14:textId="77777777" w:rsidR="000A2A2B" w:rsidRPr="007C3060" w:rsidRDefault="000A2A2B" w:rsidP="007C3060">
            <w:r w:rsidRPr="007C3060">
              <w:t>4 800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7B1C01" w14:textId="77777777" w:rsidR="000A2A2B" w:rsidRPr="007C3060" w:rsidRDefault="000A2A2B" w:rsidP="007C3060">
            <w:r w:rsidRPr="007C3060">
              <w:t>424 083</w:t>
            </w:r>
          </w:p>
        </w:tc>
      </w:tr>
      <w:tr w:rsidR="004B729E" w:rsidRPr="007C3060" w14:paraId="6A36316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A093C42" w14:textId="77777777" w:rsidR="000A2A2B" w:rsidRPr="007C3060" w:rsidRDefault="000A2A2B" w:rsidP="007C3060">
            <w:r w:rsidRPr="007C3060">
              <w:t>144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F597C0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F80066" w14:textId="77777777" w:rsidR="000A2A2B" w:rsidRPr="007C3060" w:rsidRDefault="000A2A2B" w:rsidP="007C3060">
            <w:r w:rsidRPr="007C3060">
              <w:t>Norsk senter for utvekslingssamarbeid (</w:t>
            </w:r>
            <w:proofErr w:type="spellStart"/>
            <w:r w:rsidRPr="007C3060">
              <w:t>Norec</w:t>
            </w:r>
            <w:proofErr w:type="spellEnd"/>
            <w:r w:rsidRPr="007C3060">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33F316"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018F60"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E61D6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03F0B6" w14:textId="77777777" w:rsidR="000A2A2B" w:rsidRPr="007C3060" w:rsidRDefault="000A2A2B" w:rsidP="007C3060"/>
        </w:tc>
      </w:tr>
      <w:tr w:rsidR="004B729E" w:rsidRPr="007C3060" w14:paraId="3414D83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C11707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41371DA"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0360A7"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9FEA2C" w14:textId="77777777" w:rsidR="000A2A2B" w:rsidRPr="007C3060" w:rsidRDefault="000A2A2B" w:rsidP="007C3060">
            <w:r w:rsidRPr="007C3060">
              <w:t>71 411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E7451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518806" w14:textId="77777777" w:rsidR="000A2A2B" w:rsidRPr="007C3060" w:rsidRDefault="000A2A2B" w:rsidP="007C3060">
            <w:r w:rsidRPr="007C3060">
              <w:t>430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DC28C4" w14:textId="77777777" w:rsidR="000A2A2B" w:rsidRPr="007C3060" w:rsidRDefault="000A2A2B" w:rsidP="007C3060">
            <w:r w:rsidRPr="007C3060">
              <w:t>71 841</w:t>
            </w:r>
          </w:p>
        </w:tc>
      </w:tr>
      <w:tr w:rsidR="004B729E" w:rsidRPr="007C3060" w14:paraId="0BEDD3E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EB6CCB5" w14:textId="77777777" w:rsidR="000A2A2B" w:rsidRPr="007C3060" w:rsidRDefault="000A2A2B" w:rsidP="007C3060">
            <w:r w:rsidRPr="007C3060">
              <w:t>151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5D80DB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936779" w14:textId="77777777" w:rsidR="000A2A2B" w:rsidRPr="007C3060" w:rsidRDefault="000A2A2B" w:rsidP="007C3060">
            <w:r w:rsidRPr="007C3060">
              <w:t>Fred, sikkerhet og globalt samarbeid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F54AB3"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3F824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75C20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A2218B" w14:textId="77777777" w:rsidR="000A2A2B" w:rsidRPr="007C3060" w:rsidRDefault="000A2A2B" w:rsidP="007C3060"/>
        </w:tc>
      </w:tr>
      <w:tr w:rsidR="004B729E" w:rsidRPr="007C3060" w14:paraId="6E4BB62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DE5EDF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8E6583F" w14:textId="77777777" w:rsidR="000A2A2B" w:rsidRPr="007C3060" w:rsidRDefault="000A2A2B" w:rsidP="007C3060">
            <w:r w:rsidRPr="007C306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D441F9" w14:textId="77777777" w:rsidR="000A2A2B" w:rsidRPr="007C3060" w:rsidRDefault="000A2A2B" w:rsidP="007C3060">
            <w:r w:rsidRPr="007C3060">
              <w:t xml:space="preserve">Pliktige bidrag til FN-organisasjoner mv.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F3EC8A" w14:textId="77777777" w:rsidR="000A2A2B" w:rsidRPr="007C3060" w:rsidRDefault="000A2A2B" w:rsidP="007C3060">
            <w:r w:rsidRPr="007C3060">
              <w:t>405 220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C6200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C6B735" w14:textId="77777777" w:rsidR="000A2A2B" w:rsidRPr="007C3060" w:rsidRDefault="000A2A2B" w:rsidP="007C3060">
            <w:r w:rsidRPr="007C3060">
              <w:t>24 201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6F34DC" w14:textId="77777777" w:rsidR="000A2A2B" w:rsidRPr="007C3060" w:rsidRDefault="000A2A2B" w:rsidP="007C3060">
            <w:r w:rsidRPr="007C3060">
              <w:t>429 421</w:t>
            </w:r>
          </w:p>
        </w:tc>
      </w:tr>
      <w:tr w:rsidR="004B729E" w:rsidRPr="007C3060" w14:paraId="6FB4D93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9972ADD" w14:textId="77777777" w:rsidR="000A2A2B" w:rsidRPr="007C3060" w:rsidRDefault="000A2A2B" w:rsidP="007C3060">
            <w:r w:rsidRPr="007C3060">
              <w:t>152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7544B8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E1914C" w14:textId="77777777" w:rsidR="000A2A2B" w:rsidRPr="007C3060" w:rsidRDefault="000A2A2B" w:rsidP="007C3060">
            <w:r w:rsidRPr="007C3060">
              <w:t>Menneskerettigheter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8FC6A3"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C40D45"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3DD06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71E6ED" w14:textId="77777777" w:rsidR="000A2A2B" w:rsidRPr="007C3060" w:rsidRDefault="000A2A2B" w:rsidP="007C3060"/>
        </w:tc>
      </w:tr>
      <w:tr w:rsidR="004B729E" w:rsidRPr="007C3060" w14:paraId="219D3CE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7FD883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45E93A6"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530498" w14:textId="77777777" w:rsidR="000A2A2B" w:rsidRPr="007C3060" w:rsidRDefault="000A2A2B" w:rsidP="007C3060">
            <w:r w:rsidRPr="007C3060">
              <w:t xml:space="preserve">Menneskerettigheter,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E42B64" w14:textId="77777777" w:rsidR="000A2A2B" w:rsidRPr="007C3060" w:rsidRDefault="000A2A2B" w:rsidP="007C3060">
            <w:r w:rsidRPr="007C3060">
              <w:t>671 617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614B9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9D6C12" w14:textId="77777777" w:rsidR="000A2A2B" w:rsidRPr="007C3060" w:rsidRDefault="000A2A2B" w:rsidP="007C3060">
            <w:r w:rsidRPr="007C3060">
              <w:t>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47B951" w14:textId="77777777" w:rsidR="000A2A2B" w:rsidRPr="007C3060" w:rsidRDefault="000A2A2B" w:rsidP="007C3060">
            <w:r w:rsidRPr="007C3060">
              <w:t>721 617</w:t>
            </w:r>
          </w:p>
        </w:tc>
      </w:tr>
      <w:tr w:rsidR="004B729E" w:rsidRPr="007C3060" w14:paraId="388BE56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8365A16" w14:textId="77777777" w:rsidR="000A2A2B" w:rsidRPr="007C3060" w:rsidRDefault="000A2A2B" w:rsidP="007C3060">
            <w:r w:rsidRPr="007C3060">
              <w:t>153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82AD49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2B3D9D" w14:textId="77777777" w:rsidR="000A2A2B" w:rsidRPr="007C3060" w:rsidRDefault="000A2A2B" w:rsidP="007C3060">
            <w:r w:rsidRPr="007C3060">
              <w:t xml:space="preserve">Flyktninger, fordrevne og </w:t>
            </w:r>
            <w:proofErr w:type="spellStart"/>
            <w:r w:rsidRPr="007C3060">
              <w:t>vertssamfunn</w:t>
            </w:r>
            <w:proofErr w:type="spellEnd"/>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E77AD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5F620C"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4109B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1EF438" w14:textId="77777777" w:rsidR="000A2A2B" w:rsidRPr="007C3060" w:rsidRDefault="000A2A2B" w:rsidP="007C3060"/>
        </w:tc>
      </w:tr>
      <w:tr w:rsidR="004B729E" w:rsidRPr="007C3060" w14:paraId="5E13AF2E"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9EC912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38AA013"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2BD73C" w14:textId="77777777" w:rsidR="000A2A2B" w:rsidRPr="007C3060" w:rsidRDefault="000A2A2B" w:rsidP="007C3060">
            <w:r w:rsidRPr="007C3060">
              <w:t xml:space="preserve">Bærekraftige løsninger og </w:t>
            </w:r>
            <w:proofErr w:type="spellStart"/>
            <w:r w:rsidRPr="007C3060">
              <w:t>vertssamfunn</w:t>
            </w:r>
            <w:proofErr w:type="spellEnd"/>
            <w:r w:rsidRPr="007C3060">
              <w:t xml:space="preserve">,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ED0CEF" w14:textId="77777777" w:rsidR="000A2A2B" w:rsidRPr="007C3060" w:rsidRDefault="000A2A2B" w:rsidP="007C3060">
            <w:r w:rsidRPr="007C3060">
              <w:t>429 504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161B7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29958C"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5B27D3" w14:textId="77777777" w:rsidR="000A2A2B" w:rsidRPr="007C3060" w:rsidRDefault="000A2A2B" w:rsidP="007C3060">
            <w:r w:rsidRPr="007C3060">
              <w:t>439 504</w:t>
            </w:r>
          </w:p>
        </w:tc>
      </w:tr>
      <w:tr w:rsidR="004B729E" w:rsidRPr="007C3060" w14:paraId="1BC0EF21"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34345646" w14:textId="77777777" w:rsidR="000A2A2B" w:rsidRPr="007C3060" w:rsidRDefault="000A2A2B" w:rsidP="007C3060">
            <w:r w:rsidRPr="007C3060">
              <w:t>159</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vAlign w:val="bottom"/>
          </w:tcPr>
          <w:p w14:paraId="56DE77BF"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FA4BCB2" w14:textId="77777777" w:rsidR="000A2A2B" w:rsidRPr="007C3060" w:rsidRDefault="000A2A2B" w:rsidP="007C3060">
            <w:r w:rsidRPr="007C3060">
              <w:t>Regionbevilgninger</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DE7B820"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D8F9E0F"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9AF77A6"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B8DD8BF" w14:textId="77777777" w:rsidR="000A2A2B" w:rsidRPr="007C3060" w:rsidRDefault="000A2A2B" w:rsidP="007C3060"/>
        </w:tc>
      </w:tr>
      <w:tr w:rsidR="004B729E" w:rsidRPr="007C3060" w14:paraId="66EC478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3A2935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EFC307A"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DC7C0E" w14:textId="77777777" w:rsidR="000A2A2B" w:rsidRPr="007C3060" w:rsidRDefault="000A2A2B" w:rsidP="007C3060">
            <w:r w:rsidRPr="007C3060">
              <w:t xml:space="preserve">Midtøsten,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9006B7" w14:textId="77777777" w:rsidR="000A2A2B" w:rsidRPr="007C3060" w:rsidRDefault="000A2A2B" w:rsidP="007C3060">
            <w:r w:rsidRPr="007C3060">
              <w:t>669 311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5E8E5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86B296" w14:textId="77777777" w:rsidR="000A2A2B" w:rsidRPr="007C3060" w:rsidRDefault="000A2A2B" w:rsidP="007C3060">
            <w:r w:rsidRPr="007C3060">
              <w:t>37 870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7DF351" w14:textId="77777777" w:rsidR="000A2A2B" w:rsidRPr="007C3060" w:rsidRDefault="000A2A2B" w:rsidP="007C3060">
            <w:r w:rsidRPr="007C3060">
              <w:t>707 181</w:t>
            </w:r>
          </w:p>
        </w:tc>
      </w:tr>
      <w:tr w:rsidR="004B729E" w:rsidRPr="007C3060" w14:paraId="2D22E29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18230B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A928D74"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4979D9" w14:textId="77777777" w:rsidR="000A2A2B" w:rsidRPr="007C3060" w:rsidRDefault="000A2A2B" w:rsidP="007C3060">
            <w:r w:rsidRPr="007C3060">
              <w:t xml:space="preserve">Europa og Sentral-Asia,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D46A73" w14:textId="77777777" w:rsidR="000A2A2B" w:rsidRPr="007C3060" w:rsidRDefault="000A2A2B" w:rsidP="007C3060">
            <w:r w:rsidRPr="007C3060">
              <w:t>423 817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0497E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44D98D"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5AE57F" w14:textId="77777777" w:rsidR="000A2A2B" w:rsidRPr="007C3060" w:rsidRDefault="000A2A2B" w:rsidP="007C3060">
            <w:r w:rsidRPr="007C3060">
              <w:t>413 817</w:t>
            </w:r>
          </w:p>
        </w:tc>
      </w:tr>
      <w:tr w:rsidR="004B729E" w:rsidRPr="007C3060" w14:paraId="5ADC70F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E5AE60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037CFCB"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2B877F" w14:textId="77777777" w:rsidR="000A2A2B" w:rsidRPr="007C3060" w:rsidRDefault="000A2A2B" w:rsidP="007C3060">
            <w:r w:rsidRPr="007C3060">
              <w:t xml:space="preserve">Ukraina og naboland,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F9EA94" w14:textId="77777777" w:rsidR="000A2A2B" w:rsidRPr="007C3060" w:rsidRDefault="000A2A2B" w:rsidP="007C3060">
            <w:r w:rsidRPr="007C3060">
              <w:t>12 440 500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A908A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BCF2A9" w14:textId="77777777" w:rsidR="000A2A2B" w:rsidRPr="007C3060" w:rsidRDefault="000A2A2B" w:rsidP="007C3060">
            <w:r w:rsidRPr="007C3060">
              <w:t>-264 200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B62600" w14:textId="77777777" w:rsidR="000A2A2B" w:rsidRPr="007C3060" w:rsidRDefault="000A2A2B" w:rsidP="007C3060">
            <w:r w:rsidRPr="007C3060">
              <w:t>12 176 300</w:t>
            </w:r>
          </w:p>
        </w:tc>
      </w:tr>
      <w:tr w:rsidR="004B729E" w:rsidRPr="007C3060" w14:paraId="7CD7F6E7"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5E79371" w14:textId="77777777" w:rsidR="000A2A2B" w:rsidRPr="007C3060" w:rsidRDefault="000A2A2B" w:rsidP="007C3060">
            <w:r w:rsidRPr="007C3060">
              <w:t>161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01047B8"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9C265F" w14:textId="77777777" w:rsidR="000A2A2B" w:rsidRPr="007C3060" w:rsidRDefault="000A2A2B" w:rsidP="007C3060">
            <w:r w:rsidRPr="007C3060">
              <w:t>Utdanning, forskning og offentlige -institusjoner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79041F"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9FEB9C"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1E8B0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C9413A" w14:textId="77777777" w:rsidR="000A2A2B" w:rsidRPr="007C3060" w:rsidRDefault="000A2A2B" w:rsidP="007C3060"/>
        </w:tc>
      </w:tr>
      <w:tr w:rsidR="004B729E" w:rsidRPr="007C3060" w14:paraId="2D567D4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427FBE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CF76353"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AA268C" w14:textId="77777777" w:rsidR="000A2A2B" w:rsidRPr="007C3060" w:rsidRDefault="000A2A2B" w:rsidP="007C3060">
            <w:r w:rsidRPr="007C3060">
              <w:t xml:space="preserve">Utdanning,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956F99" w14:textId="77777777" w:rsidR="000A2A2B" w:rsidRPr="007C3060" w:rsidRDefault="000A2A2B" w:rsidP="007C3060">
            <w:r w:rsidRPr="007C3060">
              <w:t>846 798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E716E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6658FB" w14:textId="77777777" w:rsidR="000A2A2B" w:rsidRPr="007C3060" w:rsidRDefault="000A2A2B" w:rsidP="007C3060">
            <w:r w:rsidRPr="007C3060">
              <w:t>-68 000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7096D0" w14:textId="77777777" w:rsidR="000A2A2B" w:rsidRPr="007C3060" w:rsidRDefault="000A2A2B" w:rsidP="007C3060">
            <w:r w:rsidRPr="007C3060">
              <w:t>778 798</w:t>
            </w:r>
          </w:p>
        </w:tc>
      </w:tr>
      <w:tr w:rsidR="004B729E" w:rsidRPr="007C3060" w14:paraId="4A5FB4C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A1022B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80FD8B7"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F993FC" w14:textId="77777777" w:rsidR="000A2A2B" w:rsidRPr="007C3060" w:rsidRDefault="000A2A2B" w:rsidP="007C3060">
            <w:r w:rsidRPr="007C3060">
              <w:t xml:space="preserve">Forskning,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AF0A88" w14:textId="77777777" w:rsidR="000A2A2B" w:rsidRPr="007C3060" w:rsidRDefault="000A2A2B" w:rsidP="007C3060">
            <w:r w:rsidRPr="007C3060">
              <w:t>67 196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33D10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E700A3" w14:textId="77777777" w:rsidR="000A2A2B" w:rsidRPr="007C3060" w:rsidRDefault="000A2A2B" w:rsidP="007C3060">
            <w:r w:rsidRPr="007C3060">
              <w:t>-8 500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105A29" w14:textId="77777777" w:rsidR="000A2A2B" w:rsidRPr="007C3060" w:rsidRDefault="000A2A2B" w:rsidP="007C3060">
            <w:r w:rsidRPr="007C3060">
              <w:t>58 696</w:t>
            </w:r>
          </w:p>
        </w:tc>
      </w:tr>
      <w:tr w:rsidR="004B729E" w:rsidRPr="007C3060" w14:paraId="155BB0AB"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4A7270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B925274" w14:textId="77777777" w:rsidR="000A2A2B" w:rsidRPr="007C3060" w:rsidRDefault="000A2A2B" w:rsidP="007C3060">
            <w:r w:rsidRPr="007C306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71E41D" w14:textId="77777777" w:rsidR="000A2A2B" w:rsidRPr="007C3060" w:rsidRDefault="000A2A2B" w:rsidP="007C3060">
            <w:r w:rsidRPr="007C3060">
              <w:t xml:space="preserve">Norges forskningsråd – utviklings-området,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48FA4F" w14:textId="77777777" w:rsidR="000A2A2B" w:rsidRPr="007C3060" w:rsidRDefault="000A2A2B" w:rsidP="007C3060">
            <w:r w:rsidRPr="007C3060">
              <w:t>202 650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B7975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36D5DB" w14:textId="77777777" w:rsidR="000A2A2B" w:rsidRPr="007C3060" w:rsidRDefault="000A2A2B" w:rsidP="007C3060">
            <w:r w:rsidRPr="007C3060">
              <w:t>-58 000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B6EAD4" w14:textId="77777777" w:rsidR="000A2A2B" w:rsidRPr="007C3060" w:rsidRDefault="000A2A2B" w:rsidP="007C3060">
            <w:r w:rsidRPr="007C3060">
              <w:t>144 650</w:t>
            </w:r>
          </w:p>
        </w:tc>
      </w:tr>
      <w:tr w:rsidR="004B729E" w:rsidRPr="007C3060" w14:paraId="1545C8A6"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99547F1" w14:textId="77777777" w:rsidR="000A2A2B" w:rsidRPr="007C3060" w:rsidRDefault="000A2A2B" w:rsidP="007C3060">
            <w:r w:rsidRPr="007C3060">
              <w:t>162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EF5CEC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0992A9" w14:textId="77777777" w:rsidR="000A2A2B" w:rsidRPr="007C3060" w:rsidRDefault="000A2A2B" w:rsidP="007C3060">
            <w:r w:rsidRPr="007C3060">
              <w:t xml:space="preserve">Næringsutvikling, </w:t>
            </w:r>
            <w:proofErr w:type="spellStart"/>
            <w:r w:rsidRPr="007C3060">
              <w:t>matsystemer</w:t>
            </w:r>
            <w:proofErr w:type="spellEnd"/>
            <w:r w:rsidRPr="007C3060">
              <w:t xml:space="preserve"> og -fornybar energi</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4C416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76B8E2"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9F784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D58B17" w14:textId="77777777" w:rsidR="000A2A2B" w:rsidRPr="007C3060" w:rsidRDefault="000A2A2B" w:rsidP="007C3060"/>
        </w:tc>
      </w:tr>
      <w:tr w:rsidR="004B729E" w:rsidRPr="007C3060" w14:paraId="35AEF3F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12F533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F98F0D8"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5C9CAF" w14:textId="5C5021D7" w:rsidR="000A2A2B" w:rsidRPr="007C3060" w:rsidRDefault="000A2A2B" w:rsidP="007C3060">
            <w:r w:rsidRPr="007C3060">
              <w:t xml:space="preserve">Matsikkerhet, fisk og landbruk,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F3B61F" w14:textId="77777777" w:rsidR="000A2A2B" w:rsidRPr="007C3060" w:rsidRDefault="000A2A2B" w:rsidP="007C3060">
            <w:r w:rsidRPr="007C3060">
              <w:t>2 127 966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9EA73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81CEA8" w14:textId="77777777" w:rsidR="000A2A2B" w:rsidRPr="007C3060" w:rsidRDefault="000A2A2B" w:rsidP="007C3060">
            <w:r w:rsidRPr="007C3060">
              <w:t>-150 000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E1EF87" w14:textId="77777777" w:rsidR="000A2A2B" w:rsidRPr="007C3060" w:rsidRDefault="000A2A2B" w:rsidP="007C3060">
            <w:r w:rsidRPr="007C3060">
              <w:t>1 977 966</w:t>
            </w:r>
          </w:p>
        </w:tc>
      </w:tr>
      <w:tr w:rsidR="004B729E" w:rsidRPr="007C3060" w14:paraId="12AFCF1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3D165F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3410FB7" w14:textId="77777777" w:rsidR="000A2A2B" w:rsidRPr="007C3060" w:rsidRDefault="000A2A2B" w:rsidP="007C3060">
            <w:r w:rsidRPr="007C3060">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04C3A9" w14:textId="77777777" w:rsidR="000A2A2B" w:rsidRPr="007C3060" w:rsidRDefault="000A2A2B" w:rsidP="007C3060">
            <w:proofErr w:type="spellStart"/>
            <w:r w:rsidRPr="007C3060">
              <w:t>Norfund</w:t>
            </w:r>
            <w:proofErr w:type="spellEnd"/>
            <w:r w:rsidRPr="007C3060">
              <w:t xml:space="preserve"> – Ukraina risikokapital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D2FE9E"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7EAD2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C6262E" w14:textId="77777777" w:rsidR="000A2A2B" w:rsidRPr="007C3060" w:rsidRDefault="000A2A2B" w:rsidP="007C3060">
            <w:r w:rsidRPr="007C3060">
              <w:t>125 000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B3B191" w14:textId="77777777" w:rsidR="000A2A2B" w:rsidRPr="007C3060" w:rsidRDefault="000A2A2B" w:rsidP="007C3060">
            <w:r w:rsidRPr="007C3060">
              <w:t>125 000</w:t>
            </w:r>
          </w:p>
        </w:tc>
      </w:tr>
      <w:tr w:rsidR="004B729E" w:rsidRPr="007C3060" w14:paraId="7035D18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DA8367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93D5069" w14:textId="77777777" w:rsidR="000A2A2B" w:rsidRPr="007C3060" w:rsidRDefault="000A2A2B" w:rsidP="007C3060">
            <w:r w:rsidRPr="007C3060">
              <w:t>97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42B160" w14:textId="77777777" w:rsidR="000A2A2B" w:rsidRPr="007C3060" w:rsidRDefault="000A2A2B" w:rsidP="007C3060">
            <w:proofErr w:type="spellStart"/>
            <w:r w:rsidRPr="007C3060">
              <w:t>Norfund</w:t>
            </w:r>
            <w:proofErr w:type="spellEnd"/>
            <w:r w:rsidRPr="007C3060">
              <w:t xml:space="preserve"> – Ukraina kapitalinnskudd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9B7290"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86CB1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2B06B5" w14:textId="77777777" w:rsidR="000A2A2B" w:rsidRPr="007C3060" w:rsidRDefault="000A2A2B" w:rsidP="007C3060">
            <w:r w:rsidRPr="007C3060">
              <w:t>125 000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AD44D0" w14:textId="77777777" w:rsidR="000A2A2B" w:rsidRPr="007C3060" w:rsidRDefault="000A2A2B" w:rsidP="007C3060">
            <w:r w:rsidRPr="007C3060">
              <w:t>125 000</w:t>
            </w:r>
          </w:p>
        </w:tc>
      </w:tr>
      <w:tr w:rsidR="004B729E" w:rsidRPr="007C3060" w14:paraId="2D129E0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BB40C85" w14:textId="77777777" w:rsidR="000A2A2B" w:rsidRPr="007C3060" w:rsidRDefault="000A2A2B" w:rsidP="007C3060">
            <w:r w:rsidRPr="007C3060">
              <w:t>163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5513A7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3D7DAA" w14:textId="77777777" w:rsidR="000A2A2B" w:rsidRPr="007C3060" w:rsidRDefault="000A2A2B" w:rsidP="007C3060">
            <w:r w:rsidRPr="007C3060">
              <w:t>Klima, miljø og hav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0ABBB3"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CF8CCD"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599F5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41B03C" w14:textId="77777777" w:rsidR="000A2A2B" w:rsidRPr="007C3060" w:rsidRDefault="000A2A2B" w:rsidP="007C3060"/>
        </w:tc>
      </w:tr>
      <w:tr w:rsidR="004B729E" w:rsidRPr="007C3060" w14:paraId="0FC5278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E4631A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5EC288B"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DC118B" w14:textId="77777777" w:rsidR="000A2A2B" w:rsidRPr="007C3060" w:rsidRDefault="000A2A2B" w:rsidP="007C3060">
            <w:r w:rsidRPr="007C3060">
              <w:t xml:space="preserve">Miljø og klima,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99F269" w14:textId="77777777" w:rsidR="000A2A2B" w:rsidRPr="007C3060" w:rsidRDefault="000A2A2B" w:rsidP="007C3060">
            <w:r w:rsidRPr="007C3060">
              <w:t>1 843 811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F59C2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748798" w14:textId="77777777" w:rsidR="000A2A2B" w:rsidRPr="007C3060" w:rsidRDefault="000A2A2B" w:rsidP="007C3060">
            <w:r w:rsidRPr="007C3060">
              <w:t>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829CC6" w14:textId="77777777" w:rsidR="000A2A2B" w:rsidRPr="007C3060" w:rsidRDefault="000A2A2B" w:rsidP="007C3060">
            <w:r w:rsidRPr="007C3060">
              <w:t>1 893 811</w:t>
            </w:r>
          </w:p>
        </w:tc>
      </w:tr>
      <w:tr w:rsidR="004B729E" w:rsidRPr="007C3060" w14:paraId="59D34F0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98955F5" w14:textId="77777777" w:rsidR="000A2A2B" w:rsidRPr="007C3060" w:rsidRDefault="000A2A2B" w:rsidP="007C3060">
            <w:r w:rsidRPr="007C3060">
              <w:t>164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4B3668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7130AC" w14:textId="77777777" w:rsidR="000A2A2B" w:rsidRPr="007C3060" w:rsidRDefault="000A2A2B" w:rsidP="007C3060">
            <w:r w:rsidRPr="007C3060">
              <w:t>Likestilling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64F1FA"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A3E63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C31F52"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95831A" w14:textId="77777777" w:rsidR="000A2A2B" w:rsidRPr="007C3060" w:rsidRDefault="000A2A2B" w:rsidP="007C3060"/>
        </w:tc>
      </w:tr>
      <w:tr w:rsidR="004B729E" w:rsidRPr="007C3060" w14:paraId="5E8DEE1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A8B2CB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84011CB"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F78F5B" w14:textId="77777777" w:rsidR="000A2A2B" w:rsidRPr="007C3060" w:rsidRDefault="000A2A2B" w:rsidP="007C3060">
            <w:r w:rsidRPr="007C3060">
              <w:t xml:space="preserve">Likestilling,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438481" w14:textId="77777777" w:rsidR="000A2A2B" w:rsidRPr="007C3060" w:rsidRDefault="000A2A2B" w:rsidP="007C3060">
            <w:r w:rsidRPr="007C3060">
              <w:t>233 319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3F18C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A7B623" w14:textId="77777777" w:rsidR="000A2A2B" w:rsidRPr="007C3060" w:rsidRDefault="000A2A2B" w:rsidP="007C3060">
            <w:r w:rsidRPr="007C3060">
              <w:t>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0316C9" w14:textId="77777777" w:rsidR="000A2A2B" w:rsidRPr="007C3060" w:rsidRDefault="000A2A2B" w:rsidP="007C3060">
            <w:r w:rsidRPr="007C3060">
              <w:t>283 319</w:t>
            </w:r>
          </w:p>
        </w:tc>
      </w:tr>
      <w:tr w:rsidR="004B729E" w:rsidRPr="007C3060" w14:paraId="084475C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5F3D6B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6816666"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42462C" w14:textId="77777777" w:rsidR="000A2A2B" w:rsidRPr="007C3060" w:rsidRDefault="000A2A2B" w:rsidP="007C3060">
            <w:r w:rsidRPr="007C3060">
              <w:t xml:space="preserve">FNs befolkningsfond (UNFPA)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8AEE35" w14:textId="77777777" w:rsidR="000A2A2B" w:rsidRPr="007C3060" w:rsidRDefault="000A2A2B" w:rsidP="007C3060">
            <w:r w:rsidRPr="007C3060">
              <w:t>589 600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E15A7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597B8C" w14:textId="77777777" w:rsidR="000A2A2B" w:rsidRPr="007C3060" w:rsidRDefault="000A2A2B" w:rsidP="007C3060">
            <w:r w:rsidRPr="007C3060">
              <w:t>36 500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E599A7" w14:textId="77777777" w:rsidR="000A2A2B" w:rsidRPr="007C3060" w:rsidRDefault="000A2A2B" w:rsidP="007C3060">
            <w:r w:rsidRPr="007C3060">
              <w:t>626 100</w:t>
            </w:r>
          </w:p>
        </w:tc>
      </w:tr>
      <w:tr w:rsidR="004B729E" w:rsidRPr="007C3060" w14:paraId="6130429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5684D62" w14:textId="77777777" w:rsidR="000A2A2B" w:rsidRPr="007C3060" w:rsidRDefault="000A2A2B" w:rsidP="007C3060">
            <w:r w:rsidRPr="007C3060">
              <w:t>179</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D6D718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A857F2" w14:textId="77777777" w:rsidR="000A2A2B" w:rsidRPr="007C3060" w:rsidRDefault="000A2A2B" w:rsidP="007C3060">
            <w:r w:rsidRPr="007C3060">
              <w:t>Flyktningtiltak i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42E94F"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FD420E"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DC026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560CA7" w14:textId="77777777" w:rsidR="000A2A2B" w:rsidRPr="007C3060" w:rsidRDefault="000A2A2B" w:rsidP="007C3060"/>
        </w:tc>
      </w:tr>
      <w:tr w:rsidR="004B729E" w:rsidRPr="007C3060" w14:paraId="2B4BA1B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376EE6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4A58A16"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AF5A90" w14:textId="77777777" w:rsidR="000A2A2B" w:rsidRPr="007C3060" w:rsidRDefault="000A2A2B" w:rsidP="007C3060">
            <w:r w:rsidRPr="007C306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3227B7" w14:textId="77777777" w:rsidR="000A2A2B" w:rsidRPr="007C3060" w:rsidRDefault="000A2A2B" w:rsidP="007C3060">
            <w:r w:rsidRPr="007C3060">
              <w:t>4 106 133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2A9CC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CD5D87" w14:textId="77777777" w:rsidR="000A2A2B" w:rsidRPr="007C3060" w:rsidRDefault="000A2A2B" w:rsidP="007C3060">
            <w:r w:rsidRPr="007C3060">
              <w:t>-843 705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89D8B7" w14:textId="77777777" w:rsidR="000A2A2B" w:rsidRPr="007C3060" w:rsidRDefault="000A2A2B" w:rsidP="007C3060">
            <w:r w:rsidRPr="007C3060">
              <w:t>3 262 428</w:t>
            </w:r>
          </w:p>
        </w:tc>
      </w:tr>
      <w:tr w:rsidR="004B729E" w:rsidRPr="007C3060" w14:paraId="007E8341"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F8712DE" w14:textId="77777777" w:rsidR="000A2A2B" w:rsidRPr="007C3060" w:rsidRDefault="000A2A2B" w:rsidP="007C3060">
            <w:r w:rsidRPr="007C3060">
              <w:t>Sum endringer Utenriksdepartementet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BEB8306"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50E55BF"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1FC4EB0" w14:textId="77777777" w:rsidR="000A2A2B" w:rsidRPr="007C3060" w:rsidRDefault="000A2A2B" w:rsidP="007C3060">
            <w:r w:rsidRPr="007C3060">
              <w:t>-384 285</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76388A9" w14:textId="77777777" w:rsidR="000A2A2B" w:rsidRPr="007C3060" w:rsidRDefault="000A2A2B" w:rsidP="007C3060"/>
        </w:tc>
      </w:tr>
      <w:tr w:rsidR="004B729E" w:rsidRPr="007C3060" w14:paraId="46EF228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07E0F83" w14:textId="77777777" w:rsidR="000A2A2B" w:rsidRPr="007C3060" w:rsidRDefault="000A2A2B" w:rsidP="007C3060">
            <w:r w:rsidRPr="007C3060">
              <w:t>200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F25BF3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25E09B" w14:textId="77777777" w:rsidR="000A2A2B" w:rsidRPr="007C3060" w:rsidRDefault="000A2A2B" w:rsidP="007C3060">
            <w:r w:rsidRPr="007C3060">
              <w:t>Kunnskapsdepartementet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269C3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448270"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4CD7F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05A09A" w14:textId="77777777" w:rsidR="000A2A2B" w:rsidRPr="007C3060" w:rsidRDefault="000A2A2B" w:rsidP="007C3060"/>
        </w:tc>
      </w:tr>
      <w:tr w:rsidR="004B729E" w:rsidRPr="007C3060" w14:paraId="3C69ADD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F0CE5D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CDB5868"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DB50B1"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B37802" w14:textId="77777777" w:rsidR="000A2A2B" w:rsidRPr="007C3060" w:rsidRDefault="000A2A2B" w:rsidP="007C3060">
            <w:r w:rsidRPr="007C3060">
              <w:t>414 030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0FB92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3F9BA8" w14:textId="77777777" w:rsidR="000A2A2B" w:rsidRPr="007C3060" w:rsidRDefault="000A2A2B" w:rsidP="007C3060">
            <w:r w:rsidRPr="007C3060">
              <w:t>1 007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437198" w14:textId="77777777" w:rsidR="000A2A2B" w:rsidRPr="007C3060" w:rsidRDefault="000A2A2B" w:rsidP="007C3060">
            <w:r w:rsidRPr="007C3060">
              <w:t>415 037</w:t>
            </w:r>
          </w:p>
        </w:tc>
      </w:tr>
      <w:tr w:rsidR="004B729E" w:rsidRPr="007C3060" w14:paraId="227E327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D3EA782" w14:textId="77777777" w:rsidR="000A2A2B" w:rsidRPr="007C3060" w:rsidRDefault="000A2A2B" w:rsidP="007C3060">
            <w:r w:rsidRPr="007C3060">
              <w:t>201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7AD0BF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B16949" w14:textId="77777777" w:rsidR="000A2A2B" w:rsidRPr="007C3060" w:rsidRDefault="000A2A2B" w:rsidP="007C3060">
            <w:r w:rsidRPr="007C3060">
              <w:t>Analyse og kunnskapsgrunnlag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20EBD7"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04542C"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1DF73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A30EDD" w14:textId="77777777" w:rsidR="000A2A2B" w:rsidRPr="007C3060" w:rsidRDefault="000A2A2B" w:rsidP="007C3060"/>
        </w:tc>
      </w:tr>
      <w:tr w:rsidR="004B729E" w:rsidRPr="007C3060" w14:paraId="6C5C029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E62D49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081E0F9"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A07491" w14:textId="77777777" w:rsidR="000A2A2B" w:rsidRPr="007C3060" w:rsidRDefault="000A2A2B" w:rsidP="007C3060">
            <w:r w:rsidRPr="007C306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A4BCC9" w14:textId="77777777" w:rsidR="000A2A2B" w:rsidRPr="007C3060" w:rsidRDefault="000A2A2B" w:rsidP="007C3060">
            <w:r w:rsidRPr="007C3060">
              <w:t>53 731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EB4A4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8C7447" w14:textId="77777777" w:rsidR="000A2A2B" w:rsidRPr="007C3060" w:rsidRDefault="000A2A2B" w:rsidP="007C3060">
            <w:r w:rsidRPr="007C3060">
              <w:t>-1 125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55D1BC" w14:textId="77777777" w:rsidR="000A2A2B" w:rsidRPr="007C3060" w:rsidRDefault="000A2A2B" w:rsidP="007C3060">
            <w:r w:rsidRPr="007C3060">
              <w:t>52 606</w:t>
            </w:r>
          </w:p>
        </w:tc>
      </w:tr>
      <w:tr w:rsidR="004B729E" w:rsidRPr="007C3060" w14:paraId="4E148CD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0DB7CD3" w14:textId="77777777" w:rsidR="000A2A2B" w:rsidRPr="007C3060" w:rsidRDefault="000A2A2B" w:rsidP="007C3060">
            <w:r w:rsidRPr="007C3060">
              <w:t>220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F505FC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7726D0" w14:textId="77777777" w:rsidR="000A2A2B" w:rsidRPr="007C3060" w:rsidRDefault="000A2A2B" w:rsidP="007C3060">
            <w:r w:rsidRPr="007C3060">
              <w:t>Utdanningsdirektoratet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18EB62"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0ABEB5"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42F0C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1B157F" w14:textId="77777777" w:rsidR="000A2A2B" w:rsidRPr="007C3060" w:rsidRDefault="000A2A2B" w:rsidP="007C3060"/>
        </w:tc>
      </w:tr>
      <w:tr w:rsidR="004B729E" w:rsidRPr="007C3060" w14:paraId="01543DF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56CF18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F796E9A"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94DF24"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412FB5" w14:textId="77777777" w:rsidR="000A2A2B" w:rsidRPr="007C3060" w:rsidRDefault="000A2A2B" w:rsidP="007C3060">
            <w:r w:rsidRPr="007C3060">
              <w:t>418 999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D0257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3A49F4" w14:textId="77777777" w:rsidR="000A2A2B" w:rsidRPr="007C3060" w:rsidRDefault="000A2A2B" w:rsidP="007C3060">
            <w:r w:rsidRPr="007C3060">
              <w:t>810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33FBEB" w14:textId="77777777" w:rsidR="000A2A2B" w:rsidRPr="007C3060" w:rsidRDefault="000A2A2B" w:rsidP="007C3060">
            <w:r w:rsidRPr="007C3060">
              <w:t>419 809</w:t>
            </w:r>
          </w:p>
        </w:tc>
      </w:tr>
      <w:tr w:rsidR="004B729E" w:rsidRPr="007C3060" w14:paraId="0711EEA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7D9ED2C" w14:textId="77777777" w:rsidR="000A2A2B" w:rsidRPr="007C3060" w:rsidRDefault="000A2A2B" w:rsidP="007C3060">
            <w:r w:rsidRPr="007C3060">
              <w:t>224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E6C6C8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8D5213" w14:textId="77777777" w:rsidR="000A2A2B" w:rsidRPr="007C3060" w:rsidRDefault="000A2A2B" w:rsidP="007C3060">
            <w:r w:rsidRPr="007C3060">
              <w:t>Tilskudd til freds- og menneske-rettighetssentre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9273DE"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73B60E"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1C2FF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68304E" w14:textId="77777777" w:rsidR="000A2A2B" w:rsidRPr="007C3060" w:rsidRDefault="000A2A2B" w:rsidP="007C3060"/>
        </w:tc>
      </w:tr>
      <w:tr w:rsidR="004B729E" w:rsidRPr="007C3060" w14:paraId="5031D5D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5FCB5E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ADC800B"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290740" w14:textId="77777777" w:rsidR="000A2A2B" w:rsidRPr="007C3060" w:rsidRDefault="000A2A2B" w:rsidP="007C3060">
            <w:r w:rsidRPr="007C3060">
              <w:t xml:space="preserve">Freds- og menneskerettighetssentre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08199D" w14:textId="77777777" w:rsidR="000A2A2B" w:rsidRPr="007C3060" w:rsidRDefault="000A2A2B" w:rsidP="007C3060">
            <w:r w:rsidRPr="007C3060">
              <w:t>173 927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CB5D1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BE6EDB" w14:textId="77777777" w:rsidR="000A2A2B" w:rsidRPr="007C3060" w:rsidRDefault="000A2A2B" w:rsidP="007C3060">
            <w:r w:rsidRPr="007C3060">
              <w:t>1 500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AF8FF1" w14:textId="77777777" w:rsidR="000A2A2B" w:rsidRPr="007C3060" w:rsidRDefault="000A2A2B" w:rsidP="007C3060">
            <w:r w:rsidRPr="007C3060">
              <w:t>175 427</w:t>
            </w:r>
          </w:p>
        </w:tc>
      </w:tr>
      <w:tr w:rsidR="004B729E" w:rsidRPr="007C3060" w14:paraId="6A5AFB19"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22E63370" w14:textId="77777777" w:rsidR="000A2A2B" w:rsidRPr="007C3060" w:rsidRDefault="000A2A2B" w:rsidP="007C3060">
            <w:r w:rsidRPr="007C3060">
              <w:lastRenderedPageBreak/>
              <w:t>225</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vAlign w:val="bottom"/>
          </w:tcPr>
          <w:p w14:paraId="74501358"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F0317FF" w14:textId="77777777" w:rsidR="000A2A2B" w:rsidRPr="007C3060" w:rsidRDefault="000A2A2B" w:rsidP="007C3060">
            <w:r w:rsidRPr="007C3060">
              <w:t>Tiltak i grunnopplæringen</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4BC6361"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A3D86F5"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56F55A0"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B348EE7" w14:textId="77777777" w:rsidR="000A2A2B" w:rsidRPr="007C3060" w:rsidRDefault="000A2A2B" w:rsidP="007C3060"/>
        </w:tc>
      </w:tr>
      <w:tr w:rsidR="004B729E" w:rsidRPr="007C3060" w14:paraId="274701AA"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F5FDD5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BBB956B" w14:textId="77777777" w:rsidR="000A2A2B" w:rsidRPr="007C3060" w:rsidRDefault="000A2A2B" w:rsidP="007C3060">
            <w:r w:rsidRPr="007C3060">
              <w:t>64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600DE6" w14:textId="77777777" w:rsidR="000A2A2B" w:rsidRPr="007C3060" w:rsidRDefault="000A2A2B" w:rsidP="007C3060">
            <w:r w:rsidRPr="007C3060">
              <w:t xml:space="preserve">Tilskudd til opplæring av barn og unge som søker opphold i Norge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021D33" w14:textId="77777777" w:rsidR="000A2A2B" w:rsidRPr="007C3060" w:rsidRDefault="000A2A2B" w:rsidP="007C3060">
            <w:r w:rsidRPr="007C3060">
              <w:t>375 924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2715E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8019CF" w14:textId="77777777" w:rsidR="000A2A2B" w:rsidRPr="007C3060" w:rsidRDefault="000A2A2B" w:rsidP="007C3060">
            <w:r w:rsidRPr="007C3060">
              <w:t>-92 476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6ADA57" w14:textId="77777777" w:rsidR="000A2A2B" w:rsidRPr="007C3060" w:rsidRDefault="000A2A2B" w:rsidP="007C3060">
            <w:r w:rsidRPr="007C3060">
              <w:t>283 448</w:t>
            </w:r>
          </w:p>
        </w:tc>
      </w:tr>
      <w:tr w:rsidR="004B729E" w:rsidRPr="007C3060" w14:paraId="3EAC767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A17AA3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8EA5A40" w14:textId="77777777" w:rsidR="000A2A2B" w:rsidRPr="007C3060" w:rsidRDefault="000A2A2B" w:rsidP="007C3060">
            <w:r w:rsidRPr="007C3060">
              <w:t>68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95014C" w14:textId="77777777" w:rsidR="000A2A2B" w:rsidRPr="007C3060" w:rsidRDefault="000A2A2B" w:rsidP="007C3060">
            <w:r w:rsidRPr="007C3060">
              <w:t xml:space="preserve">Tilskudd til opplæring i kriminalomsorgen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5F955B" w14:textId="77777777" w:rsidR="000A2A2B" w:rsidRPr="007C3060" w:rsidRDefault="000A2A2B" w:rsidP="007C3060">
            <w:r w:rsidRPr="007C3060">
              <w:t>362 249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F1883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04979A" w14:textId="77777777" w:rsidR="000A2A2B" w:rsidRPr="007C3060" w:rsidRDefault="000A2A2B" w:rsidP="007C3060">
            <w:r w:rsidRPr="007C3060">
              <w:t>1 841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38CA10" w14:textId="77777777" w:rsidR="000A2A2B" w:rsidRPr="007C3060" w:rsidRDefault="000A2A2B" w:rsidP="007C3060">
            <w:r w:rsidRPr="007C3060">
              <w:t>364 090</w:t>
            </w:r>
          </w:p>
        </w:tc>
      </w:tr>
      <w:tr w:rsidR="004B729E" w:rsidRPr="007C3060" w14:paraId="64774D8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94A9FD4" w14:textId="77777777" w:rsidR="000A2A2B" w:rsidRPr="007C3060" w:rsidRDefault="000A2A2B" w:rsidP="007C3060">
            <w:r w:rsidRPr="007C3060">
              <w:t>226</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EE282F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C76725" w14:textId="77777777" w:rsidR="000A2A2B" w:rsidRPr="007C3060" w:rsidRDefault="000A2A2B" w:rsidP="007C3060">
            <w:r w:rsidRPr="007C3060">
              <w:t>Kvalitetsutvikling i grunnopplæringen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CCC45F"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96206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6578C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D7BCEA" w14:textId="77777777" w:rsidR="000A2A2B" w:rsidRPr="007C3060" w:rsidRDefault="000A2A2B" w:rsidP="007C3060"/>
        </w:tc>
      </w:tr>
      <w:tr w:rsidR="004B729E" w:rsidRPr="007C3060" w14:paraId="77CFB17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FE6ED7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930E6DD"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159710"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50EE12" w14:textId="77777777" w:rsidR="000A2A2B" w:rsidRPr="007C3060" w:rsidRDefault="000A2A2B" w:rsidP="007C3060">
            <w:r w:rsidRPr="007C3060">
              <w:t>1 164 444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C9F74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20A80E" w14:textId="77777777" w:rsidR="000A2A2B" w:rsidRPr="007C3060" w:rsidRDefault="000A2A2B" w:rsidP="007C3060">
            <w:r w:rsidRPr="007C3060">
              <w:t>-11 000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DBD037" w14:textId="77777777" w:rsidR="000A2A2B" w:rsidRPr="007C3060" w:rsidRDefault="000A2A2B" w:rsidP="007C3060">
            <w:r w:rsidRPr="007C3060">
              <w:t>1 153 444</w:t>
            </w:r>
          </w:p>
        </w:tc>
      </w:tr>
      <w:tr w:rsidR="004B729E" w:rsidRPr="007C3060" w14:paraId="2ED2E7A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5D8CFB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9A682DE" w14:textId="77777777" w:rsidR="000A2A2B" w:rsidRPr="007C3060" w:rsidRDefault="000A2A2B" w:rsidP="007C3060">
            <w:r w:rsidRPr="007C3060">
              <w:t>65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F74635" w14:textId="77777777" w:rsidR="000A2A2B" w:rsidRPr="007C3060" w:rsidRDefault="000A2A2B" w:rsidP="007C3060">
            <w:r w:rsidRPr="007C3060">
              <w:t xml:space="preserve">Tilskudd til skolemiljøteam og beredskapsteam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4D24A3" w14:textId="77777777" w:rsidR="000A2A2B" w:rsidRPr="007C3060" w:rsidRDefault="000A2A2B" w:rsidP="007C3060">
            <w:r w:rsidRPr="007C3060">
              <w:t>115 000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8362B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6E2C90"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B091B7" w14:textId="77777777" w:rsidR="000A2A2B" w:rsidRPr="007C3060" w:rsidRDefault="000A2A2B" w:rsidP="007C3060">
            <w:r w:rsidRPr="007C3060">
              <w:t>125 000</w:t>
            </w:r>
          </w:p>
        </w:tc>
      </w:tr>
      <w:tr w:rsidR="004B729E" w:rsidRPr="007C3060" w14:paraId="41959F55"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C0CF6A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85E9B50"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792CA4" w14:textId="77777777" w:rsidR="000A2A2B" w:rsidRPr="007C3060" w:rsidRDefault="000A2A2B" w:rsidP="007C3060">
            <w:r w:rsidRPr="007C3060">
              <w:t xml:space="preserve">Norges forskningsråd – Tilskudd til -vitensentre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B294F3" w14:textId="77777777" w:rsidR="000A2A2B" w:rsidRPr="007C3060" w:rsidRDefault="000A2A2B" w:rsidP="007C3060">
            <w:r w:rsidRPr="007C3060">
              <w:t>119 977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09146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60A36F" w14:textId="77777777" w:rsidR="000A2A2B" w:rsidRPr="007C3060" w:rsidRDefault="000A2A2B" w:rsidP="007C3060">
            <w:r w:rsidRPr="007C3060">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6AC85E" w14:textId="77777777" w:rsidR="000A2A2B" w:rsidRPr="007C3060" w:rsidRDefault="000A2A2B" w:rsidP="007C3060">
            <w:r w:rsidRPr="007C3060">
              <w:t>124 977</w:t>
            </w:r>
          </w:p>
        </w:tc>
      </w:tr>
      <w:tr w:rsidR="004B729E" w:rsidRPr="007C3060" w14:paraId="32E1CAB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40E49E9" w14:textId="77777777" w:rsidR="000A2A2B" w:rsidRPr="007C3060" w:rsidRDefault="000A2A2B" w:rsidP="007C3060">
            <w:r w:rsidRPr="007C3060">
              <w:t>228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33634C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948F69" w14:textId="77777777" w:rsidR="000A2A2B" w:rsidRPr="007C3060" w:rsidRDefault="000A2A2B" w:rsidP="007C3060">
            <w:r w:rsidRPr="007C3060">
              <w:t>Tilskudd til private skoler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4EA16A"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93130F"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4EFF1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9CEAA0" w14:textId="77777777" w:rsidR="000A2A2B" w:rsidRPr="007C3060" w:rsidRDefault="000A2A2B" w:rsidP="007C3060"/>
        </w:tc>
      </w:tr>
      <w:tr w:rsidR="004B729E" w:rsidRPr="007C3060" w14:paraId="000B171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B2B09C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D23DB35"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9D6302" w14:textId="77777777" w:rsidR="000A2A2B" w:rsidRPr="007C3060" w:rsidRDefault="000A2A2B" w:rsidP="007C3060">
            <w:r w:rsidRPr="007C3060">
              <w:t xml:space="preserve">Private grunnskoler,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EC2D01" w14:textId="77777777" w:rsidR="000A2A2B" w:rsidRPr="007C3060" w:rsidRDefault="000A2A2B" w:rsidP="007C3060">
            <w:r w:rsidRPr="007C3060">
              <w:t>4 234 236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873AB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E40634" w14:textId="77777777" w:rsidR="000A2A2B" w:rsidRPr="007C3060" w:rsidRDefault="000A2A2B" w:rsidP="007C3060">
            <w:r w:rsidRPr="007C3060">
              <w:t>17 613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CEA134" w14:textId="77777777" w:rsidR="000A2A2B" w:rsidRPr="007C3060" w:rsidRDefault="000A2A2B" w:rsidP="007C3060">
            <w:r w:rsidRPr="007C3060">
              <w:t>4 251 849</w:t>
            </w:r>
          </w:p>
        </w:tc>
      </w:tr>
      <w:tr w:rsidR="004B729E" w:rsidRPr="007C3060" w14:paraId="0A0E35F3"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481B26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EA72770"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A0D65F" w14:textId="092F1ED5" w:rsidR="000A2A2B" w:rsidRPr="007C3060" w:rsidRDefault="000A2A2B" w:rsidP="007C3060">
            <w:r w:rsidRPr="007C3060">
              <w:t xml:space="preserve">Private grunnskoler i utlandet,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4CB675" w14:textId="77777777" w:rsidR="000A2A2B" w:rsidRPr="007C3060" w:rsidRDefault="000A2A2B" w:rsidP="007C3060">
            <w:r w:rsidRPr="007C3060">
              <w:t>166 069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0065F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54AF2A" w14:textId="77777777" w:rsidR="000A2A2B" w:rsidRPr="007C3060" w:rsidRDefault="000A2A2B" w:rsidP="007C3060">
            <w:r w:rsidRPr="007C3060">
              <w:t>837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D0B074" w14:textId="77777777" w:rsidR="000A2A2B" w:rsidRPr="007C3060" w:rsidRDefault="000A2A2B" w:rsidP="007C3060">
            <w:r w:rsidRPr="007C3060">
              <w:t>166 906</w:t>
            </w:r>
          </w:p>
        </w:tc>
      </w:tr>
      <w:tr w:rsidR="004B729E" w:rsidRPr="007C3060" w14:paraId="0FA1C0EF"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E385CA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3476768" w14:textId="77777777" w:rsidR="000A2A2B" w:rsidRPr="007C3060" w:rsidRDefault="000A2A2B" w:rsidP="007C3060">
            <w:r w:rsidRPr="007C3060">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56DA78" w14:textId="6A5B34F8" w:rsidR="000A2A2B" w:rsidRPr="007C3060" w:rsidRDefault="000A2A2B" w:rsidP="007C3060">
            <w:r w:rsidRPr="007C3060">
              <w:t xml:space="preserve">Den tysk-norske skolen i Oslo,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0817B2" w14:textId="77777777" w:rsidR="000A2A2B" w:rsidRPr="007C3060" w:rsidRDefault="000A2A2B" w:rsidP="007C3060">
            <w:r w:rsidRPr="007C3060">
              <w:t>36 193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81C2E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20184C" w14:textId="77777777" w:rsidR="000A2A2B" w:rsidRPr="007C3060" w:rsidRDefault="000A2A2B" w:rsidP="007C3060">
            <w:r w:rsidRPr="007C3060">
              <w:t>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512268" w14:textId="77777777" w:rsidR="000A2A2B" w:rsidRPr="007C3060" w:rsidRDefault="000A2A2B" w:rsidP="007C3060">
            <w:r w:rsidRPr="007C3060">
              <w:t>44 193</w:t>
            </w:r>
          </w:p>
        </w:tc>
      </w:tr>
      <w:tr w:rsidR="004B729E" w:rsidRPr="007C3060" w14:paraId="141798E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B73396F" w14:textId="77777777" w:rsidR="000A2A2B" w:rsidRPr="007C3060" w:rsidRDefault="000A2A2B" w:rsidP="007C3060">
            <w:r w:rsidRPr="007C3060">
              <w:t>230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E6F4266"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530C30" w14:textId="77777777" w:rsidR="000A2A2B" w:rsidRPr="007C3060" w:rsidRDefault="000A2A2B" w:rsidP="007C3060">
            <w:r w:rsidRPr="007C3060">
              <w:t>Statlig spesialpedagogisk tjeneste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074BB3"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F0100F"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A4D6D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D36D5E" w14:textId="77777777" w:rsidR="000A2A2B" w:rsidRPr="007C3060" w:rsidRDefault="000A2A2B" w:rsidP="007C3060"/>
        </w:tc>
      </w:tr>
      <w:tr w:rsidR="004B729E" w:rsidRPr="007C3060" w14:paraId="5C50B0A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850882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4849556"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61FB88"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FB4A7A" w14:textId="77777777" w:rsidR="000A2A2B" w:rsidRPr="007C3060" w:rsidRDefault="000A2A2B" w:rsidP="007C3060">
            <w:r w:rsidRPr="007C3060">
              <w:t>606 613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64FB6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0D19B2" w14:textId="77777777" w:rsidR="000A2A2B" w:rsidRPr="007C3060" w:rsidRDefault="000A2A2B" w:rsidP="007C3060">
            <w:r w:rsidRPr="007C3060">
              <w:t>1 600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9FB0DB" w14:textId="77777777" w:rsidR="000A2A2B" w:rsidRPr="007C3060" w:rsidRDefault="000A2A2B" w:rsidP="007C3060">
            <w:r w:rsidRPr="007C3060">
              <w:t>608 213</w:t>
            </w:r>
          </w:p>
        </w:tc>
      </w:tr>
      <w:tr w:rsidR="004B729E" w:rsidRPr="007C3060" w14:paraId="20B594F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E96C513" w14:textId="77777777" w:rsidR="000A2A2B" w:rsidRPr="007C3060" w:rsidRDefault="000A2A2B" w:rsidP="007C3060">
            <w:r w:rsidRPr="007C3060">
              <w:t>231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91336C8"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295812" w14:textId="77777777" w:rsidR="000A2A2B" w:rsidRPr="007C3060" w:rsidRDefault="000A2A2B" w:rsidP="007C3060">
            <w:r w:rsidRPr="007C3060">
              <w:t>Barnehager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2473F7"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81CB3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5E840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FCDCF6" w14:textId="77777777" w:rsidR="000A2A2B" w:rsidRPr="007C3060" w:rsidRDefault="000A2A2B" w:rsidP="007C3060"/>
        </w:tc>
      </w:tr>
      <w:tr w:rsidR="004B729E" w:rsidRPr="007C3060" w14:paraId="12BAE06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120D27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3383B44"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464D2F"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0BE7BA" w14:textId="77777777" w:rsidR="000A2A2B" w:rsidRPr="007C3060" w:rsidRDefault="000A2A2B" w:rsidP="007C3060">
            <w:r w:rsidRPr="007C3060">
              <w:t>761 967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C5BAE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9F7B18" w14:textId="77777777" w:rsidR="000A2A2B" w:rsidRPr="007C3060" w:rsidRDefault="000A2A2B" w:rsidP="007C3060">
            <w:r w:rsidRPr="007C3060">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421F62" w14:textId="77777777" w:rsidR="000A2A2B" w:rsidRPr="007C3060" w:rsidRDefault="000A2A2B" w:rsidP="007C3060">
            <w:r w:rsidRPr="007C3060">
              <w:t>756 967</w:t>
            </w:r>
          </w:p>
        </w:tc>
      </w:tr>
      <w:tr w:rsidR="004B729E" w:rsidRPr="007C3060" w14:paraId="64D475D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63E7A53" w14:textId="77777777" w:rsidR="000A2A2B" w:rsidRPr="007C3060" w:rsidRDefault="000A2A2B" w:rsidP="007C3060">
            <w:r w:rsidRPr="007C3060">
              <w:t>253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5E78583"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F9D7BE" w14:textId="77777777" w:rsidR="000A2A2B" w:rsidRPr="007C3060" w:rsidRDefault="000A2A2B" w:rsidP="007C3060">
            <w:r w:rsidRPr="007C3060">
              <w:t>Folkehøyskoler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D6761B"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7DBAB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71785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237F38" w14:textId="77777777" w:rsidR="000A2A2B" w:rsidRPr="007C3060" w:rsidRDefault="000A2A2B" w:rsidP="007C3060"/>
        </w:tc>
      </w:tr>
      <w:tr w:rsidR="004B729E" w:rsidRPr="007C3060" w14:paraId="481A4B2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5BA760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D4FB79A"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43517C" w14:textId="77777777" w:rsidR="000A2A2B" w:rsidRPr="007C3060" w:rsidRDefault="000A2A2B" w:rsidP="007C3060">
            <w:r w:rsidRPr="007C3060">
              <w:t>Tilskudd til folkehøyskoler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99C0EA" w14:textId="77777777" w:rsidR="000A2A2B" w:rsidRPr="007C3060" w:rsidRDefault="000A2A2B" w:rsidP="007C3060">
            <w:r w:rsidRPr="007C3060">
              <w:t>1 151 691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8A93B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50E077" w14:textId="77777777" w:rsidR="000A2A2B" w:rsidRPr="007C3060" w:rsidRDefault="000A2A2B" w:rsidP="007C3060">
            <w:r w:rsidRPr="007C3060">
              <w:t>1 500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C0160A" w14:textId="77777777" w:rsidR="000A2A2B" w:rsidRPr="007C3060" w:rsidRDefault="000A2A2B" w:rsidP="007C3060">
            <w:r w:rsidRPr="007C3060">
              <w:t>1 153 191</w:t>
            </w:r>
          </w:p>
        </w:tc>
      </w:tr>
      <w:tr w:rsidR="004B729E" w:rsidRPr="007C3060" w14:paraId="7843F8E1"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3C323D7" w14:textId="77777777" w:rsidR="000A2A2B" w:rsidRPr="007C3060" w:rsidRDefault="000A2A2B" w:rsidP="007C3060">
            <w:r w:rsidRPr="007C3060">
              <w:t>256</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042B9CF"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DF17B5" w14:textId="480BF8B7" w:rsidR="000A2A2B" w:rsidRPr="007C3060" w:rsidRDefault="000A2A2B" w:rsidP="007C3060">
            <w:r w:rsidRPr="007C3060">
              <w:t>Direktoratet for høyere utdanning og kompetanse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9D6EF7"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B6EF71"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0CA99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D353D5" w14:textId="77777777" w:rsidR="000A2A2B" w:rsidRPr="007C3060" w:rsidRDefault="000A2A2B" w:rsidP="007C3060"/>
        </w:tc>
      </w:tr>
      <w:tr w:rsidR="004B729E" w:rsidRPr="007C3060" w14:paraId="57F207A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2AFBC2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AD24471"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986AD5"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4747AB" w14:textId="77777777" w:rsidR="000A2A2B" w:rsidRPr="007C3060" w:rsidRDefault="000A2A2B" w:rsidP="007C3060">
            <w:r w:rsidRPr="007C3060">
              <w:t>501 230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95403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CE4B30" w14:textId="77777777" w:rsidR="000A2A2B" w:rsidRPr="007C3060" w:rsidRDefault="000A2A2B" w:rsidP="007C3060">
            <w:r w:rsidRPr="007C3060">
              <w:t>3 002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2740EA" w14:textId="77777777" w:rsidR="000A2A2B" w:rsidRPr="007C3060" w:rsidRDefault="000A2A2B" w:rsidP="007C3060">
            <w:r w:rsidRPr="007C3060">
              <w:t>504 232</w:t>
            </w:r>
          </w:p>
        </w:tc>
      </w:tr>
      <w:tr w:rsidR="004B729E" w:rsidRPr="007C3060" w14:paraId="5269043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B1B9549" w14:textId="77777777" w:rsidR="000A2A2B" w:rsidRPr="007C3060" w:rsidRDefault="000A2A2B" w:rsidP="007C3060">
            <w:r w:rsidRPr="007C3060">
              <w:t>257</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C3AFDA4"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215A9D" w14:textId="77777777" w:rsidR="000A2A2B" w:rsidRPr="007C3060" w:rsidRDefault="000A2A2B" w:rsidP="007C3060">
            <w:r w:rsidRPr="007C3060">
              <w:t>Kompetanseprogrammet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9E116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0D6FA2"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8078F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AC55EC" w14:textId="77777777" w:rsidR="000A2A2B" w:rsidRPr="007C3060" w:rsidRDefault="000A2A2B" w:rsidP="007C3060"/>
        </w:tc>
      </w:tr>
      <w:tr w:rsidR="004B729E" w:rsidRPr="007C3060" w14:paraId="6448F7B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1D2B44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B59DD08"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815752" w14:textId="77777777" w:rsidR="000A2A2B" w:rsidRPr="007C3060" w:rsidRDefault="000A2A2B" w:rsidP="007C3060">
            <w:r w:rsidRPr="007C3060">
              <w:t xml:space="preserve">Tilskudd,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FFAF58" w14:textId="77777777" w:rsidR="000A2A2B" w:rsidRPr="007C3060" w:rsidRDefault="000A2A2B" w:rsidP="007C3060">
            <w:r w:rsidRPr="007C3060">
              <w:t>217 910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F6928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60B497" w14:textId="77777777" w:rsidR="000A2A2B" w:rsidRPr="007C3060" w:rsidRDefault="000A2A2B" w:rsidP="007C3060">
            <w:r w:rsidRPr="007C3060">
              <w:t>-55 615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FCD375" w14:textId="77777777" w:rsidR="000A2A2B" w:rsidRPr="007C3060" w:rsidRDefault="000A2A2B" w:rsidP="007C3060">
            <w:r w:rsidRPr="007C3060">
              <w:t>162 295</w:t>
            </w:r>
          </w:p>
        </w:tc>
      </w:tr>
      <w:tr w:rsidR="004B729E" w:rsidRPr="007C3060" w14:paraId="30CDC9A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E54C508" w14:textId="77777777" w:rsidR="000A2A2B" w:rsidRPr="007C3060" w:rsidRDefault="000A2A2B" w:rsidP="007C3060">
            <w:r w:rsidRPr="007C3060">
              <w:t>258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517A6A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618AAC" w14:textId="77777777" w:rsidR="000A2A2B" w:rsidRPr="007C3060" w:rsidRDefault="000A2A2B" w:rsidP="007C3060">
            <w:r w:rsidRPr="007C3060">
              <w:t>Tiltak for livslang læring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11A3E7"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C9B055"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7E776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B8ACE5" w14:textId="77777777" w:rsidR="000A2A2B" w:rsidRPr="007C3060" w:rsidRDefault="000A2A2B" w:rsidP="007C3060"/>
        </w:tc>
      </w:tr>
      <w:tr w:rsidR="004B729E" w:rsidRPr="007C3060" w14:paraId="70CDF3F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1BDB3E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5AB9383"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46E653"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FEE0E8" w14:textId="77777777" w:rsidR="000A2A2B" w:rsidRPr="007C3060" w:rsidRDefault="000A2A2B" w:rsidP="007C3060">
            <w:r w:rsidRPr="007C3060">
              <w:t>99 329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070D8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9FE24C" w14:textId="77777777" w:rsidR="000A2A2B" w:rsidRPr="007C3060" w:rsidRDefault="000A2A2B" w:rsidP="007C3060">
            <w:r w:rsidRPr="007C3060">
              <w:t>-6 600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B92BB2" w14:textId="77777777" w:rsidR="000A2A2B" w:rsidRPr="007C3060" w:rsidRDefault="000A2A2B" w:rsidP="007C3060">
            <w:r w:rsidRPr="007C3060">
              <w:t>92 729</w:t>
            </w:r>
          </w:p>
        </w:tc>
      </w:tr>
      <w:tr w:rsidR="004B729E" w:rsidRPr="007C3060" w14:paraId="0ED7E4A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8158D05" w14:textId="77777777" w:rsidR="000A2A2B" w:rsidRPr="007C3060" w:rsidRDefault="000A2A2B" w:rsidP="007C3060">
            <w:r w:rsidRPr="007C3060">
              <w:t>260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DCFD28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CB88F7" w14:textId="77777777" w:rsidR="000A2A2B" w:rsidRPr="007C3060" w:rsidRDefault="000A2A2B" w:rsidP="007C3060">
            <w:r w:rsidRPr="007C3060">
              <w:t>Universiteter og høyskoler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52270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AEF87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7F331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D8EBB9" w14:textId="77777777" w:rsidR="000A2A2B" w:rsidRPr="007C3060" w:rsidRDefault="000A2A2B" w:rsidP="007C3060"/>
        </w:tc>
      </w:tr>
      <w:tr w:rsidR="004B729E" w:rsidRPr="007C3060" w14:paraId="094B702A"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0B6AFF2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2CC69DE" w14:textId="77777777" w:rsidR="000A2A2B" w:rsidRPr="007C3060" w:rsidRDefault="000A2A2B" w:rsidP="007C3060">
            <w:r w:rsidRPr="007C306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06418B" w14:textId="0E517088" w:rsidR="000A2A2B" w:rsidRPr="007C3060" w:rsidRDefault="000A2A2B" w:rsidP="007C3060">
            <w:r w:rsidRPr="007C3060">
              <w:t xml:space="preserve">Statlige universiteter og høyskoler, </w:t>
            </w:r>
            <w:r w:rsidRPr="007C3060">
              <w:rPr>
                <w:rStyle w:val="kursiv"/>
              </w:rPr>
              <w:t>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0D2771" w14:textId="77777777" w:rsidR="000A2A2B" w:rsidRPr="007C3060" w:rsidRDefault="000A2A2B" w:rsidP="007C3060">
            <w:r w:rsidRPr="007C3060">
              <w:t>44 160 977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AF11D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4D0FC5" w14:textId="77777777" w:rsidR="000A2A2B" w:rsidRPr="007C3060" w:rsidRDefault="000A2A2B" w:rsidP="007C3060">
            <w:r w:rsidRPr="007C3060">
              <w:t>-18 742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62D328" w14:textId="77777777" w:rsidR="000A2A2B" w:rsidRPr="007C3060" w:rsidRDefault="000A2A2B" w:rsidP="007C3060">
            <w:r w:rsidRPr="007C3060">
              <w:t>44 142 235</w:t>
            </w:r>
          </w:p>
        </w:tc>
      </w:tr>
      <w:tr w:rsidR="004B729E" w:rsidRPr="007C3060" w14:paraId="715ACE3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E1AAB7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02FB9A9"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F2574B" w14:textId="77777777" w:rsidR="000A2A2B" w:rsidRPr="007C3060" w:rsidRDefault="000A2A2B" w:rsidP="007C3060">
            <w:r w:rsidRPr="007C3060">
              <w:t xml:space="preserve">Private høyskoler, </w:t>
            </w:r>
            <w:r w:rsidRPr="007C3060">
              <w:rPr>
                <w:rStyle w:val="kursiv"/>
              </w:rPr>
              <w:t>kan nyttes under post 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0BBC59" w14:textId="77777777" w:rsidR="000A2A2B" w:rsidRPr="007C3060" w:rsidRDefault="000A2A2B" w:rsidP="007C3060">
            <w:r w:rsidRPr="007C3060">
              <w:t>2 310 741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4595F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96492B" w14:textId="77777777" w:rsidR="000A2A2B" w:rsidRPr="007C3060" w:rsidRDefault="000A2A2B" w:rsidP="007C3060">
            <w:r w:rsidRPr="007C3060">
              <w:t>2 742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81D1CF" w14:textId="77777777" w:rsidR="000A2A2B" w:rsidRPr="007C3060" w:rsidRDefault="000A2A2B" w:rsidP="007C3060">
            <w:r w:rsidRPr="007C3060">
              <w:t>2 313 483</w:t>
            </w:r>
          </w:p>
        </w:tc>
      </w:tr>
      <w:tr w:rsidR="004B729E" w:rsidRPr="007C3060" w14:paraId="6C3499F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3A5C98E" w14:textId="77777777" w:rsidR="000A2A2B" w:rsidRPr="007C3060" w:rsidRDefault="000A2A2B" w:rsidP="007C3060">
            <w:r w:rsidRPr="007C3060">
              <w:t>270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A3221A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40FD8D" w14:textId="77777777" w:rsidR="000A2A2B" w:rsidRPr="007C3060" w:rsidRDefault="000A2A2B" w:rsidP="007C3060">
            <w:r w:rsidRPr="007C3060">
              <w:t>Studentvelferd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4BB874"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F016C0"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A5BF7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AEC126" w14:textId="77777777" w:rsidR="000A2A2B" w:rsidRPr="007C3060" w:rsidRDefault="000A2A2B" w:rsidP="007C3060"/>
        </w:tc>
      </w:tr>
      <w:tr w:rsidR="004B729E" w:rsidRPr="007C3060" w14:paraId="54DA9C4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9032CF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9E0B501" w14:textId="77777777" w:rsidR="000A2A2B" w:rsidRPr="007C3060" w:rsidRDefault="000A2A2B" w:rsidP="007C3060">
            <w:r w:rsidRPr="007C306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8CC6D2" w14:textId="77777777" w:rsidR="000A2A2B" w:rsidRPr="007C3060" w:rsidRDefault="000A2A2B" w:rsidP="007C3060">
            <w:r w:rsidRPr="007C3060">
              <w:t xml:space="preserve">Tilskudd til bygging av studentboliger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B44FDD" w14:textId="77777777" w:rsidR="000A2A2B" w:rsidRPr="007C3060" w:rsidRDefault="000A2A2B" w:rsidP="007C3060">
            <w:r w:rsidRPr="007C3060">
              <w:t>806 570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68A88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1520D2" w14:textId="77777777" w:rsidR="000A2A2B" w:rsidRPr="007C3060" w:rsidRDefault="000A2A2B" w:rsidP="007C3060">
            <w:r w:rsidRPr="007C3060">
              <w:t>303 605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990ED3" w14:textId="77777777" w:rsidR="000A2A2B" w:rsidRPr="007C3060" w:rsidRDefault="000A2A2B" w:rsidP="007C3060">
            <w:r w:rsidRPr="007C3060">
              <w:t>1 110 175</w:t>
            </w:r>
          </w:p>
        </w:tc>
      </w:tr>
      <w:tr w:rsidR="004B729E" w:rsidRPr="007C3060" w14:paraId="73DE96B5"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61AA31A6" w14:textId="77777777" w:rsidR="000A2A2B" w:rsidRPr="007C3060" w:rsidRDefault="000A2A2B" w:rsidP="007C3060">
            <w:r w:rsidRPr="007C3060">
              <w:t>271</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vAlign w:val="bottom"/>
          </w:tcPr>
          <w:p w14:paraId="593F8FAF"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678195E" w14:textId="77777777" w:rsidR="000A2A2B" w:rsidRPr="007C3060" w:rsidRDefault="000A2A2B" w:rsidP="007C3060">
            <w:r w:rsidRPr="007C3060">
              <w:t>Nasjonalt organ for kvalitet i utdanningen</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8722175"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D7A7E83"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F544EEA"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064535B" w14:textId="77777777" w:rsidR="000A2A2B" w:rsidRPr="007C3060" w:rsidRDefault="000A2A2B" w:rsidP="007C3060"/>
        </w:tc>
      </w:tr>
      <w:tr w:rsidR="004B729E" w:rsidRPr="007C3060" w14:paraId="329B6BF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D4896F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4D53DDB"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B2BB26"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C26A50" w14:textId="77777777" w:rsidR="000A2A2B" w:rsidRPr="007C3060" w:rsidRDefault="000A2A2B" w:rsidP="007C3060">
            <w:r w:rsidRPr="007C3060">
              <w:t>135 052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7539C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377D43" w14:textId="77777777" w:rsidR="000A2A2B" w:rsidRPr="007C3060" w:rsidRDefault="000A2A2B" w:rsidP="007C3060">
            <w:r w:rsidRPr="007C3060">
              <w:t>8 518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CD3C9E" w14:textId="77777777" w:rsidR="000A2A2B" w:rsidRPr="007C3060" w:rsidRDefault="000A2A2B" w:rsidP="007C3060">
            <w:r w:rsidRPr="007C3060">
              <w:t>143 570</w:t>
            </w:r>
          </w:p>
        </w:tc>
      </w:tr>
      <w:tr w:rsidR="004B729E" w:rsidRPr="007C3060" w14:paraId="0AEACF13"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0F89B228" w14:textId="77777777" w:rsidR="000A2A2B" w:rsidRPr="007C3060" w:rsidRDefault="000A2A2B" w:rsidP="007C3060">
            <w:r w:rsidRPr="007C3060">
              <w:t>272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08470B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E3E6B4" w14:textId="77777777" w:rsidR="000A2A2B" w:rsidRPr="007C3060" w:rsidRDefault="000A2A2B" w:rsidP="007C3060">
            <w:r w:rsidRPr="007C3060">
              <w:t>Tiltak for internasjonalisering og høyere utdanning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166E45"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910F9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106C2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12BD09" w14:textId="77777777" w:rsidR="000A2A2B" w:rsidRPr="007C3060" w:rsidRDefault="000A2A2B" w:rsidP="007C3060"/>
        </w:tc>
      </w:tr>
      <w:tr w:rsidR="004B729E" w:rsidRPr="007C3060" w14:paraId="1874E41F"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D16C65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DC411E3"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EEE4F2" w14:textId="77777777" w:rsidR="000A2A2B" w:rsidRPr="007C3060" w:rsidRDefault="000A2A2B" w:rsidP="007C3060">
            <w:r w:rsidRPr="007C3060">
              <w:t xml:space="preserve">Tilskudd til tiltak for internasjonalisering,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D1C339" w14:textId="77777777" w:rsidR="000A2A2B" w:rsidRPr="007C3060" w:rsidRDefault="000A2A2B" w:rsidP="007C3060">
            <w:r w:rsidRPr="007C3060">
              <w:t>172 829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3B3B1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56FC4F" w14:textId="77777777" w:rsidR="000A2A2B" w:rsidRPr="007C3060" w:rsidRDefault="000A2A2B" w:rsidP="007C3060">
            <w:r w:rsidRPr="007C3060">
              <w:t>-16 205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1A2E74" w14:textId="77777777" w:rsidR="000A2A2B" w:rsidRPr="007C3060" w:rsidRDefault="000A2A2B" w:rsidP="007C3060">
            <w:r w:rsidRPr="007C3060">
              <w:t>156 624</w:t>
            </w:r>
          </w:p>
        </w:tc>
      </w:tr>
      <w:tr w:rsidR="004B729E" w:rsidRPr="007C3060" w14:paraId="051AB8F8"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76033C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0AF542D"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3D17FF" w14:textId="77777777" w:rsidR="000A2A2B" w:rsidRPr="007C3060" w:rsidRDefault="000A2A2B" w:rsidP="007C3060">
            <w:r w:rsidRPr="007C3060">
              <w:t xml:space="preserve">Tilskudd til tiltak for høyere utdanning,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CE365B" w14:textId="77777777" w:rsidR="000A2A2B" w:rsidRPr="007C3060" w:rsidRDefault="000A2A2B" w:rsidP="007C3060">
            <w:r w:rsidRPr="007C3060">
              <w:t>156 808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07F4A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42C8AF" w14:textId="77777777" w:rsidR="000A2A2B" w:rsidRPr="007C3060" w:rsidRDefault="000A2A2B" w:rsidP="007C3060">
            <w:r w:rsidRPr="007C3060">
              <w:t>-40 148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19C155" w14:textId="77777777" w:rsidR="000A2A2B" w:rsidRPr="007C3060" w:rsidRDefault="000A2A2B" w:rsidP="007C3060">
            <w:r w:rsidRPr="007C3060">
              <w:t>116 660</w:t>
            </w:r>
          </w:p>
        </w:tc>
      </w:tr>
      <w:tr w:rsidR="004B729E" w:rsidRPr="007C3060" w14:paraId="551D2E31"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D36A276" w14:textId="77777777" w:rsidR="000A2A2B" w:rsidRPr="007C3060" w:rsidRDefault="000A2A2B" w:rsidP="007C3060">
            <w:r w:rsidRPr="007C3060">
              <w:t>273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40374B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A06C76" w14:textId="7BA1BC4E" w:rsidR="000A2A2B" w:rsidRPr="007C3060" w:rsidRDefault="000A2A2B" w:rsidP="007C3060">
            <w:r w:rsidRPr="007C3060">
              <w:t>Kunnskapssektorens tjenesteleverandør Sikt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6DD39D"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5C2BD7"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0AB00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108723" w14:textId="77777777" w:rsidR="000A2A2B" w:rsidRPr="007C3060" w:rsidRDefault="000A2A2B" w:rsidP="007C3060"/>
        </w:tc>
      </w:tr>
      <w:tr w:rsidR="004B729E" w:rsidRPr="007C3060" w14:paraId="1D4647E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B81FDE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4F609D8" w14:textId="77777777" w:rsidR="000A2A2B" w:rsidRPr="007C3060" w:rsidRDefault="000A2A2B" w:rsidP="007C3060">
            <w:r w:rsidRPr="007C306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E45A2B" w14:textId="77777777" w:rsidR="000A2A2B" w:rsidRPr="007C3060" w:rsidRDefault="000A2A2B" w:rsidP="007C3060">
            <w:r w:rsidRPr="007C3060">
              <w:t xml:space="preserve">Virksomhetskostnader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63EE07" w14:textId="77777777" w:rsidR="000A2A2B" w:rsidRPr="007C3060" w:rsidRDefault="000A2A2B" w:rsidP="007C3060">
            <w:r w:rsidRPr="007C3060">
              <w:t>442 769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AF442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D7770D" w14:textId="77777777" w:rsidR="000A2A2B" w:rsidRPr="007C3060" w:rsidRDefault="000A2A2B" w:rsidP="007C3060">
            <w:r w:rsidRPr="007C3060">
              <w:t>20 238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FED535" w14:textId="77777777" w:rsidR="000A2A2B" w:rsidRPr="007C3060" w:rsidRDefault="000A2A2B" w:rsidP="007C3060">
            <w:r w:rsidRPr="007C3060">
              <w:t>463 007</w:t>
            </w:r>
          </w:p>
        </w:tc>
      </w:tr>
      <w:tr w:rsidR="004B729E" w:rsidRPr="007C3060" w14:paraId="2D79205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C40D690" w14:textId="77777777" w:rsidR="000A2A2B" w:rsidRPr="007C3060" w:rsidRDefault="000A2A2B" w:rsidP="007C3060">
            <w:r w:rsidRPr="007C3060">
              <w:t>275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E7418E5"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EBE713" w14:textId="77777777" w:rsidR="000A2A2B" w:rsidRPr="007C3060" w:rsidRDefault="000A2A2B" w:rsidP="007C3060">
            <w:r w:rsidRPr="007C3060">
              <w:t>Tiltak for høyere utdanning og forskning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0CB498"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790C41"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D7D5B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2E4E29" w14:textId="77777777" w:rsidR="000A2A2B" w:rsidRPr="007C3060" w:rsidRDefault="000A2A2B" w:rsidP="007C3060"/>
        </w:tc>
      </w:tr>
      <w:tr w:rsidR="004B729E" w:rsidRPr="007C3060" w14:paraId="1A8C3A0E"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ADB3C5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7A7BEE8"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53C58A" w14:textId="06C20130" w:rsidR="000A2A2B" w:rsidRPr="007C3060" w:rsidRDefault="000A2A2B" w:rsidP="007C3060">
            <w:r w:rsidRPr="007C3060">
              <w:t xml:space="preserve">Spesielle driftsutgifter, </w:t>
            </w:r>
            <w:r w:rsidRPr="007C3060">
              <w:rPr>
                <w:rStyle w:val="kursiv"/>
              </w:rPr>
              <w:t>kan </w:t>
            </w:r>
            <w:proofErr w:type="spellStart"/>
            <w:proofErr w:type="gramStart"/>
            <w:r w:rsidRPr="007C3060">
              <w:rPr>
                <w:rStyle w:val="kursiv"/>
              </w:rPr>
              <w:t>overføres,kan</w:t>
            </w:r>
            <w:proofErr w:type="spellEnd"/>
            <w:proofErr w:type="gramEnd"/>
            <w:r w:rsidRPr="007C3060">
              <w:rPr>
                <w:rStyle w:val="kursiv"/>
              </w:rPr>
              <w:t xml:space="preserve">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CE1142" w14:textId="77777777" w:rsidR="000A2A2B" w:rsidRPr="007C3060" w:rsidRDefault="000A2A2B" w:rsidP="007C3060">
            <w:r w:rsidRPr="007C3060">
              <w:t>49 565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78C77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8862A3" w14:textId="77777777" w:rsidR="000A2A2B" w:rsidRPr="007C3060" w:rsidRDefault="000A2A2B" w:rsidP="007C3060">
            <w:r w:rsidRPr="007C3060">
              <w:t>993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3CFB95" w14:textId="77777777" w:rsidR="000A2A2B" w:rsidRPr="007C3060" w:rsidRDefault="000A2A2B" w:rsidP="007C3060">
            <w:r w:rsidRPr="007C3060">
              <w:t>50 558</w:t>
            </w:r>
          </w:p>
        </w:tc>
      </w:tr>
      <w:tr w:rsidR="004B729E" w:rsidRPr="007C3060" w14:paraId="0FE02E9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09BE40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787E28B"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0ACDF4" w14:textId="77777777" w:rsidR="000A2A2B" w:rsidRPr="007C3060" w:rsidRDefault="000A2A2B" w:rsidP="007C3060">
            <w:r w:rsidRPr="007C3060">
              <w:t xml:space="preserve">Tilskudd, </w:t>
            </w:r>
            <w:r w:rsidRPr="007C3060">
              <w:rPr>
                <w:rStyle w:val="kursiv"/>
              </w:rPr>
              <w:t>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8BF338" w14:textId="77777777" w:rsidR="000A2A2B" w:rsidRPr="007C3060" w:rsidRDefault="000A2A2B" w:rsidP="007C3060">
            <w:r w:rsidRPr="007C3060">
              <w:t>79 493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FE5C3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23D47D" w14:textId="77777777" w:rsidR="000A2A2B" w:rsidRPr="007C3060" w:rsidRDefault="000A2A2B" w:rsidP="007C3060">
            <w:r w:rsidRPr="007C3060">
              <w:t>-2 722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9B8F95" w14:textId="77777777" w:rsidR="000A2A2B" w:rsidRPr="007C3060" w:rsidRDefault="000A2A2B" w:rsidP="007C3060">
            <w:r w:rsidRPr="007C3060">
              <w:t>76 771</w:t>
            </w:r>
          </w:p>
        </w:tc>
      </w:tr>
      <w:tr w:rsidR="004B729E" w:rsidRPr="007C3060" w14:paraId="56142B1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668C43B" w14:textId="77777777" w:rsidR="000A2A2B" w:rsidRPr="007C3060" w:rsidRDefault="000A2A2B" w:rsidP="007C3060">
            <w:r w:rsidRPr="007C3060">
              <w:t>285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C3CCFB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F8A558" w14:textId="77777777" w:rsidR="000A2A2B" w:rsidRPr="007C3060" w:rsidRDefault="000A2A2B" w:rsidP="007C3060">
            <w:r w:rsidRPr="007C3060">
              <w:t>Norges forskningsråd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EC1E53"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542B9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185C9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A459C1" w14:textId="77777777" w:rsidR="000A2A2B" w:rsidRPr="007C3060" w:rsidRDefault="000A2A2B" w:rsidP="007C3060"/>
        </w:tc>
      </w:tr>
      <w:tr w:rsidR="004B729E" w:rsidRPr="007C3060" w14:paraId="673E8E8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EC6487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7D76DD2"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9D1B02"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21F02D" w14:textId="77777777" w:rsidR="000A2A2B" w:rsidRPr="007C3060" w:rsidRDefault="000A2A2B" w:rsidP="007C3060">
            <w:r w:rsidRPr="007C3060">
              <w:t>804 120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0796A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2BA097" w14:textId="77777777" w:rsidR="000A2A2B" w:rsidRPr="007C3060" w:rsidRDefault="000A2A2B" w:rsidP="007C3060">
            <w:r w:rsidRPr="007C3060">
              <w:t>-58 580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BCC0D5" w14:textId="77777777" w:rsidR="000A2A2B" w:rsidRPr="007C3060" w:rsidRDefault="000A2A2B" w:rsidP="007C3060">
            <w:r w:rsidRPr="007C3060">
              <w:t>745 540</w:t>
            </w:r>
          </w:p>
        </w:tc>
      </w:tr>
      <w:tr w:rsidR="004B729E" w:rsidRPr="007C3060" w14:paraId="023B1B9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5EDF6F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528C848"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986ED6" w14:textId="77777777" w:rsidR="000A2A2B" w:rsidRPr="007C3060" w:rsidRDefault="000A2A2B" w:rsidP="007C3060">
            <w:r w:rsidRPr="007C306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E0EB2C" w14:textId="77777777" w:rsidR="000A2A2B" w:rsidRPr="007C3060" w:rsidRDefault="000A2A2B" w:rsidP="007C3060">
            <w:r w:rsidRPr="007C3060">
              <w:t>47 214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AAD24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509DDF" w14:textId="77777777" w:rsidR="000A2A2B" w:rsidRPr="007C3060" w:rsidRDefault="000A2A2B" w:rsidP="007C3060">
            <w:r w:rsidRPr="007C3060">
              <w:t>38 925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C52578" w14:textId="77777777" w:rsidR="000A2A2B" w:rsidRPr="007C3060" w:rsidRDefault="000A2A2B" w:rsidP="007C3060">
            <w:r w:rsidRPr="007C3060">
              <w:t>86 139</w:t>
            </w:r>
          </w:p>
        </w:tc>
      </w:tr>
      <w:tr w:rsidR="004B729E" w:rsidRPr="007C3060" w14:paraId="6B4F1FDB"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09DB77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D946FB8"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8EB502" w14:textId="77777777" w:rsidR="000A2A2B" w:rsidRPr="007C3060" w:rsidRDefault="000A2A2B" w:rsidP="007C3060">
            <w:r w:rsidRPr="007C3060">
              <w:t xml:space="preserve">Strategiske forskningsprioriteringer,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C2D0AD" w14:textId="77777777" w:rsidR="000A2A2B" w:rsidRPr="007C3060" w:rsidRDefault="000A2A2B" w:rsidP="007C3060">
            <w:r w:rsidRPr="007C3060">
              <w:t>2 950 898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CC4ED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FA0D1F"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D65386" w14:textId="77777777" w:rsidR="000A2A2B" w:rsidRPr="007C3060" w:rsidRDefault="000A2A2B" w:rsidP="007C3060">
            <w:r w:rsidRPr="007C3060">
              <w:t>2 960 898</w:t>
            </w:r>
          </w:p>
        </w:tc>
      </w:tr>
      <w:tr w:rsidR="004B729E" w:rsidRPr="007C3060" w14:paraId="608CB57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5860F2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2FFB837"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4ACB2D" w14:textId="77777777" w:rsidR="000A2A2B" w:rsidRPr="007C3060" w:rsidRDefault="000A2A2B" w:rsidP="007C3060">
            <w:r w:rsidRPr="007C3060">
              <w:t xml:space="preserve">Langsiktig, grunnleggende forskning,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617C34" w14:textId="77777777" w:rsidR="000A2A2B" w:rsidRPr="007C3060" w:rsidRDefault="000A2A2B" w:rsidP="007C3060">
            <w:r w:rsidRPr="007C3060">
              <w:t>1 663 129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E69E4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53A76B" w14:textId="77777777" w:rsidR="000A2A2B" w:rsidRPr="007C3060" w:rsidRDefault="000A2A2B" w:rsidP="007C3060">
            <w:r w:rsidRPr="007C3060">
              <w:t>-22 200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4A9D99" w14:textId="77777777" w:rsidR="000A2A2B" w:rsidRPr="007C3060" w:rsidRDefault="000A2A2B" w:rsidP="007C3060">
            <w:r w:rsidRPr="007C3060">
              <w:t>1 640 929</w:t>
            </w:r>
          </w:p>
        </w:tc>
      </w:tr>
      <w:tr w:rsidR="004B729E" w:rsidRPr="007C3060" w14:paraId="4C1F4AD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119BF78" w14:textId="77777777" w:rsidR="000A2A2B" w:rsidRPr="007C3060" w:rsidRDefault="000A2A2B" w:rsidP="007C3060">
            <w:r w:rsidRPr="007C3060">
              <w:t>288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3D31C0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E75D02" w14:textId="77777777" w:rsidR="000A2A2B" w:rsidRPr="007C3060" w:rsidRDefault="000A2A2B" w:rsidP="007C3060">
            <w:r w:rsidRPr="007C3060">
              <w:t>Internasjonale samarbeidstiltak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E80A76"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E65111"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C0F14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F55DE0" w14:textId="77777777" w:rsidR="000A2A2B" w:rsidRPr="007C3060" w:rsidRDefault="000A2A2B" w:rsidP="007C3060"/>
        </w:tc>
      </w:tr>
      <w:tr w:rsidR="004B729E" w:rsidRPr="007C3060" w14:paraId="2F6F19F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7870C9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2FB120A"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EFD5E9" w14:textId="77777777" w:rsidR="000A2A2B" w:rsidRPr="007C3060" w:rsidRDefault="000A2A2B" w:rsidP="007C3060">
            <w:r w:rsidRPr="007C306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EE2209" w14:textId="77777777" w:rsidR="000A2A2B" w:rsidRPr="007C3060" w:rsidRDefault="000A2A2B" w:rsidP="007C3060">
            <w:r w:rsidRPr="007C3060">
              <w:t>14 121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9C9DA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598044" w14:textId="77777777" w:rsidR="000A2A2B" w:rsidRPr="007C3060" w:rsidRDefault="000A2A2B" w:rsidP="007C3060">
            <w:r w:rsidRPr="007C3060">
              <w:t>3 500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9A6DB2" w14:textId="77777777" w:rsidR="000A2A2B" w:rsidRPr="007C3060" w:rsidRDefault="000A2A2B" w:rsidP="007C3060">
            <w:r w:rsidRPr="007C3060">
              <w:t>17 621</w:t>
            </w:r>
          </w:p>
        </w:tc>
      </w:tr>
      <w:tr w:rsidR="004B729E" w:rsidRPr="007C3060" w14:paraId="0D80FF8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443B31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43AEA40"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39721E" w14:textId="77777777" w:rsidR="000A2A2B" w:rsidRPr="007C3060" w:rsidRDefault="000A2A2B" w:rsidP="007C3060">
            <w:r w:rsidRPr="007C3060">
              <w:t xml:space="preserve">Internasjonale grunnforsknings-organisasjoner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DBACB5" w14:textId="77777777" w:rsidR="000A2A2B" w:rsidRPr="007C3060" w:rsidRDefault="000A2A2B" w:rsidP="007C3060">
            <w:r w:rsidRPr="007C3060">
              <w:t>426 307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7D845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4B606A" w14:textId="77777777" w:rsidR="000A2A2B" w:rsidRPr="007C3060" w:rsidRDefault="000A2A2B" w:rsidP="007C3060">
            <w:r w:rsidRPr="007C3060">
              <w:t>23 257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BE95AE" w14:textId="77777777" w:rsidR="000A2A2B" w:rsidRPr="007C3060" w:rsidRDefault="000A2A2B" w:rsidP="007C3060">
            <w:r w:rsidRPr="007C3060">
              <w:t>449 564</w:t>
            </w:r>
          </w:p>
        </w:tc>
      </w:tr>
      <w:tr w:rsidR="004B729E" w:rsidRPr="007C3060" w14:paraId="4F2E6DD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8D7337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2DEEF4A"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8EE285" w14:textId="77777777" w:rsidR="000A2A2B" w:rsidRPr="007C3060" w:rsidRDefault="000A2A2B" w:rsidP="007C3060">
            <w:r w:rsidRPr="007C3060">
              <w:t xml:space="preserve">EUs rammeprogram for forskning og -innovasjon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94CCBB" w14:textId="77777777" w:rsidR="000A2A2B" w:rsidRPr="007C3060" w:rsidRDefault="000A2A2B" w:rsidP="007C3060">
            <w:r w:rsidRPr="007C3060">
              <w:t>3 450 703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7ECF3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DF598D" w14:textId="77777777" w:rsidR="000A2A2B" w:rsidRPr="007C3060" w:rsidRDefault="000A2A2B" w:rsidP="007C3060">
            <w:r w:rsidRPr="007C3060">
              <w:t>22 705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7B4C65" w14:textId="77777777" w:rsidR="000A2A2B" w:rsidRPr="007C3060" w:rsidRDefault="000A2A2B" w:rsidP="007C3060">
            <w:r w:rsidRPr="007C3060">
              <w:t>3 473 408</w:t>
            </w:r>
          </w:p>
        </w:tc>
      </w:tr>
      <w:tr w:rsidR="004B729E" w:rsidRPr="007C3060" w14:paraId="655E389C"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337F4C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4B708FB" w14:textId="77777777" w:rsidR="000A2A2B" w:rsidRPr="007C3060" w:rsidRDefault="000A2A2B" w:rsidP="007C3060">
            <w:r w:rsidRPr="007C306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E05AFB" w14:textId="77777777" w:rsidR="000A2A2B" w:rsidRPr="007C3060" w:rsidRDefault="000A2A2B" w:rsidP="007C3060">
            <w:r w:rsidRPr="007C3060">
              <w:t xml:space="preserve">EUs program for utdanning, opplæring, ungdom og idrett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0F01D7" w14:textId="77777777" w:rsidR="000A2A2B" w:rsidRPr="007C3060" w:rsidRDefault="000A2A2B" w:rsidP="007C3060">
            <w:r w:rsidRPr="007C3060">
              <w:t>1 211 287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C6407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A4DBC5" w14:textId="77777777" w:rsidR="000A2A2B" w:rsidRPr="007C3060" w:rsidRDefault="000A2A2B" w:rsidP="007C3060">
            <w:r w:rsidRPr="007C3060">
              <w:t>70 144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8FDEAB" w14:textId="77777777" w:rsidR="000A2A2B" w:rsidRPr="007C3060" w:rsidRDefault="000A2A2B" w:rsidP="007C3060">
            <w:r w:rsidRPr="007C3060">
              <w:t>1 281 431</w:t>
            </w:r>
          </w:p>
        </w:tc>
      </w:tr>
      <w:tr w:rsidR="004B729E" w:rsidRPr="007C3060" w14:paraId="4F1DC19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AAEA77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95C590D" w14:textId="77777777" w:rsidR="000A2A2B" w:rsidRPr="007C3060" w:rsidRDefault="000A2A2B" w:rsidP="007C3060">
            <w:r w:rsidRPr="007C306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D11E1D" w14:textId="77777777" w:rsidR="000A2A2B" w:rsidRPr="007C3060" w:rsidRDefault="000A2A2B" w:rsidP="007C3060">
            <w:r w:rsidRPr="007C3060">
              <w:t xml:space="preserve">UNESCO-kontingent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7D28EF" w14:textId="77777777" w:rsidR="000A2A2B" w:rsidRPr="007C3060" w:rsidRDefault="000A2A2B" w:rsidP="007C3060">
            <w:r w:rsidRPr="007C3060">
              <w:t>24 365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982FF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74FA15" w14:textId="77777777" w:rsidR="000A2A2B" w:rsidRPr="007C3060" w:rsidRDefault="000A2A2B" w:rsidP="007C3060">
            <w:r w:rsidRPr="007C3060">
              <w:t>399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AAF24A" w14:textId="77777777" w:rsidR="000A2A2B" w:rsidRPr="007C3060" w:rsidRDefault="000A2A2B" w:rsidP="007C3060">
            <w:r w:rsidRPr="007C3060">
              <w:t>24 764</w:t>
            </w:r>
          </w:p>
        </w:tc>
      </w:tr>
      <w:tr w:rsidR="004B729E" w:rsidRPr="007C3060" w14:paraId="13AFAA76"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399C834" w14:textId="77777777" w:rsidR="000A2A2B" w:rsidRPr="007C3060" w:rsidRDefault="000A2A2B" w:rsidP="007C3060">
            <w:r w:rsidRPr="007C3060">
              <w:t>Sum endringer Kunnskapsdepartementet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DA24BC1"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6411549"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9DA7A32" w14:textId="77777777" w:rsidR="000A2A2B" w:rsidRPr="007C3060" w:rsidRDefault="000A2A2B" w:rsidP="007C3060">
            <w:r w:rsidRPr="007C3060">
              <w:t>227 323</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8EA07C" w14:textId="77777777" w:rsidR="000A2A2B" w:rsidRPr="007C3060" w:rsidRDefault="000A2A2B" w:rsidP="007C3060"/>
        </w:tc>
      </w:tr>
      <w:tr w:rsidR="004B729E" w:rsidRPr="007C3060" w14:paraId="62BBBD2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52B3C9E" w14:textId="77777777" w:rsidR="000A2A2B" w:rsidRPr="007C3060" w:rsidRDefault="000A2A2B" w:rsidP="007C3060">
            <w:r w:rsidRPr="007C3060">
              <w:t>315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6C16BB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4F128A" w14:textId="77777777" w:rsidR="000A2A2B" w:rsidRPr="007C3060" w:rsidRDefault="000A2A2B" w:rsidP="007C3060">
            <w:r w:rsidRPr="007C3060">
              <w:t>Frivillighetsformål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873316"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BFD60A"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83320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21E0D9" w14:textId="77777777" w:rsidR="000A2A2B" w:rsidRPr="007C3060" w:rsidRDefault="000A2A2B" w:rsidP="007C3060"/>
        </w:tc>
      </w:tr>
      <w:tr w:rsidR="004B729E" w:rsidRPr="007C3060" w14:paraId="08880B3F"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7552C3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98DC451"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B15A2D" w14:textId="5BB443DC" w:rsidR="000A2A2B" w:rsidRPr="007C3060" w:rsidRDefault="000A2A2B" w:rsidP="007C3060">
            <w:r w:rsidRPr="007C3060">
              <w:t xml:space="preserve">Strømstøtteordning for frivillige organisasjoner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DD48D8" w14:textId="77777777" w:rsidR="000A2A2B" w:rsidRPr="007C3060" w:rsidRDefault="000A2A2B" w:rsidP="007C3060">
            <w:r w:rsidRPr="007C3060">
              <w:t>58 226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40277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35CA88" w14:textId="77777777" w:rsidR="000A2A2B" w:rsidRPr="007C3060" w:rsidRDefault="000A2A2B" w:rsidP="007C3060">
            <w:r w:rsidRPr="007C3060">
              <w:t>-40 200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A78AE2" w14:textId="77777777" w:rsidR="000A2A2B" w:rsidRPr="007C3060" w:rsidRDefault="000A2A2B" w:rsidP="007C3060">
            <w:r w:rsidRPr="007C3060">
              <w:t>18 026</w:t>
            </w:r>
          </w:p>
        </w:tc>
      </w:tr>
      <w:tr w:rsidR="004B729E" w:rsidRPr="007C3060" w14:paraId="4F9BE108"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66242F33" w14:textId="77777777" w:rsidR="000A2A2B" w:rsidRPr="007C3060" w:rsidRDefault="000A2A2B" w:rsidP="007C3060">
            <w:r w:rsidRPr="007C3060">
              <w:t>320</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vAlign w:val="bottom"/>
          </w:tcPr>
          <w:p w14:paraId="1533A407"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928549D" w14:textId="77777777" w:rsidR="000A2A2B" w:rsidRPr="007C3060" w:rsidRDefault="000A2A2B" w:rsidP="007C3060">
            <w:r w:rsidRPr="007C3060">
              <w:t>Kulturdirektoratet og Kulturrådet m.m.</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B431475"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7748512"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C220910"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0C278AA" w14:textId="77777777" w:rsidR="000A2A2B" w:rsidRPr="007C3060" w:rsidRDefault="000A2A2B" w:rsidP="007C3060"/>
        </w:tc>
      </w:tr>
      <w:tr w:rsidR="004B729E" w:rsidRPr="007C3060" w14:paraId="188A4D8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A14D07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B8F2A6A"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5B3100" w14:textId="77777777" w:rsidR="000A2A2B" w:rsidRPr="007C3060" w:rsidRDefault="000A2A2B" w:rsidP="007C3060">
            <w:r w:rsidRPr="007C3060">
              <w:t xml:space="preserve">Statsstipend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7396A7" w14:textId="77777777" w:rsidR="000A2A2B" w:rsidRPr="007C3060" w:rsidRDefault="000A2A2B" w:rsidP="007C3060">
            <w:r w:rsidRPr="007C3060">
              <w:t>7 250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6773B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CEEE4D" w14:textId="77777777" w:rsidR="000A2A2B" w:rsidRPr="007C3060" w:rsidRDefault="000A2A2B" w:rsidP="007C3060">
            <w:r w:rsidRPr="007C3060">
              <w:t>-1 750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98CA00" w14:textId="77777777" w:rsidR="000A2A2B" w:rsidRPr="007C3060" w:rsidRDefault="000A2A2B" w:rsidP="007C3060">
            <w:r w:rsidRPr="007C3060">
              <w:t>5 500</w:t>
            </w:r>
          </w:p>
        </w:tc>
      </w:tr>
      <w:tr w:rsidR="004B729E" w:rsidRPr="007C3060" w14:paraId="0530BDB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CCCDA56" w14:textId="77777777" w:rsidR="000A2A2B" w:rsidRPr="007C3060" w:rsidRDefault="000A2A2B" w:rsidP="007C3060">
            <w:r w:rsidRPr="007C3060">
              <w:t>323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9E0C1C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75B88B" w14:textId="77777777" w:rsidR="000A2A2B" w:rsidRPr="007C3060" w:rsidRDefault="000A2A2B" w:rsidP="007C3060">
            <w:r w:rsidRPr="007C3060">
              <w:t>Musikk og scenekunst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358582"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4FC457"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2BF7A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C978EC" w14:textId="77777777" w:rsidR="000A2A2B" w:rsidRPr="007C3060" w:rsidRDefault="000A2A2B" w:rsidP="007C3060"/>
        </w:tc>
      </w:tr>
      <w:tr w:rsidR="004B729E" w:rsidRPr="007C3060" w14:paraId="34EB043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9EBEAD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A9D9C51"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829136" w14:textId="77777777" w:rsidR="000A2A2B" w:rsidRPr="007C3060" w:rsidRDefault="000A2A2B" w:rsidP="007C3060">
            <w:r w:rsidRPr="007C3060">
              <w:t xml:space="preserve">Musikk- og scenekunstinstitusjoner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09B0E3" w14:textId="77777777" w:rsidR="000A2A2B" w:rsidRPr="007C3060" w:rsidRDefault="000A2A2B" w:rsidP="007C3060">
            <w:r w:rsidRPr="007C3060">
              <w:t>3 045 020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D3E07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55F8B6" w14:textId="77777777" w:rsidR="000A2A2B" w:rsidRPr="007C3060" w:rsidRDefault="000A2A2B" w:rsidP="007C3060">
            <w:r w:rsidRPr="007C3060">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3337A8" w14:textId="77777777" w:rsidR="000A2A2B" w:rsidRPr="007C3060" w:rsidRDefault="000A2A2B" w:rsidP="007C3060">
            <w:r w:rsidRPr="007C3060">
              <w:t>3 046 020</w:t>
            </w:r>
          </w:p>
        </w:tc>
      </w:tr>
      <w:tr w:rsidR="004B729E" w:rsidRPr="007C3060" w14:paraId="20D2C4C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70CB5AD" w14:textId="77777777" w:rsidR="000A2A2B" w:rsidRPr="007C3060" w:rsidRDefault="000A2A2B" w:rsidP="007C3060">
            <w:r w:rsidRPr="007C3060">
              <w:t>326</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DA27A9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45333D" w14:textId="77777777" w:rsidR="000A2A2B" w:rsidRPr="007C3060" w:rsidRDefault="000A2A2B" w:rsidP="007C3060">
            <w:r w:rsidRPr="007C3060">
              <w:t>Språk- og bibliotekformål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CBA345"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436E6D"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F015B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7D6684" w14:textId="77777777" w:rsidR="000A2A2B" w:rsidRPr="007C3060" w:rsidRDefault="000A2A2B" w:rsidP="007C3060"/>
        </w:tc>
      </w:tr>
      <w:tr w:rsidR="004B729E" w:rsidRPr="007C3060" w14:paraId="7A1C9F6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0D3AC4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3852384" w14:textId="77777777" w:rsidR="000A2A2B" w:rsidRPr="007C3060" w:rsidRDefault="000A2A2B" w:rsidP="007C3060">
            <w:r w:rsidRPr="007C306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B0653C" w14:textId="77777777" w:rsidR="000A2A2B" w:rsidRPr="007C3060" w:rsidRDefault="000A2A2B" w:rsidP="007C3060">
            <w:r w:rsidRPr="007C3060">
              <w:t xml:space="preserve">Bibliotek- og litteraturtiltak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285FF3" w14:textId="77777777" w:rsidR="000A2A2B" w:rsidRPr="007C3060" w:rsidRDefault="000A2A2B" w:rsidP="007C3060">
            <w:r w:rsidRPr="007C3060">
              <w:t>110 165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F5CD1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CA913A" w14:textId="77777777" w:rsidR="000A2A2B" w:rsidRPr="007C3060" w:rsidRDefault="000A2A2B" w:rsidP="007C3060">
            <w:r w:rsidRPr="007C3060">
              <w:t>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3220AF" w14:textId="77777777" w:rsidR="000A2A2B" w:rsidRPr="007C3060" w:rsidRDefault="000A2A2B" w:rsidP="007C3060">
            <w:r w:rsidRPr="007C3060">
              <w:t>110 265</w:t>
            </w:r>
          </w:p>
        </w:tc>
      </w:tr>
      <w:tr w:rsidR="004B729E" w:rsidRPr="007C3060" w14:paraId="39841E3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71C3DB6" w14:textId="77777777" w:rsidR="000A2A2B" w:rsidRPr="007C3060" w:rsidRDefault="000A2A2B" w:rsidP="007C3060">
            <w:r w:rsidRPr="007C3060">
              <w:t>334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1783C5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B0C668" w14:textId="77777777" w:rsidR="000A2A2B" w:rsidRPr="007C3060" w:rsidRDefault="000A2A2B" w:rsidP="007C3060">
            <w:r w:rsidRPr="007C3060">
              <w:t>Film- og dataspillformål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B8389A"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606E52"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751BB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B58389" w14:textId="77777777" w:rsidR="000A2A2B" w:rsidRPr="007C3060" w:rsidRDefault="000A2A2B" w:rsidP="007C3060"/>
        </w:tc>
      </w:tr>
      <w:tr w:rsidR="004B729E" w:rsidRPr="007C3060" w14:paraId="0C345D0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C88496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3759079"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343C70"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FF5D4B" w14:textId="77777777" w:rsidR="000A2A2B" w:rsidRPr="007C3060" w:rsidRDefault="000A2A2B" w:rsidP="007C3060">
            <w:r w:rsidRPr="007C3060">
              <w:t>139 717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AAE07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71DD04" w14:textId="77777777" w:rsidR="000A2A2B" w:rsidRPr="007C3060" w:rsidRDefault="000A2A2B" w:rsidP="007C3060">
            <w:r w:rsidRPr="007C3060">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38CD9A" w14:textId="77777777" w:rsidR="000A2A2B" w:rsidRPr="007C3060" w:rsidRDefault="000A2A2B" w:rsidP="007C3060">
            <w:r w:rsidRPr="007C3060">
              <w:t>140 717</w:t>
            </w:r>
          </w:p>
        </w:tc>
      </w:tr>
      <w:tr w:rsidR="004B729E" w:rsidRPr="007C3060" w14:paraId="08B99F5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FE24F8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810DFE8" w14:textId="77777777" w:rsidR="000A2A2B" w:rsidRPr="007C3060" w:rsidRDefault="000A2A2B" w:rsidP="007C3060">
            <w:r w:rsidRPr="007C306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6A8B2A" w14:textId="77777777" w:rsidR="000A2A2B" w:rsidRPr="007C3060" w:rsidRDefault="000A2A2B" w:rsidP="007C3060">
            <w:r w:rsidRPr="007C3060">
              <w:t xml:space="preserve">Filmfondet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69B9D3" w14:textId="77777777" w:rsidR="000A2A2B" w:rsidRPr="007C3060" w:rsidRDefault="000A2A2B" w:rsidP="007C3060">
            <w:r w:rsidRPr="007C3060">
              <w:t>682 000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0ABF5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5AADAB" w14:textId="77777777" w:rsidR="000A2A2B" w:rsidRPr="007C3060" w:rsidRDefault="000A2A2B" w:rsidP="007C3060">
            <w:r w:rsidRPr="007C3060">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C53CC7" w14:textId="77777777" w:rsidR="000A2A2B" w:rsidRPr="007C3060" w:rsidRDefault="000A2A2B" w:rsidP="007C3060">
            <w:r w:rsidRPr="007C3060">
              <w:t>681 000</w:t>
            </w:r>
          </w:p>
        </w:tc>
      </w:tr>
      <w:tr w:rsidR="004B729E" w:rsidRPr="007C3060" w14:paraId="651C26C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421F577" w14:textId="77777777" w:rsidR="000A2A2B" w:rsidRPr="007C3060" w:rsidRDefault="000A2A2B" w:rsidP="007C3060">
            <w:r w:rsidRPr="007C3060">
              <w:t>350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5D2A68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4C64A2" w14:textId="77777777" w:rsidR="000A2A2B" w:rsidRPr="007C3060" w:rsidRDefault="000A2A2B" w:rsidP="007C3060">
            <w:r w:rsidRPr="007C3060">
              <w:t>Sekretariatet for Diskrimineringsnemnda</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BD8CE5"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D2F259"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A8334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C3D056" w14:textId="77777777" w:rsidR="000A2A2B" w:rsidRPr="007C3060" w:rsidRDefault="000A2A2B" w:rsidP="007C3060"/>
        </w:tc>
      </w:tr>
      <w:tr w:rsidR="004B729E" w:rsidRPr="007C3060" w14:paraId="2262FB2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409126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B13353B"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EE0D65"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84CA5B" w14:textId="77777777" w:rsidR="000A2A2B" w:rsidRPr="007C3060" w:rsidRDefault="000A2A2B" w:rsidP="007C3060">
            <w:r w:rsidRPr="007C3060">
              <w:t>32 287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54101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FB7A43" w14:textId="77777777" w:rsidR="000A2A2B" w:rsidRPr="007C3060" w:rsidRDefault="000A2A2B" w:rsidP="007C3060">
            <w:r w:rsidRPr="007C3060">
              <w:t>3 500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8E1FB3" w14:textId="77777777" w:rsidR="000A2A2B" w:rsidRPr="007C3060" w:rsidRDefault="000A2A2B" w:rsidP="007C3060">
            <w:r w:rsidRPr="007C3060">
              <w:t>35 787</w:t>
            </w:r>
          </w:p>
        </w:tc>
      </w:tr>
      <w:tr w:rsidR="004B729E" w:rsidRPr="007C3060" w14:paraId="43BFD45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A4AF5F1" w14:textId="77777777" w:rsidR="000A2A2B" w:rsidRPr="007C3060" w:rsidRDefault="000A2A2B" w:rsidP="007C3060">
            <w:r w:rsidRPr="007C3060">
              <w:t>351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8C9FD6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0B7D56" w14:textId="77777777" w:rsidR="000A2A2B" w:rsidRPr="007C3060" w:rsidRDefault="000A2A2B" w:rsidP="007C3060">
            <w:r w:rsidRPr="007C3060">
              <w:t>Likestilling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D41E1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923325"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C0B21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7BDC50" w14:textId="77777777" w:rsidR="000A2A2B" w:rsidRPr="007C3060" w:rsidRDefault="000A2A2B" w:rsidP="007C3060"/>
        </w:tc>
      </w:tr>
      <w:tr w:rsidR="004B729E" w:rsidRPr="007C3060" w14:paraId="3DF9266A"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3142AB7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5B87FC4"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0A815B" w14:textId="5DC2D0C2" w:rsidR="000A2A2B" w:rsidRPr="007C3060" w:rsidRDefault="000A2A2B" w:rsidP="007C3060">
            <w:r w:rsidRPr="007C3060">
              <w:t xml:space="preserve">Forskning, utredning og spesielle driftsutgifter, </w:t>
            </w:r>
            <w:r w:rsidRPr="007C3060">
              <w:rPr>
                <w:rStyle w:val="kursiv"/>
              </w:rPr>
              <w:t>kan overføres,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116344" w14:textId="77777777" w:rsidR="000A2A2B" w:rsidRPr="007C3060" w:rsidRDefault="000A2A2B" w:rsidP="007C3060">
            <w:r w:rsidRPr="007C3060">
              <w:t>44 790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19EE0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CEA4CA" w14:textId="77777777" w:rsidR="000A2A2B" w:rsidRPr="007C3060" w:rsidRDefault="000A2A2B" w:rsidP="007C3060">
            <w:r w:rsidRPr="007C3060">
              <w:t>-3 820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94D696" w14:textId="77777777" w:rsidR="000A2A2B" w:rsidRPr="007C3060" w:rsidRDefault="000A2A2B" w:rsidP="007C3060">
            <w:r w:rsidRPr="007C3060">
              <w:t>40 970</w:t>
            </w:r>
          </w:p>
        </w:tc>
      </w:tr>
      <w:tr w:rsidR="004B729E" w:rsidRPr="007C3060" w14:paraId="3AF7759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A4375E5" w14:textId="77777777" w:rsidR="000A2A2B" w:rsidRPr="007C3060" w:rsidRDefault="000A2A2B" w:rsidP="007C3060">
            <w:r w:rsidRPr="007C3060">
              <w:t>352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90E8D5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4FF59A" w14:textId="77777777" w:rsidR="000A2A2B" w:rsidRPr="007C3060" w:rsidRDefault="000A2A2B" w:rsidP="007C3060">
            <w:r w:rsidRPr="007C3060">
              <w:t>Nedsatt funksjonsevne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8DEFF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3C649E"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ED0BF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EFF0D9" w14:textId="77777777" w:rsidR="000A2A2B" w:rsidRPr="007C3060" w:rsidRDefault="000A2A2B" w:rsidP="007C3060"/>
        </w:tc>
      </w:tr>
      <w:tr w:rsidR="004B729E" w:rsidRPr="007C3060" w14:paraId="5E9E5236"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4266397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6B7FC8C"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607109" w14:textId="53992454" w:rsidR="000A2A2B" w:rsidRPr="007C3060" w:rsidRDefault="000A2A2B" w:rsidP="007C3060">
            <w:r w:rsidRPr="007C3060">
              <w:t xml:space="preserve">Forskning, utredning og spesielle driftsutgifter, </w:t>
            </w:r>
            <w:r w:rsidRPr="007C3060">
              <w:rPr>
                <w:rStyle w:val="kursiv"/>
              </w:rPr>
              <w:t>kan overføres, kan nyttes under post 71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DD2881" w14:textId="77777777" w:rsidR="000A2A2B" w:rsidRPr="007C3060" w:rsidRDefault="000A2A2B" w:rsidP="007C3060">
            <w:r w:rsidRPr="007C3060">
              <w:t>26 000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67CC9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204360" w14:textId="77777777" w:rsidR="000A2A2B" w:rsidRPr="007C3060" w:rsidRDefault="000A2A2B" w:rsidP="007C3060">
            <w:r w:rsidRPr="007C3060">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C58C26" w14:textId="77777777" w:rsidR="000A2A2B" w:rsidRPr="007C3060" w:rsidRDefault="000A2A2B" w:rsidP="007C3060">
            <w:r w:rsidRPr="007C3060">
              <w:t>24 000</w:t>
            </w:r>
          </w:p>
        </w:tc>
      </w:tr>
      <w:tr w:rsidR="004B729E" w:rsidRPr="007C3060" w14:paraId="0E455F1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AC4DB99" w14:textId="77777777" w:rsidR="000A2A2B" w:rsidRPr="007C3060" w:rsidRDefault="000A2A2B" w:rsidP="007C3060">
            <w:r w:rsidRPr="007C3060">
              <w:t>353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D2971B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FB8FE8" w14:textId="77777777" w:rsidR="000A2A2B" w:rsidRPr="007C3060" w:rsidRDefault="000A2A2B" w:rsidP="007C3060">
            <w:r w:rsidRPr="007C3060">
              <w:t>Likestillings- og diskrimineringsombudet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CC93D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4F9F4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9E456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DA503E" w14:textId="77777777" w:rsidR="000A2A2B" w:rsidRPr="007C3060" w:rsidRDefault="000A2A2B" w:rsidP="007C3060"/>
        </w:tc>
      </w:tr>
      <w:tr w:rsidR="004B729E" w:rsidRPr="007C3060" w14:paraId="5394211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65D1BD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D00F872" w14:textId="77777777" w:rsidR="000A2A2B" w:rsidRPr="007C3060" w:rsidRDefault="000A2A2B" w:rsidP="007C3060">
            <w:r w:rsidRPr="007C306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47E6E2" w14:textId="77777777" w:rsidR="000A2A2B" w:rsidRPr="007C3060" w:rsidRDefault="000A2A2B" w:rsidP="007C3060">
            <w:r w:rsidRPr="007C3060">
              <w:t xml:space="preserve">Basisbevilgning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715227" w14:textId="77777777" w:rsidR="000A2A2B" w:rsidRPr="007C3060" w:rsidRDefault="000A2A2B" w:rsidP="007C3060">
            <w:r w:rsidRPr="007C3060">
              <w:t>55 400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698B4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119003" w14:textId="77777777" w:rsidR="000A2A2B" w:rsidRPr="007C3060" w:rsidRDefault="000A2A2B" w:rsidP="007C3060">
            <w:r w:rsidRPr="007C3060">
              <w:t>1 200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CEC623" w14:textId="77777777" w:rsidR="000A2A2B" w:rsidRPr="007C3060" w:rsidRDefault="000A2A2B" w:rsidP="007C3060">
            <w:r w:rsidRPr="007C3060">
              <w:t>56 600</w:t>
            </w:r>
          </w:p>
        </w:tc>
      </w:tr>
      <w:tr w:rsidR="004B729E" w:rsidRPr="007C3060" w14:paraId="257905B3"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4C5D98C" w14:textId="77777777" w:rsidR="000A2A2B" w:rsidRPr="007C3060" w:rsidRDefault="000A2A2B" w:rsidP="007C3060">
            <w:r w:rsidRPr="007C3060">
              <w:t>Sum endringer Kultur- og likestillingsdepartementet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537D588"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A079E0C"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146EB75" w14:textId="77777777" w:rsidR="000A2A2B" w:rsidRPr="007C3060" w:rsidRDefault="000A2A2B" w:rsidP="007C3060">
            <w:r w:rsidRPr="007C3060">
              <w:t>-41 970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8C3AAB8" w14:textId="77777777" w:rsidR="000A2A2B" w:rsidRPr="007C3060" w:rsidRDefault="000A2A2B" w:rsidP="007C3060"/>
        </w:tc>
      </w:tr>
      <w:tr w:rsidR="004B729E" w:rsidRPr="007C3060" w14:paraId="6139203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EDC737D" w14:textId="77777777" w:rsidR="000A2A2B" w:rsidRPr="007C3060" w:rsidRDefault="000A2A2B" w:rsidP="007C3060">
            <w:r w:rsidRPr="007C3060">
              <w:t>400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A47613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69FC51" w14:textId="77777777" w:rsidR="000A2A2B" w:rsidRPr="007C3060" w:rsidRDefault="000A2A2B" w:rsidP="007C3060">
            <w:r w:rsidRPr="007C3060">
              <w:t>Justis- og beredskapsdepartementet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01BCE5"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B84E44"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9F85E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E1E5C8" w14:textId="77777777" w:rsidR="000A2A2B" w:rsidRPr="007C3060" w:rsidRDefault="000A2A2B" w:rsidP="007C3060"/>
        </w:tc>
      </w:tr>
      <w:tr w:rsidR="004B729E" w:rsidRPr="007C3060" w14:paraId="274255C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794DF4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5467AB6"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DE82BE"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4A78B4" w14:textId="77777777" w:rsidR="000A2A2B" w:rsidRPr="007C3060" w:rsidRDefault="000A2A2B" w:rsidP="007C3060">
            <w:r w:rsidRPr="007C3060">
              <w:t>472 783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058EB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420AE2" w14:textId="77777777" w:rsidR="000A2A2B" w:rsidRPr="007C3060" w:rsidRDefault="000A2A2B" w:rsidP="007C3060">
            <w:r w:rsidRPr="007C3060">
              <w:t>6 418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A83D3E" w14:textId="77777777" w:rsidR="000A2A2B" w:rsidRPr="007C3060" w:rsidRDefault="000A2A2B" w:rsidP="007C3060">
            <w:r w:rsidRPr="007C3060">
              <w:t>479 201</w:t>
            </w:r>
          </w:p>
        </w:tc>
      </w:tr>
      <w:tr w:rsidR="004B729E" w:rsidRPr="007C3060" w14:paraId="6449BD78"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36E0ABF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43247A5" w14:textId="77777777" w:rsidR="000A2A2B" w:rsidRPr="007C3060" w:rsidRDefault="000A2A2B" w:rsidP="007C3060">
            <w:r w:rsidRPr="007C3060">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F37D20" w14:textId="35139E35" w:rsidR="000A2A2B" w:rsidRPr="007C3060" w:rsidRDefault="000A2A2B" w:rsidP="007C3060">
            <w:r w:rsidRPr="007C3060">
              <w:t xml:space="preserve">Spesielle driftsutgifter, forskning, evaluering og kunnskapsinnhenting,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141BF3" w14:textId="77777777" w:rsidR="000A2A2B" w:rsidRPr="007C3060" w:rsidRDefault="000A2A2B" w:rsidP="007C3060">
            <w:r w:rsidRPr="007C3060">
              <w:t>22 999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8125B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901780"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E24A50" w14:textId="77777777" w:rsidR="000A2A2B" w:rsidRPr="007C3060" w:rsidRDefault="000A2A2B" w:rsidP="007C3060">
            <w:r w:rsidRPr="007C3060">
              <w:t>32 999</w:t>
            </w:r>
          </w:p>
        </w:tc>
      </w:tr>
      <w:tr w:rsidR="004B729E" w:rsidRPr="007C3060" w14:paraId="42EFA71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BF69FB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F598093"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A66CA1" w14:textId="77777777" w:rsidR="000A2A2B" w:rsidRPr="007C3060" w:rsidRDefault="000A2A2B" w:rsidP="007C3060">
            <w:r w:rsidRPr="007C3060">
              <w:t xml:space="preserve">Tilskudd til internasjonale organisasjoner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A24589" w14:textId="77777777" w:rsidR="000A2A2B" w:rsidRPr="007C3060" w:rsidRDefault="000A2A2B" w:rsidP="007C3060">
            <w:r w:rsidRPr="007C3060">
              <w:t>22 508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528BE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CF30B5" w14:textId="77777777" w:rsidR="000A2A2B" w:rsidRPr="007C3060" w:rsidRDefault="000A2A2B" w:rsidP="007C3060">
            <w:r w:rsidRPr="007C3060">
              <w:t>750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8C6446" w14:textId="77777777" w:rsidR="000A2A2B" w:rsidRPr="007C3060" w:rsidRDefault="000A2A2B" w:rsidP="007C3060">
            <w:r w:rsidRPr="007C3060">
              <w:t>23 258</w:t>
            </w:r>
          </w:p>
        </w:tc>
      </w:tr>
      <w:tr w:rsidR="004B729E" w:rsidRPr="007C3060" w14:paraId="1958B120"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EE94EF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787CD2C"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D6F0AC" w14:textId="77777777" w:rsidR="000A2A2B" w:rsidRPr="007C3060" w:rsidRDefault="000A2A2B" w:rsidP="007C3060">
            <w:r w:rsidRPr="007C3060">
              <w:t xml:space="preserve">Tilskudd til Norges forskningsråd,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DBA83D" w14:textId="77777777" w:rsidR="000A2A2B" w:rsidRPr="007C3060" w:rsidRDefault="000A2A2B" w:rsidP="007C3060">
            <w:r w:rsidRPr="007C3060">
              <w:t>81 717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D1F70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FE1989"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2688BE" w14:textId="77777777" w:rsidR="000A2A2B" w:rsidRPr="007C3060" w:rsidRDefault="000A2A2B" w:rsidP="007C3060">
            <w:r w:rsidRPr="007C3060">
              <w:t>71 717</w:t>
            </w:r>
          </w:p>
        </w:tc>
      </w:tr>
      <w:tr w:rsidR="004B729E" w:rsidRPr="007C3060" w14:paraId="663229F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A8FD2C4" w14:textId="77777777" w:rsidR="000A2A2B" w:rsidRPr="007C3060" w:rsidRDefault="000A2A2B" w:rsidP="007C3060">
            <w:r w:rsidRPr="007C3060">
              <w:t>410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A95A79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4BCFA1" w14:textId="77777777" w:rsidR="000A2A2B" w:rsidRPr="007C3060" w:rsidRDefault="000A2A2B" w:rsidP="007C3060">
            <w:r w:rsidRPr="007C3060">
              <w:t>Domstolene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694A1A"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4C8F87"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2AFDD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590C1B" w14:textId="77777777" w:rsidR="000A2A2B" w:rsidRPr="007C3060" w:rsidRDefault="000A2A2B" w:rsidP="007C3060"/>
        </w:tc>
      </w:tr>
      <w:tr w:rsidR="004B729E" w:rsidRPr="007C3060" w14:paraId="751475B5"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D80F7D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7B0F0C3"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1133C4" w14:textId="4CA91C1D" w:rsidR="000A2A2B" w:rsidRPr="007C3060" w:rsidRDefault="000A2A2B" w:rsidP="007C3060">
            <w:r w:rsidRPr="007C3060">
              <w:t xml:space="preserve">Driftsutgifter, </w:t>
            </w:r>
            <w:r w:rsidRPr="007C3060">
              <w:rPr>
                <w:rStyle w:val="kursiv"/>
              </w:rPr>
              <w:t>kan nyttes under kap. 61, post 1 og kap. 411,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FBD89F" w14:textId="77777777" w:rsidR="000A2A2B" w:rsidRPr="007C3060" w:rsidRDefault="000A2A2B" w:rsidP="007C3060">
            <w:r w:rsidRPr="007C3060">
              <w:t>3 325 986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B20D4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B320A5" w14:textId="77777777" w:rsidR="000A2A2B" w:rsidRPr="007C3060" w:rsidRDefault="000A2A2B" w:rsidP="007C3060">
            <w:r w:rsidRPr="007C3060">
              <w:t>73 925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F85652" w14:textId="77777777" w:rsidR="000A2A2B" w:rsidRPr="007C3060" w:rsidRDefault="000A2A2B" w:rsidP="007C3060">
            <w:r w:rsidRPr="007C3060">
              <w:t>3 399 911</w:t>
            </w:r>
          </w:p>
        </w:tc>
      </w:tr>
      <w:tr w:rsidR="004B729E" w:rsidRPr="007C3060" w14:paraId="7CE651C6"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2CF48C94" w14:textId="77777777" w:rsidR="000A2A2B" w:rsidRPr="007C3060" w:rsidRDefault="000A2A2B" w:rsidP="007C3060">
            <w:r w:rsidRPr="007C3060">
              <w:t>430</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3CC1CBEE"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1B92BD8" w14:textId="77777777" w:rsidR="000A2A2B" w:rsidRPr="007C3060" w:rsidRDefault="000A2A2B" w:rsidP="007C3060">
            <w:r w:rsidRPr="007C3060">
              <w:t>Kriminalomsorgen</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7D3FB1F"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A55C5A1"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78B8482"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E6752F5" w14:textId="77777777" w:rsidR="000A2A2B" w:rsidRPr="007C3060" w:rsidRDefault="000A2A2B" w:rsidP="007C3060"/>
        </w:tc>
      </w:tr>
      <w:tr w:rsidR="004B729E" w:rsidRPr="007C3060" w14:paraId="0BD448E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ADC11C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7A34BC5"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9EB928" w14:textId="0EA85B9B" w:rsidR="000A2A2B" w:rsidRPr="007C3060" w:rsidRDefault="000A2A2B" w:rsidP="007C3060">
            <w:r w:rsidRPr="007C3060">
              <w:t xml:space="preserve">Driftsutgifter, </w:t>
            </w:r>
            <w:r w:rsidRPr="007C3060">
              <w:rPr>
                <w:rStyle w:val="kursiv"/>
              </w:rPr>
              <w:t>kan nyttes under kap. 431,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31FF49" w14:textId="77777777" w:rsidR="000A2A2B" w:rsidRPr="007C3060" w:rsidRDefault="000A2A2B" w:rsidP="007C3060">
            <w:r w:rsidRPr="007C3060">
              <w:t>5 966 864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1B5F8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2B6C05"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DBD057" w14:textId="77777777" w:rsidR="000A2A2B" w:rsidRPr="007C3060" w:rsidRDefault="000A2A2B" w:rsidP="007C3060">
            <w:r w:rsidRPr="007C3060">
              <w:t>5 976 864</w:t>
            </w:r>
          </w:p>
        </w:tc>
      </w:tr>
      <w:tr w:rsidR="004B729E" w:rsidRPr="007C3060" w14:paraId="73B80B1D"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9FCF78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8B174FD"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E1D5D8" w14:textId="77777777" w:rsidR="000A2A2B" w:rsidRPr="007C3060" w:rsidRDefault="000A2A2B" w:rsidP="007C3060">
            <w:r w:rsidRPr="007C3060">
              <w:t xml:space="preserve">Større utstyrsanskaffelser og vedlikehold,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D58156" w14:textId="77777777" w:rsidR="000A2A2B" w:rsidRPr="007C3060" w:rsidRDefault="000A2A2B" w:rsidP="007C3060">
            <w:r w:rsidRPr="007C3060">
              <w:t>111 952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CF66C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A5E1E3" w14:textId="77777777" w:rsidR="000A2A2B" w:rsidRPr="007C3060" w:rsidRDefault="000A2A2B" w:rsidP="007C3060">
            <w:r w:rsidRPr="007C3060">
              <w:t>7 931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D7B142" w14:textId="77777777" w:rsidR="000A2A2B" w:rsidRPr="007C3060" w:rsidRDefault="000A2A2B" w:rsidP="007C3060">
            <w:r w:rsidRPr="007C3060">
              <w:t>119 883</w:t>
            </w:r>
          </w:p>
        </w:tc>
      </w:tr>
      <w:tr w:rsidR="004B729E" w:rsidRPr="007C3060" w14:paraId="12C3EF6D"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68F4514" w14:textId="77777777" w:rsidR="000A2A2B" w:rsidRPr="007C3060" w:rsidRDefault="000A2A2B" w:rsidP="007C3060">
            <w:r w:rsidRPr="007C3060">
              <w:t>432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159FFA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B2BA50" w14:textId="6BCEFF54" w:rsidR="000A2A2B" w:rsidRPr="007C3060" w:rsidRDefault="000A2A2B" w:rsidP="007C3060">
            <w:r w:rsidRPr="007C3060">
              <w:t>Kriminalomsorgens høgskole og utdanningssenter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A24B87"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386A4A"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525042"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DDB05E" w14:textId="77777777" w:rsidR="000A2A2B" w:rsidRPr="007C3060" w:rsidRDefault="000A2A2B" w:rsidP="007C3060"/>
        </w:tc>
      </w:tr>
      <w:tr w:rsidR="004B729E" w:rsidRPr="007C3060" w14:paraId="1671228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1C4E3F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96968FE"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EDCD50"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EA5C57" w14:textId="77777777" w:rsidR="000A2A2B" w:rsidRPr="007C3060" w:rsidRDefault="000A2A2B" w:rsidP="007C3060">
            <w:r w:rsidRPr="007C3060">
              <w:t>252 138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E54D1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CC7E18" w14:textId="77777777" w:rsidR="000A2A2B" w:rsidRPr="007C3060" w:rsidRDefault="000A2A2B" w:rsidP="007C3060">
            <w:r w:rsidRPr="007C3060">
              <w:t>40 560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0E44C6" w14:textId="77777777" w:rsidR="000A2A2B" w:rsidRPr="007C3060" w:rsidRDefault="000A2A2B" w:rsidP="007C3060">
            <w:r w:rsidRPr="007C3060">
              <w:t>292 698</w:t>
            </w:r>
          </w:p>
        </w:tc>
      </w:tr>
      <w:tr w:rsidR="004B729E" w:rsidRPr="007C3060" w14:paraId="113EBAB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D46F455" w14:textId="77777777" w:rsidR="000A2A2B" w:rsidRPr="007C3060" w:rsidRDefault="000A2A2B" w:rsidP="007C3060">
            <w:r w:rsidRPr="007C3060">
              <w:t>433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6181F7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7B2598" w14:textId="77777777" w:rsidR="000A2A2B" w:rsidRPr="007C3060" w:rsidRDefault="000A2A2B" w:rsidP="007C3060">
            <w:r w:rsidRPr="007C3060">
              <w:t>Konfliktrådet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5DEF4B"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B1D720"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96E06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2AEFD0" w14:textId="77777777" w:rsidR="000A2A2B" w:rsidRPr="007C3060" w:rsidRDefault="000A2A2B" w:rsidP="007C3060"/>
        </w:tc>
      </w:tr>
      <w:tr w:rsidR="004B729E" w:rsidRPr="007C3060" w14:paraId="52434D4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E8E6C4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8DDB40B"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50DD51"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4745AB" w14:textId="77777777" w:rsidR="000A2A2B" w:rsidRPr="007C3060" w:rsidRDefault="000A2A2B" w:rsidP="007C3060">
            <w:r w:rsidRPr="007C3060">
              <w:t>180 479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48716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339D25" w14:textId="77777777" w:rsidR="000A2A2B" w:rsidRPr="007C3060" w:rsidRDefault="000A2A2B" w:rsidP="007C3060">
            <w:r w:rsidRPr="007C3060">
              <w:t>2 625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20394E" w14:textId="77777777" w:rsidR="000A2A2B" w:rsidRPr="007C3060" w:rsidRDefault="000A2A2B" w:rsidP="007C3060">
            <w:r w:rsidRPr="007C3060">
              <w:t>183 104</w:t>
            </w:r>
          </w:p>
        </w:tc>
      </w:tr>
      <w:tr w:rsidR="004B729E" w:rsidRPr="007C3060" w14:paraId="7DE77CB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AF7DAB4" w14:textId="77777777" w:rsidR="000A2A2B" w:rsidRPr="007C3060" w:rsidRDefault="000A2A2B" w:rsidP="007C3060">
            <w:r w:rsidRPr="007C3060">
              <w:t>440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18E23A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FA85AD" w14:textId="77777777" w:rsidR="000A2A2B" w:rsidRPr="007C3060" w:rsidRDefault="000A2A2B" w:rsidP="007C3060">
            <w:r w:rsidRPr="007C3060">
              <w:t>Politiet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E706AD"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F809F7"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A330E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971402" w14:textId="77777777" w:rsidR="000A2A2B" w:rsidRPr="007C3060" w:rsidRDefault="000A2A2B" w:rsidP="007C3060"/>
        </w:tc>
      </w:tr>
      <w:tr w:rsidR="004B729E" w:rsidRPr="007C3060" w14:paraId="01B95CB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4A7AF0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FF35F44"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9A6980" w14:textId="77777777" w:rsidR="000A2A2B" w:rsidRPr="007C3060" w:rsidRDefault="000A2A2B" w:rsidP="007C3060">
            <w:r w:rsidRPr="007C3060">
              <w:t xml:space="preserve">Driftsutgifter, </w:t>
            </w:r>
            <w:r w:rsidRPr="007C3060">
              <w:rPr>
                <w:rStyle w:val="kursiv"/>
              </w:rPr>
              <w:t>kan nyttes under kap. 441, post 1 og kap. 443,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CE3D5F" w14:textId="77777777" w:rsidR="000A2A2B" w:rsidRPr="007C3060" w:rsidRDefault="000A2A2B" w:rsidP="007C3060">
            <w:r w:rsidRPr="007C3060">
              <w:t>24 035 298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15589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F4E5C9" w14:textId="77777777" w:rsidR="000A2A2B" w:rsidRPr="007C3060" w:rsidRDefault="000A2A2B" w:rsidP="007C3060">
            <w:r w:rsidRPr="007C3060">
              <w:t>12 538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2021B2" w14:textId="77777777" w:rsidR="000A2A2B" w:rsidRPr="007C3060" w:rsidRDefault="000A2A2B" w:rsidP="007C3060">
            <w:r w:rsidRPr="007C3060">
              <w:t>24 047 836</w:t>
            </w:r>
          </w:p>
        </w:tc>
      </w:tr>
      <w:tr w:rsidR="004B729E" w:rsidRPr="007C3060" w14:paraId="682D918E"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F25C08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657C6CD" w14:textId="77777777" w:rsidR="000A2A2B" w:rsidRPr="007C3060" w:rsidRDefault="000A2A2B" w:rsidP="007C3060">
            <w:r w:rsidRPr="007C3060">
              <w:t>25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726318" w14:textId="77777777" w:rsidR="000A2A2B" w:rsidRPr="007C3060" w:rsidRDefault="000A2A2B" w:rsidP="007C3060">
            <w:r w:rsidRPr="007C3060">
              <w:t xml:space="preserve">Variable utgifter ved ankomst, mottak og retur i politiets utlendingsforvaltning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50412D" w14:textId="77777777" w:rsidR="000A2A2B" w:rsidRPr="007C3060" w:rsidRDefault="000A2A2B" w:rsidP="007C3060">
            <w:r w:rsidRPr="007C3060">
              <w:t>192 563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E10A5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560E16" w14:textId="77777777" w:rsidR="000A2A2B" w:rsidRPr="007C3060" w:rsidRDefault="000A2A2B" w:rsidP="007C3060">
            <w:r w:rsidRPr="007C3060">
              <w:t>23 500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67261A" w14:textId="77777777" w:rsidR="000A2A2B" w:rsidRPr="007C3060" w:rsidRDefault="000A2A2B" w:rsidP="007C3060">
            <w:r w:rsidRPr="007C3060">
              <w:t>216 063</w:t>
            </w:r>
          </w:p>
        </w:tc>
      </w:tr>
      <w:tr w:rsidR="004B729E" w:rsidRPr="007C3060" w14:paraId="43FC218D"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735D3D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70BF3F6"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9AE196" w14:textId="77777777" w:rsidR="000A2A2B" w:rsidRPr="007C3060" w:rsidRDefault="000A2A2B" w:rsidP="007C3060">
            <w:r w:rsidRPr="007C3060">
              <w:t xml:space="preserve">Større utstyrsanskaffelser og vedlikehold,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CCFA55" w14:textId="77777777" w:rsidR="000A2A2B" w:rsidRPr="007C3060" w:rsidRDefault="000A2A2B" w:rsidP="007C3060">
            <w:r w:rsidRPr="007C3060">
              <w:t>34 085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AC434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9CED2D" w14:textId="77777777" w:rsidR="000A2A2B" w:rsidRPr="007C3060" w:rsidRDefault="000A2A2B" w:rsidP="007C3060">
            <w:r w:rsidRPr="007C3060">
              <w:t>-6 800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43CC2A" w14:textId="77777777" w:rsidR="000A2A2B" w:rsidRPr="007C3060" w:rsidRDefault="000A2A2B" w:rsidP="007C3060">
            <w:r w:rsidRPr="007C3060">
              <w:t>27 285</w:t>
            </w:r>
          </w:p>
        </w:tc>
      </w:tr>
      <w:tr w:rsidR="004B729E" w:rsidRPr="007C3060" w14:paraId="5C5E6BCE"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AA0043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7CE08EC" w14:textId="77777777" w:rsidR="000A2A2B" w:rsidRPr="007C3060" w:rsidRDefault="000A2A2B" w:rsidP="007C3060">
            <w:r w:rsidRPr="007C3060">
              <w:t>46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390AE5" w14:textId="77777777" w:rsidR="000A2A2B" w:rsidRPr="007C3060" w:rsidRDefault="000A2A2B" w:rsidP="007C3060">
            <w:r w:rsidRPr="007C3060">
              <w:t xml:space="preserve">Investeringer i Schengen IT-systemer,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63BFC4" w14:textId="77777777" w:rsidR="000A2A2B" w:rsidRPr="007C3060" w:rsidRDefault="000A2A2B" w:rsidP="007C3060">
            <w:r w:rsidRPr="007C3060">
              <w:t>350 002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C0B47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D83996" w14:textId="77777777" w:rsidR="000A2A2B" w:rsidRPr="007C3060" w:rsidRDefault="000A2A2B" w:rsidP="007C3060">
            <w:r w:rsidRPr="007C3060">
              <w:t>-230 266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25E8BD" w14:textId="77777777" w:rsidR="000A2A2B" w:rsidRPr="007C3060" w:rsidRDefault="000A2A2B" w:rsidP="007C3060">
            <w:r w:rsidRPr="007C3060">
              <w:t>119 736</w:t>
            </w:r>
          </w:p>
        </w:tc>
      </w:tr>
      <w:tr w:rsidR="004B729E" w:rsidRPr="007C3060" w14:paraId="31723895"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D5AB32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B988A0F" w14:textId="77777777" w:rsidR="000A2A2B" w:rsidRPr="007C3060" w:rsidRDefault="000A2A2B" w:rsidP="007C3060">
            <w:r w:rsidRPr="007C3060">
              <w:t>48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F52A94" w14:textId="77777777" w:rsidR="000A2A2B" w:rsidRPr="007C3060" w:rsidRDefault="000A2A2B" w:rsidP="007C3060">
            <w:r w:rsidRPr="007C3060">
              <w:t xml:space="preserve">Tildeling fra EUs grense- og visum-finansieringsordninger,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6F5465" w14:textId="77777777" w:rsidR="000A2A2B" w:rsidRPr="007C3060" w:rsidRDefault="000A2A2B" w:rsidP="007C3060">
            <w:r w:rsidRPr="007C3060">
              <w:t>147 310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057E6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D036B3" w14:textId="77777777" w:rsidR="000A2A2B" w:rsidRPr="007C3060" w:rsidRDefault="000A2A2B" w:rsidP="007C3060">
            <w:r w:rsidRPr="007C3060">
              <w:t>-8 895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CF4AB8" w14:textId="77777777" w:rsidR="000A2A2B" w:rsidRPr="007C3060" w:rsidRDefault="000A2A2B" w:rsidP="007C3060">
            <w:r w:rsidRPr="007C3060">
              <w:t>138 415</w:t>
            </w:r>
          </w:p>
        </w:tc>
      </w:tr>
      <w:tr w:rsidR="004B729E" w:rsidRPr="007C3060" w14:paraId="60628403"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05F1676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9188189"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2E1133" w14:textId="24BFF63D" w:rsidR="000A2A2B" w:rsidRPr="007C3060" w:rsidRDefault="000A2A2B" w:rsidP="007C3060">
            <w:r w:rsidRPr="007C3060">
              <w:t xml:space="preserve">Internasjonale forpliktelser, mv.,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56C6B6" w14:textId="77777777" w:rsidR="000A2A2B" w:rsidRPr="007C3060" w:rsidRDefault="000A2A2B" w:rsidP="007C3060">
            <w:r w:rsidRPr="007C3060">
              <w:t>703 644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12379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EC79D8" w14:textId="77777777" w:rsidR="000A2A2B" w:rsidRPr="007C3060" w:rsidRDefault="000A2A2B" w:rsidP="007C3060">
            <w:r w:rsidRPr="007C3060">
              <w:t>26 364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0B3E52" w14:textId="77777777" w:rsidR="000A2A2B" w:rsidRPr="007C3060" w:rsidRDefault="000A2A2B" w:rsidP="007C3060">
            <w:r w:rsidRPr="007C3060">
              <w:t>730 008</w:t>
            </w:r>
          </w:p>
        </w:tc>
      </w:tr>
      <w:tr w:rsidR="004B729E" w:rsidRPr="007C3060" w14:paraId="7D05AC2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E6F5815" w14:textId="77777777" w:rsidR="000A2A2B" w:rsidRPr="007C3060" w:rsidRDefault="000A2A2B" w:rsidP="007C3060">
            <w:r w:rsidRPr="007C3060">
              <w:t>441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092F42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AE0DF5" w14:textId="77777777" w:rsidR="000A2A2B" w:rsidRPr="007C3060" w:rsidRDefault="000A2A2B" w:rsidP="007C3060">
            <w:r w:rsidRPr="007C3060">
              <w:t>Politidirektoratet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5A3EE8"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2C0806"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3C9B6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23AF38" w14:textId="77777777" w:rsidR="000A2A2B" w:rsidRPr="007C3060" w:rsidRDefault="000A2A2B" w:rsidP="007C3060"/>
        </w:tc>
      </w:tr>
      <w:tr w:rsidR="004B729E" w:rsidRPr="007C3060" w14:paraId="6B883997"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DAAC9A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C0627C9"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31455B" w14:textId="7356460B" w:rsidR="000A2A2B" w:rsidRPr="007C3060" w:rsidRDefault="000A2A2B" w:rsidP="007C3060">
            <w:r w:rsidRPr="007C3060">
              <w:t xml:space="preserve">Driftsutgifter, </w:t>
            </w:r>
            <w:r w:rsidRPr="007C3060">
              <w:rPr>
                <w:rStyle w:val="kursiv"/>
              </w:rPr>
              <w:t>kan nyttes under kap. 440,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3E66EF" w14:textId="77777777" w:rsidR="000A2A2B" w:rsidRPr="007C3060" w:rsidRDefault="000A2A2B" w:rsidP="007C3060">
            <w:r w:rsidRPr="007C3060">
              <w:t>383 084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FFC57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47AD51" w14:textId="77777777" w:rsidR="000A2A2B" w:rsidRPr="007C3060" w:rsidRDefault="000A2A2B" w:rsidP="007C3060">
            <w:r w:rsidRPr="007C3060">
              <w:t>6 650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D0C7A8" w14:textId="77777777" w:rsidR="000A2A2B" w:rsidRPr="007C3060" w:rsidRDefault="000A2A2B" w:rsidP="007C3060">
            <w:r w:rsidRPr="007C3060">
              <w:t>389 734</w:t>
            </w:r>
          </w:p>
        </w:tc>
      </w:tr>
      <w:tr w:rsidR="004B729E" w:rsidRPr="007C3060" w14:paraId="2BF813A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4165395" w14:textId="77777777" w:rsidR="000A2A2B" w:rsidRPr="007C3060" w:rsidRDefault="000A2A2B" w:rsidP="007C3060">
            <w:r w:rsidRPr="007C3060">
              <w:t>442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791738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0A4B00" w14:textId="77777777" w:rsidR="000A2A2B" w:rsidRPr="007C3060" w:rsidRDefault="000A2A2B" w:rsidP="007C3060">
            <w:r w:rsidRPr="007C3060">
              <w:t>Politihøgskolen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EC1EF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6D772D"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81B3B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D8606C" w14:textId="77777777" w:rsidR="000A2A2B" w:rsidRPr="007C3060" w:rsidRDefault="000A2A2B" w:rsidP="007C3060"/>
        </w:tc>
      </w:tr>
      <w:tr w:rsidR="004B729E" w:rsidRPr="007C3060" w14:paraId="5DAB558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716063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2F8658F"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5CFE09"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8A6600" w14:textId="77777777" w:rsidR="000A2A2B" w:rsidRPr="007C3060" w:rsidRDefault="000A2A2B" w:rsidP="007C3060">
            <w:r w:rsidRPr="007C3060">
              <w:t>713 726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77F9D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B7D5D0" w14:textId="77777777" w:rsidR="000A2A2B" w:rsidRPr="007C3060" w:rsidRDefault="000A2A2B" w:rsidP="007C3060">
            <w:r w:rsidRPr="007C3060">
              <w:t>11 595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927551" w14:textId="77777777" w:rsidR="000A2A2B" w:rsidRPr="007C3060" w:rsidRDefault="000A2A2B" w:rsidP="007C3060">
            <w:r w:rsidRPr="007C3060">
              <w:t>725 321</w:t>
            </w:r>
          </w:p>
        </w:tc>
      </w:tr>
      <w:tr w:rsidR="004B729E" w:rsidRPr="007C3060" w14:paraId="65AA3B2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0FC0EBB" w14:textId="77777777" w:rsidR="000A2A2B" w:rsidRPr="007C3060" w:rsidRDefault="000A2A2B" w:rsidP="007C3060">
            <w:r w:rsidRPr="007C3060">
              <w:t>443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0CDDFBF"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0D649F" w14:textId="77777777" w:rsidR="000A2A2B" w:rsidRPr="007C3060" w:rsidRDefault="000A2A2B" w:rsidP="007C3060">
            <w:r w:rsidRPr="007C3060">
              <w:t>Påtalemyndigheten i politiet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DA177B"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C39CD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6548D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A90ED0" w14:textId="77777777" w:rsidR="000A2A2B" w:rsidRPr="007C3060" w:rsidRDefault="000A2A2B" w:rsidP="007C3060"/>
        </w:tc>
      </w:tr>
      <w:tr w:rsidR="004B729E" w:rsidRPr="007C3060" w14:paraId="09E02F68"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EACD95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81A5D41"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787C7B" w14:textId="4FCA0390" w:rsidR="000A2A2B" w:rsidRPr="007C3060" w:rsidRDefault="000A2A2B" w:rsidP="007C3060">
            <w:r w:rsidRPr="007C3060">
              <w:t xml:space="preserve">Driftsutgifter, </w:t>
            </w:r>
            <w:r w:rsidRPr="007C3060">
              <w:rPr>
                <w:rStyle w:val="kursiv"/>
              </w:rPr>
              <w:t>kan nyttes under kap. 440,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4C2372" w14:textId="77777777" w:rsidR="000A2A2B" w:rsidRPr="007C3060" w:rsidRDefault="000A2A2B" w:rsidP="007C3060">
            <w:r w:rsidRPr="007C3060">
              <w:t>1 644 655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F89F1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FAE9B3" w14:textId="77777777" w:rsidR="000A2A2B" w:rsidRPr="007C3060" w:rsidRDefault="000A2A2B" w:rsidP="007C3060">
            <w:r w:rsidRPr="007C3060">
              <w:t>38 067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E45D68" w14:textId="77777777" w:rsidR="000A2A2B" w:rsidRPr="007C3060" w:rsidRDefault="000A2A2B" w:rsidP="007C3060">
            <w:r w:rsidRPr="007C3060">
              <w:t>1 682 722</w:t>
            </w:r>
          </w:p>
        </w:tc>
      </w:tr>
      <w:tr w:rsidR="004B729E" w:rsidRPr="007C3060" w14:paraId="2A58F4C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8876D56" w14:textId="77777777" w:rsidR="000A2A2B" w:rsidRPr="007C3060" w:rsidRDefault="000A2A2B" w:rsidP="007C3060">
            <w:r w:rsidRPr="007C3060">
              <w:t>444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E7A842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2D05EA" w14:textId="77777777" w:rsidR="000A2A2B" w:rsidRPr="007C3060" w:rsidRDefault="000A2A2B" w:rsidP="007C3060">
            <w:r w:rsidRPr="007C3060">
              <w:t>Politiets sikkerhetstjeneste (PST)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48C6F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04B25E"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3B771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53E3DA" w14:textId="77777777" w:rsidR="000A2A2B" w:rsidRPr="007C3060" w:rsidRDefault="000A2A2B" w:rsidP="007C3060"/>
        </w:tc>
      </w:tr>
      <w:tr w:rsidR="004B729E" w:rsidRPr="007C3060" w14:paraId="1F96CBB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1B2E37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6CDF58C"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51CC1C"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101640" w14:textId="77777777" w:rsidR="000A2A2B" w:rsidRPr="007C3060" w:rsidRDefault="000A2A2B" w:rsidP="007C3060">
            <w:r w:rsidRPr="007C3060">
              <w:t>1 759 279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328B6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1B2625"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931B9A" w14:textId="77777777" w:rsidR="000A2A2B" w:rsidRPr="007C3060" w:rsidRDefault="000A2A2B" w:rsidP="007C3060">
            <w:r w:rsidRPr="007C3060">
              <w:t>1 769 279</w:t>
            </w:r>
          </w:p>
        </w:tc>
      </w:tr>
      <w:tr w:rsidR="004B729E" w:rsidRPr="007C3060" w14:paraId="6ADC6FD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71142F4" w14:textId="77777777" w:rsidR="000A2A2B" w:rsidRPr="007C3060" w:rsidRDefault="000A2A2B" w:rsidP="007C3060">
            <w:r w:rsidRPr="007C3060">
              <w:t>445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C427BE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994BE0" w14:textId="77777777" w:rsidR="000A2A2B" w:rsidRPr="007C3060" w:rsidRDefault="000A2A2B" w:rsidP="007C3060">
            <w:r w:rsidRPr="007C3060">
              <w:t>Den høyere påtalemyndighet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00B84E"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AB3956"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C3908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8B6CDE" w14:textId="77777777" w:rsidR="000A2A2B" w:rsidRPr="007C3060" w:rsidRDefault="000A2A2B" w:rsidP="007C3060"/>
        </w:tc>
      </w:tr>
      <w:tr w:rsidR="004B729E" w:rsidRPr="007C3060" w14:paraId="41F1997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5BB7A3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44CC4EF"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2BD1B4"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18A7CE" w14:textId="77777777" w:rsidR="000A2A2B" w:rsidRPr="007C3060" w:rsidRDefault="000A2A2B" w:rsidP="007C3060">
            <w:r w:rsidRPr="007C3060">
              <w:t>393 959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EA534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8931D7" w14:textId="77777777" w:rsidR="000A2A2B" w:rsidRPr="007C3060" w:rsidRDefault="000A2A2B" w:rsidP="007C3060">
            <w:r w:rsidRPr="007C3060">
              <w:t>235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49F2BA" w14:textId="77777777" w:rsidR="000A2A2B" w:rsidRPr="007C3060" w:rsidRDefault="000A2A2B" w:rsidP="007C3060">
            <w:r w:rsidRPr="007C3060">
              <w:t>394 194</w:t>
            </w:r>
          </w:p>
        </w:tc>
      </w:tr>
      <w:tr w:rsidR="004B729E" w:rsidRPr="007C3060" w14:paraId="2720BE5A"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6C987604" w14:textId="77777777" w:rsidR="000A2A2B" w:rsidRPr="007C3060" w:rsidRDefault="000A2A2B" w:rsidP="007C3060">
            <w:r w:rsidRPr="007C3060">
              <w:t>446</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2FF45BDC"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C74C9AF" w14:textId="77777777" w:rsidR="000A2A2B" w:rsidRPr="007C3060" w:rsidRDefault="000A2A2B" w:rsidP="007C3060">
            <w:r w:rsidRPr="007C3060">
              <w:t>Den militære påtalemyndighet</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76A1258"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B4E96A7"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0F678F6"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A8B253F" w14:textId="77777777" w:rsidR="000A2A2B" w:rsidRPr="007C3060" w:rsidRDefault="000A2A2B" w:rsidP="007C3060"/>
        </w:tc>
      </w:tr>
      <w:tr w:rsidR="004B729E" w:rsidRPr="007C3060" w14:paraId="4D0406B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E333BB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E86BE15"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372D55"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D2D989" w14:textId="77777777" w:rsidR="000A2A2B" w:rsidRPr="007C3060" w:rsidRDefault="000A2A2B" w:rsidP="007C3060">
            <w:r w:rsidRPr="007C3060">
              <w:t>235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F05DC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4B2CB6" w14:textId="77777777" w:rsidR="000A2A2B" w:rsidRPr="007C3060" w:rsidRDefault="000A2A2B" w:rsidP="007C3060">
            <w:r w:rsidRPr="007C3060">
              <w:t>-235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FEEE2E" w14:textId="77777777" w:rsidR="000A2A2B" w:rsidRPr="007C3060" w:rsidRDefault="000A2A2B" w:rsidP="007C3060">
            <w:r w:rsidRPr="007C3060">
              <w:t>0</w:t>
            </w:r>
          </w:p>
        </w:tc>
      </w:tr>
      <w:tr w:rsidR="004B729E" w:rsidRPr="007C3060" w14:paraId="03F66CD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E81A60B" w14:textId="77777777" w:rsidR="000A2A2B" w:rsidRPr="007C3060" w:rsidRDefault="000A2A2B" w:rsidP="007C3060">
            <w:r w:rsidRPr="007C3060">
              <w:t>448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ECBC37F"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17AE43" w14:textId="77777777" w:rsidR="000A2A2B" w:rsidRPr="007C3060" w:rsidRDefault="000A2A2B" w:rsidP="007C3060">
            <w:r w:rsidRPr="007C3060">
              <w:t>Grensekommissæren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8512F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634CD"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945B7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869B08" w14:textId="77777777" w:rsidR="000A2A2B" w:rsidRPr="007C3060" w:rsidRDefault="000A2A2B" w:rsidP="007C3060"/>
        </w:tc>
      </w:tr>
      <w:tr w:rsidR="004B729E" w:rsidRPr="007C3060" w14:paraId="0287497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FB9E29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935E7E9"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0EAC8F"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FEDEC4" w14:textId="77777777" w:rsidR="000A2A2B" w:rsidRPr="007C3060" w:rsidRDefault="000A2A2B" w:rsidP="007C3060">
            <w:r w:rsidRPr="007C3060">
              <w:t>6 571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B4BF7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23511D" w14:textId="77777777" w:rsidR="000A2A2B" w:rsidRPr="007C3060" w:rsidRDefault="000A2A2B" w:rsidP="007C3060">
            <w:r w:rsidRPr="007C3060">
              <w:t>850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EBA78C" w14:textId="77777777" w:rsidR="000A2A2B" w:rsidRPr="007C3060" w:rsidRDefault="000A2A2B" w:rsidP="007C3060">
            <w:r w:rsidRPr="007C3060">
              <w:t>7 421</w:t>
            </w:r>
          </w:p>
        </w:tc>
      </w:tr>
      <w:tr w:rsidR="004B729E" w:rsidRPr="007C3060" w14:paraId="572472A6"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B19A555" w14:textId="77777777" w:rsidR="000A2A2B" w:rsidRPr="007C3060" w:rsidRDefault="000A2A2B" w:rsidP="007C3060">
            <w:r w:rsidRPr="007C3060">
              <w:t>451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1E87E94"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4CD64D" w14:textId="77777777" w:rsidR="000A2A2B" w:rsidRPr="007C3060" w:rsidRDefault="000A2A2B" w:rsidP="007C3060">
            <w:r w:rsidRPr="007C3060">
              <w:t>Direktoratet for samfunnssikkerhet og beredskap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C5F5FB"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7A65E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A3AF2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831E0C" w14:textId="77777777" w:rsidR="000A2A2B" w:rsidRPr="007C3060" w:rsidRDefault="000A2A2B" w:rsidP="007C3060"/>
        </w:tc>
      </w:tr>
      <w:tr w:rsidR="004B729E" w:rsidRPr="007C3060" w14:paraId="0FEFB6D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C4F1E4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24A3B33"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CDFB74"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346896" w14:textId="77777777" w:rsidR="000A2A2B" w:rsidRPr="007C3060" w:rsidRDefault="000A2A2B" w:rsidP="007C3060">
            <w:r w:rsidRPr="007C3060">
              <w:t>1 565 567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9CF4F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6F9E72" w14:textId="77777777" w:rsidR="000A2A2B" w:rsidRPr="007C3060" w:rsidRDefault="000A2A2B" w:rsidP="007C3060">
            <w:r w:rsidRPr="007C3060">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1E6404" w14:textId="77777777" w:rsidR="000A2A2B" w:rsidRPr="007C3060" w:rsidRDefault="000A2A2B" w:rsidP="007C3060">
            <w:r w:rsidRPr="007C3060">
              <w:t>1 567 567</w:t>
            </w:r>
          </w:p>
        </w:tc>
      </w:tr>
      <w:tr w:rsidR="004B729E" w:rsidRPr="007C3060" w14:paraId="7C5CD60F"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A44F65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2AC65D1"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CACB87" w14:textId="77777777" w:rsidR="000A2A2B" w:rsidRPr="007C3060" w:rsidRDefault="000A2A2B" w:rsidP="007C3060">
            <w:r w:rsidRPr="007C3060">
              <w:t xml:space="preserve">Større utstyrsanskaffelser og vedlikehold,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EEFAA0" w14:textId="77777777" w:rsidR="000A2A2B" w:rsidRPr="007C3060" w:rsidRDefault="000A2A2B" w:rsidP="007C3060">
            <w:r w:rsidRPr="007C3060">
              <w:t>141 619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1173E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989CCC" w14:textId="77777777" w:rsidR="000A2A2B" w:rsidRPr="007C3060" w:rsidRDefault="000A2A2B" w:rsidP="007C3060">
            <w:r w:rsidRPr="007C3060">
              <w:t>43 000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C3F362" w14:textId="77777777" w:rsidR="000A2A2B" w:rsidRPr="007C3060" w:rsidRDefault="000A2A2B" w:rsidP="007C3060">
            <w:r w:rsidRPr="007C3060">
              <w:t>184 619</w:t>
            </w:r>
          </w:p>
        </w:tc>
      </w:tr>
      <w:tr w:rsidR="004B729E" w:rsidRPr="007C3060" w14:paraId="38DE467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08CE707" w14:textId="77777777" w:rsidR="000A2A2B" w:rsidRPr="007C3060" w:rsidRDefault="000A2A2B" w:rsidP="007C3060">
            <w:r w:rsidRPr="007C3060">
              <w:t>454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887A87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56F4E2" w14:textId="77777777" w:rsidR="000A2A2B" w:rsidRPr="007C3060" w:rsidRDefault="000A2A2B" w:rsidP="007C3060">
            <w:r w:rsidRPr="007C3060">
              <w:t>Redningshelikoptertjenesten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FD7484"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6BD3CE"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A9563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5E11D0" w14:textId="77777777" w:rsidR="000A2A2B" w:rsidRPr="007C3060" w:rsidRDefault="000A2A2B" w:rsidP="007C3060"/>
        </w:tc>
      </w:tr>
      <w:tr w:rsidR="004B729E" w:rsidRPr="007C3060" w14:paraId="2C5EF10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242C86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7100572"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ADA5F4"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C45CAF" w14:textId="77777777" w:rsidR="000A2A2B" w:rsidRPr="007C3060" w:rsidRDefault="000A2A2B" w:rsidP="007C3060">
            <w:r w:rsidRPr="007C3060">
              <w:t>1 216 626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244D4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B5CDB2" w14:textId="77777777" w:rsidR="000A2A2B" w:rsidRPr="007C3060" w:rsidRDefault="000A2A2B" w:rsidP="007C3060">
            <w:r w:rsidRPr="007C3060">
              <w:t>3 925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A1203F" w14:textId="77777777" w:rsidR="000A2A2B" w:rsidRPr="007C3060" w:rsidRDefault="000A2A2B" w:rsidP="007C3060">
            <w:r w:rsidRPr="007C3060">
              <w:t>1 220 551</w:t>
            </w:r>
          </w:p>
        </w:tc>
      </w:tr>
      <w:tr w:rsidR="004B729E" w:rsidRPr="007C3060" w14:paraId="0AEEBA6C"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151286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186E9BB"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C17245" w14:textId="77777777" w:rsidR="000A2A2B" w:rsidRPr="007C3060" w:rsidRDefault="000A2A2B" w:rsidP="007C3060">
            <w:r w:rsidRPr="007C3060">
              <w:t xml:space="preserve">Større utstyrsanskaffelser og vedlikehold,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49718B" w14:textId="77777777" w:rsidR="000A2A2B" w:rsidRPr="007C3060" w:rsidRDefault="000A2A2B" w:rsidP="007C3060">
            <w:r w:rsidRPr="007C3060">
              <w:t>964 234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95CF5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402163" w14:textId="77777777" w:rsidR="000A2A2B" w:rsidRPr="007C3060" w:rsidRDefault="000A2A2B" w:rsidP="007C3060">
            <w:r w:rsidRPr="007C3060">
              <w:t>434 594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4D9235" w14:textId="77777777" w:rsidR="000A2A2B" w:rsidRPr="007C3060" w:rsidRDefault="000A2A2B" w:rsidP="007C3060">
            <w:r w:rsidRPr="007C3060">
              <w:t>1 398 828</w:t>
            </w:r>
          </w:p>
        </w:tc>
      </w:tr>
      <w:tr w:rsidR="004B729E" w:rsidRPr="007C3060" w14:paraId="6E33787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372796F" w14:textId="77777777" w:rsidR="000A2A2B" w:rsidRPr="007C3060" w:rsidRDefault="000A2A2B" w:rsidP="007C3060">
            <w:r w:rsidRPr="007C3060">
              <w:t>455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9A953A4"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FA9CE2" w14:textId="77777777" w:rsidR="000A2A2B" w:rsidRPr="007C3060" w:rsidRDefault="000A2A2B" w:rsidP="007C3060">
            <w:r w:rsidRPr="007C3060">
              <w:t>Redningstjenesten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616FED"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0FD18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E6209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7D97BF" w14:textId="77777777" w:rsidR="000A2A2B" w:rsidRPr="007C3060" w:rsidRDefault="000A2A2B" w:rsidP="007C3060"/>
        </w:tc>
      </w:tr>
      <w:tr w:rsidR="004B729E" w:rsidRPr="007C3060" w14:paraId="2F57700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7A2483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7B99371"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5A1CA2" w14:textId="77777777" w:rsidR="000A2A2B" w:rsidRPr="007C3060" w:rsidRDefault="000A2A2B" w:rsidP="007C3060">
            <w:r w:rsidRPr="007C306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0950BC" w14:textId="77777777" w:rsidR="000A2A2B" w:rsidRPr="007C3060" w:rsidRDefault="000A2A2B" w:rsidP="007C3060">
            <w:r w:rsidRPr="007C3060">
              <w:t>32 962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6B2CF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A9C6F2" w14:textId="77777777" w:rsidR="000A2A2B" w:rsidRPr="007C3060" w:rsidRDefault="000A2A2B" w:rsidP="007C3060">
            <w:r w:rsidRPr="007C3060">
              <w:t>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41EE15" w14:textId="77777777" w:rsidR="000A2A2B" w:rsidRPr="007C3060" w:rsidRDefault="000A2A2B" w:rsidP="007C3060">
            <w:r w:rsidRPr="007C3060">
              <w:t>40 962</w:t>
            </w:r>
          </w:p>
        </w:tc>
      </w:tr>
      <w:tr w:rsidR="004B729E" w:rsidRPr="007C3060" w14:paraId="6B635DA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87077B5" w14:textId="77777777" w:rsidR="000A2A2B" w:rsidRPr="007C3060" w:rsidRDefault="000A2A2B" w:rsidP="007C3060">
            <w:r w:rsidRPr="007C3060">
              <w:t>457</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DAD2E14"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CD6825" w14:textId="77777777" w:rsidR="000A2A2B" w:rsidRPr="007C3060" w:rsidRDefault="000A2A2B" w:rsidP="007C3060">
            <w:r w:rsidRPr="007C3060">
              <w:t>Nasjonal sikkerhetsmyndighet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2113BB"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FEC0EE"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3C35B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E488DD" w14:textId="77777777" w:rsidR="000A2A2B" w:rsidRPr="007C3060" w:rsidRDefault="000A2A2B" w:rsidP="007C3060"/>
        </w:tc>
      </w:tr>
      <w:tr w:rsidR="004B729E" w:rsidRPr="007C3060" w14:paraId="4F6D2D2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E0CA19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59EFFAF"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C3A567"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AD4F89" w14:textId="77777777" w:rsidR="000A2A2B" w:rsidRPr="007C3060" w:rsidRDefault="000A2A2B" w:rsidP="007C3060">
            <w:r w:rsidRPr="007C3060">
              <w:t>529 787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D122E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357DCC" w14:textId="77777777" w:rsidR="000A2A2B" w:rsidRPr="007C3060" w:rsidRDefault="000A2A2B" w:rsidP="007C3060">
            <w:r w:rsidRPr="007C3060">
              <w:t>2 500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27A838" w14:textId="77777777" w:rsidR="000A2A2B" w:rsidRPr="007C3060" w:rsidRDefault="000A2A2B" w:rsidP="007C3060">
            <w:r w:rsidRPr="007C3060">
              <w:t>532 287</w:t>
            </w:r>
          </w:p>
        </w:tc>
      </w:tr>
      <w:tr w:rsidR="004B729E" w:rsidRPr="007C3060" w14:paraId="2EE070B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A6A4454" w14:textId="77777777" w:rsidR="000A2A2B" w:rsidRPr="007C3060" w:rsidRDefault="000A2A2B" w:rsidP="007C3060">
            <w:r w:rsidRPr="007C3060">
              <w:t>461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9CC1A7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2019CD" w14:textId="77777777" w:rsidR="000A2A2B" w:rsidRPr="007C3060" w:rsidRDefault="000A2A2B" w:rsidP="007C3060">
            <w:r w:rsidRPr="007C3060">
              <w:t>Advokattilsynet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8AADC2"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38AE9D"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8F8D4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2BF19A" w14:textId="77777777" w:rsidR="000A2A2B" w:rsidRPr="007C3060" w:rsidRDefault="000A2A2B" w:rsidP="007C3060"/>
        </w:tc>
      </w:tr>
      <w:tr w:rsidR="004B729E" w:rsidRPr="007C3060" w14:paraId="5F788ED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352140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ED6EC58"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35AE6F" w14:textId="77777777" w:rsidR="000A2A2B" w:rsidRPr="007C3060" w:rsidRDefault="000A2A2B" w:rsidP="007C3060">
            <w:r w:rsidRPr="007C3060">
              <w:t xml:space="preserve">Driftsutgifter, </w:t>
            </w:r>
            <w:r w:rsidRPr="007C3060">
              <w:rPr>
                <w:rStyle w:val="kursiv"/>
              </w:rPr>
              <w:t>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719038" w14:textId="77777777" w:rsidR="000A2A2B" w:rsidRPr="007C3060" w:rsidRDefault="000A2A2B" w:rsidP="007C3060">
            <w:r w:rsidRPr="007C3060">
              <w:t>51 500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B6A18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5F1162" w14:textId="77777777" w:rsidR="000A2A2B" w:rsidRPr="007C3060" w:rsidRDefault="000A2A2B" w:rsidP="007C3060">
            <w:r w:rsidRPr="007C3060">
              <w:t>-3 200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2A9A91" w14:textId="77777777" w:rsidR="000A2A2B" w:rsidRPr="007C3060" w:rsidRDefault="000A2A2B" w:rsidP="007C3060">
            <w:r w:rsidRPr="007C3060">
              <w:t>48 300</w:t>
            </w:r>
          </w:p>
        </w:tc>
      </w:tr>
      <w:tr w:rsidR="004B729E" w:rsidRPr="007C3060" w14:paraId="7A8260F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F0C5945" w14:textId="77777777" w:rsidR="000A2A2B" w:rsidRPr="007C3060" w:rsidRDefault="000A2A2B" w:rsidP="007C3060">
            <w:r w:rsidRPr="007C3060">
              <w:t>466</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7C9886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81C2AF" w14:textId="77777777" w:rsidR="000A2A2B" w:rsidRPr="007C3060" w:rsidRDefault="000A2A2B" w:rsidP="007C3060">
            <w:r w:rsidRPr="007C3060">
              <w:t>Særskilte straffesaksutgifter m.m.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169E6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C86FD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76BC4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21ECB3" w14:textId="77777777" w:rsidR="000A2A2B" w:rsidRPr="007C3060" w:rsidRDefault="000A2A2B" w:rsidP="007C3060"/>
        </w:tc>
      </w:tr>
      <w:tr w:rsidR="004B729E" w:rsidRPr="007C3060" w14:paraId="1F1E8A1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6D00BE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6655ABC"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56B298"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0E31F5" w14:textId="77777777" w:rsidR="000A2A2B" w:rsidRPr="007C3060" w:rsidRDefault="000A2A2B" w:rsidP="007C3060">
            <w:r w:rsidRPr="007C3060">
              <w:t>1 651 572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9F5B7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83FD48" w14:textId="77777777" w:rsidR="000A2A2B" w:rsidRPr="007C3060" w:rsidRDefault="000A2A2B" w:rsidP="007C3060">
            <w:r w:rsidRPr="007C3060">
              <w:t>92 686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98771E" w14:textId="77777777" w:rsidR="000A2A2B" w:rsidRPr="007C3060" w:rsidRDefault="000A2A2B" w:rsidP="007C3060">
            <w:r w:rsidRPr="007C3060">
              <w:t>1 744 258</w:t>
            </w:r>
          </w:p>
        </w:tc>
      </w:tr>
      <w:tr w:rsidR="004B729E" w:rsidRPr="007C3060" w14:paraId="45D25A5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1A3BC03" w14:textId="77777777" w:rsidR="000A2A2B" w:rsidRPr="007C3060" w:rsidRDefault="000A2A2B" w:rsidP="007C3060">
            <w:r w:rsidRPr="007C3060">
              <w:t>467</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170B96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845C22" w14:textId="77777777" w:rsidR="000A2A2B" w:rsidRPr="007C3060" w:rsidRDefault="000A2A2B" w:rsidP="007C3060">
            <w:r w:rsidRPr="007C3060">
              <w:t>Norsk Lovtidend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CF7067"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17D00D"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9531C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A37BD5" w14:textId="77777777" w:rsidR="000A2A2B" w:rsidRPr="007C3060" w:rsidRDefault="000A2A2B" w:rsidP="007C3060"/>
        </w:tc>
      </w:tr>
      <w:tr w:rsidR="004B729E" w:rsidRPr="007C3060" w14:paraId="43BB6B6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1E1A6A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8C27091"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652ABE"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257A1D" w14:textId="77777777" w:rsidR="000A2A2B" w:rsidRPr="007C3060" w:rsidRDefault="000A2A2B" w:rsidP="007C3060">
            <w:r w:rsidRPr="007C3060">
              <w:t>10 886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CA822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EEEC6E" w14:textId="77777777" w:rsidR="000A2A2B" w:rsidRPr="007C3060" w:rsidRDefault="000A2A2B" w:rsidP="007C3060">
            <w:r w:rsidRPr="007C3060">
              <w:t>2 679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F0F387" w14:textId="77777777" w:rsidR="000A2A2B" w:rsidRPr="007C3060" w:rsidRDefault="000A2A2B" w:rsidP="007C3060">
            <w:r w:rsidRPr="007C3060">
              <w:t>13 565</w:t>
            </w:r>
          </w:p>
        </w:tc>
      </w:tr>
      <w:tr w:rsidR="004B729E" w:rsidRPr="007C3060" w14:paraId="3BD63EE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813C428" w14:textId="77777777" w:rsidR="000A2A2B" w:rsidRPr="007C3060" w:rsidRDefault="000A2A2B" w:rsidP="007C3060">
            <w:r w:rsidRPr="007C3060">
              <w:t>470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958EA6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2644C4" w14:textId="77777777" w:rsidR="000A2A2B" w:rsidRPr="007C3060" w:rsidRDefault="000A2A2B" w:rsidP="007C3060">
            <w:r w:rsidRPr="007C3060">
              <w:t>Fri rettshjelp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29061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DAA57A"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0AF0F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CC188B" w14:textId="77777777" w:rsidR="000A2A2B" w:rsidRPr="007C3060" w:rsidRDefault="000A2A2B" w:rsidP="007C3060"/>
        </w:tc>
      </w:tr>
      <w:tr w:rsidR="004B729E" w:rsidRPr="007C3060" w14:paraId="653F86D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538C6F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E34D1E9"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65A0A1"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CFF0D2" w14:textId="77777777" w:rsidR="000A2A2B" w:rsidRPr="007C3060" w:rsidRDefault="000A2A2B" w:rsidP="007C3060">
            <w:r w:rsidRPr="007C3060">
              <w:t>893 543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5661D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F41567" w14:textId="77777777" w:rsidR="000A2A2B" w:rsidRPr="007C3060" w:rsidRDefault="000A2A2B" w:rsidP="007C3060">
            <w:r w:rsidRPr="007C3060">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E5CEE9" w14:textId="77777777" w:rsidR="000A2A2B" w:rsidRPr="007C3060" w:rsidRDefault="000A2A2B" w:rsidP="007C3060">
            <w:r w:rsidRPr="007C3060">
              <w:t>898 543</w:t>
            </w:r>
          </w:p>
        </w:tc>
      </w:tr>
      <w:tr w:rsidR="004B729E" w:rsidRPr="007C3060" w14:paraId="0F6C5D61"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1253A9A" w14:textId="77777777" w:rsidR="000A2A2B" w:rsidRPr="007C3060" w:rsidRDefault="000A2A2B" w:rsidP="007C3060">
            <w:r w:rsidRPr="007C3060">
              <w:t>471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C4604E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360AE6" w14:textId="77777777" w:rsidR="000A2A2B" w:rsidRPr="007C3060" w:rsidRDefault="000A2A2B" w:rsidP="007C3060">
            <w:r w:rsidRPr="007C3060">
              <w:t>Statens erstatningsansvar og Stortingets rettferdsvederlagsordning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4CE74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509051"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BD35E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C923BA" w14:textId="77777777" w:rsidR="000A2A2B" w:rsidRPr="007C3060" w:rsidRDefault="000A2A2B" w:rsidP="007C3060"/>
        </w:tc>
      </w:tr>
      <w:tr w:rsidR="004B729E" w:rsidRPr="007C3060" w14:paraId="33EF531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B471EA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2704417"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F0E226" w14:textId="77777777" w:rsidR="000A2A2B" w:rsidRPr="007C3060" w:rsidRDefault="000A2A2B" w:rsidP="007C3060">
            <w:r w:rsidRPr="007C3060">
              <w:t xml:space="preserve">Stortingets rettferdsvederlagsordning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20A3B2" w14:textId="77777777" w:rsidR="000A2A2B" w:rsidRPr="007C3060" w:rsidRDefault="000A2A2B" w:rsidP="007C3060">
            <w:r w:rsidRPr="007C3060">
              <w:t>36 330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34D6F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282391" w14:textId="77777777" w:rsidR="000A2A2B" w:rsidRPr="007C3060" w:rsidRDefault="000A2A2B" w:rsidP="007C3060">
            <w:r w:rsidRPr="007C3060">
              <w:t>-1 300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E936FC" w14:textId="77777777" w:rsidR="000A2A2B" w:rsidRPr="007C3060" w:rsidRDefault="000A2A2B" w:rsidP="007C3060">
            <w:r w:rsidRPr="007C3060">
              <w:t>35 030</w:t>
            </w:r>
          </w:p>
        </w:tc>
      </w:tr>
      <w:tr w:rsidR="004B729E" w:rsidRPr="007C3060" w14:paraId="6F1D507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F526DC4" w14:textId="77777777" w:rsidR="000A2A2B" w:rsidRPr="007C3060" w:rsidRDefault="000A2A2B" w:rsidP="007C3060">
            <w:r w:rsidRPr="007C3060">
              <w:t>475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849FA0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0ABCAE" w14:textId="77777777" w:rsidR="000A2A2B" w:rsidRPr="007C3060" w:rsidRDefault="000A2A2B" w:rsidP="007C3060">
            <w:r w:rsidRPr="007C3060">
              <w:t>Bobehandling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F557FE"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3DA3F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C8C5E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5DE4C0" w14:textId="77777777" w:rsidR="000A2A2B" w:rsidRPr="007C3060" w:rsidRDefault="000A2A2B" w:rsidP="007C3060"/>
        </w:tc>
      </w:tr>
      <w:tr w:rsidR="004B729E" w:rsidRPr="007C3060" w14:paraId="7A7A9F5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2A4162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BF3CAC8"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B76652" w14:textId="77777777" w:rsidR="000A2A2B" w:rsidRPr="007C3060" w:rsidRDefault="000A2A2B" w:rsidP="007C3060">
            <w:r w:rsidRPr="007C3060">
              <w:t xml:space="preserve">Driftsutgifter,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DD47CE" w14:textId="77777777" w:rsidR="000A2A2B" w:rsidRPr="007C3060" w:rsidRDefault="000A2A2B" w:rsidP="007C3060">
            <w:r w:rsidRPr="007C3060">
              <w:t>145 483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1898E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ADD0EB" w14:textId="77777777" w:rsidR="000A2A2B" w:rsidRPr="007C3060" w:rsidRDefault="000A2A2B" w:rsidP="007C3060">
            <w:r w:rsidRPr="007C3060">
              <w:t>15 591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34B7C3" w14:textId="77777777" w:rsidR="000A2A2B" w:rsidRPr="007C3060" w:rsidRDefault="000A2A2B" w:rsidP="007C3060">
            <w:r w:rsidRPr="007C3060">
              <w:t>161 074</w:t>
            </w:r>
          </w:p>
        </w:tc>
      </w:tr>
      <w:tr w:rsidR="004B729E" w:rsidRPr="007C3060" w14:paraId="1F4057B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D407F5D" w14:textId="77777777" w:rsidR="000A2A2B" w:rsidRPr="007C3060" w:rsidRDefault="000A2A2B" w:rsidP="007C3060">
            <w:r w:rsidRPr="007C3060">
              <w:t>480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E62DED6"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0B9F97" w14:textId="77777777" w:rsidR="000A2A2B" w:rsidRPr="007C3060" w:rsidRDefault="000A2A2B" w:rsidP="007C3060">
            <w:r w:rsidRPr="007C3060">
              <w:t>Svalbardbudsjettet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F65A9E"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FF357D"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B3F14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3CD83D" w14:textId="77777777" w:rsidR="000A2A2B" w:rsidRPr="007C3060" w:rsidRDefault="000A2A2B" w:rsidP="007C3060"/>
        </w:tc>
      </w:tr>
      <w:tr w:rsidR="004B729E" w:rsidRPr="007C3060" w14:paraId="060D71C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27263E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970170B" w14:textId="77777777" w:rsidR="000A2A2B" w:rsidRPr="007C3060" w:rsidRDefault="000A2A2B" w:rsidP="007C3060">
            <w:r w:rsidRPr="007C306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30F7AF" w14:textId="77777777" w:rsidR="000A2A2B" w:rsidRPr="007C3060" w:rsidRDefault="000A2A2B" w:rsidP="007C3060">
            <w:r w:rsidRPr="007C3060">
              <w:t xml:space="preserve">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9ADAB3" w14:textId="77777777" w:rsidR="000A2A2B" w:rsidRPr="007C3060" w:rsidRDefault="000A2A2B" w:rsidP="007C3060">
            <w:r w:rsidRPr="007C3060">
              <w:t>477 050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C4F4F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F6B62B" w14:textId="77777777" w:rsidR="000A2A2B" w:rsidRPr="007C3060" w:rsidRDefault="000A2A2B" w:rsidP="007C3060">
            <w:r w:rsidRPr="007C3060">
              <w:t>5 475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B774EC" w14:textId="77777777" w:rsidR="000A2A2B" w:rsidRPr="007C3060" w:rsidRDefault="000A2A2B" w:rsidP="007C3060">
            <w:r w:rsidRPr="007C3060">
              <w:t>482 525</w:t>
            </w:r>
          </w:p>
        </w:tc>
      </w:tr>
      <w:tr w:rsidR="004B729E" w:rsidRPr="007C3060" w14:paraId="503A180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CD1C1CB" w14:textId="77777777" w:rsidR="000A2A2B" w:rsidRPr="007C3060" w:rsidRDefault="000A2A2B" w:rsidP="007C3060">
            <w:r w:rsidRPr="007C3060">
              <w:t>490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60469E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60997E" w14:textId="77777777" w:rsidR="000A2A2B" w:rsidRPr="007C3060" w:rsidRDefault="000A2A2B" w:rsidP="007C3060">
            <w:r w:rsidRPr="007C3060">
              <w:t>Utlendingsdirektoratet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ED3BEF"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210C6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E5975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EAFEB5" w14:textId="77777777" w:rsidR="000A2A2B" w:rsidRPr="007C3060" w:rsidRDefault="000A2A2B" w:rsidP="007C3060"/>
        </w:tc>
      </w:tr>
      <w:tr w:rsidR="004B729E" w:rsidRPr="007C3060" w14:paraId="4C930DC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FB8C02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DB14CF2"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E1CE83"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BC2EF6" w14:textId="77777777" w:rsidR="000A2A2B" w:rsidRPr="007C3060" w:rsidRDefault="000A2A2B" w:rsidP="007C3060">
            <w:r w:rsidRPr="007C3060">
              <w:t>1 428 055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62761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5A6C8A" w14:textId="77777777" w:rsidR="000A2A2B" w:rsidRPr="007C3060" w:rsidRDefault="000A2A2B" w:rsidP="007C3060">
            <w:r w:rsidRPr="007C3060">
              <w:t>22 800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02A57A" w14:textId="77777777" w:rsidR="000A2A2B" w:rsidRPr="007C3060" w:rsidRDefault="000A2A2B" w:rsidP="007C3060">
            <w:r w:rsidRPr="007C3060">
              <w:t>1 450 855</w:t>
            </w:r>
          </w:p>
        </w:tc>
      </w:tr>
      <w:tr w:rsidR="004B729E" w:rsidRPr="007C3060" w14:paraId="74D4C7C3"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4083E6E1" w14:textId="77777777" w:rsidR="000A2A2B" w:rsidRPr="007C3060" w:rsidRDefault="000A2A2B" w:rsidP="007C3060"/>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1F3D14F1" w14:textId="77777777" w:rsidR="000A2A2B" w:rsidRPr="007C3060" w:rsidRDefault="000A2A2B" w:rsidP="007C3060">
            <w:r w:rsidRPr="007C3060">
              <w:t>21</w:t>
            </w:r>
          </w:p>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55914CE" w14:textId="77777777" w:rsidR="000A2A2B" w:rsidRPr="007C3060" w:rsidRDefault="000A2A2B" w:rsidP="007C3060">
            <w:r w:rsidRPr="007C3060">
              <w:t xml:space="preserve">Spesielle driftsutgifter, asylmottak </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57FDF9A" w14:textId="77777777" w:rsidR="000A2A2B" w:rsidRPr="007C3060" w:rsidRDefault="000A2A2B" w:rsidP="007C3060">
            <w:r w:rsidRPr="007C3060">
              <w:t>2 846 808</w:t>
            </w:r>
          </w:p>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5B1FCB2" w14:textId="77777777" w:rsidR="000A2A2B" w:rsidRPr="007C3060" w:rsidRDefault="000A2A2B" w:rsidP="007C3060">
            <w:r w:rsidRPr="007C3060">
              <w:t>-</w:t>
            </w:r>
          </w:p>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8382C21" w14:textId="77777777" w:rsidR="000A2A2B" w:rsidRPr="007C3060" w:rsidRDefault="000A2A2B" w:rsidP="007C3060">
            <w:r w:rsidRPr="007C3060">
              <w:t>-270 476</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E01C44F" w14:textId="77777777" w:rsidR="000A2A2B" w:rsidRPr="007C3060" w:rsidRDefault="000A2A2B" w:rsidP="007C3060">
            <w:r w:rsidRPr="007C3060">
              <w:t>2 576 332</w:t>
            </w:r>
          </w:p>
        </w:tc>
      </w:tr>
      <w:tr w:rsidR="004B729E" w:rsidRPr="007C3060" w14:paraId="1D8DBD2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200857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90D095D"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2CF42C" w14:textId="77777777" w:rsidR="000A2A2B" w:rsidRPr="007C3060" w:rsidRDefault="000A2A2B" w:rsidP="007C3060">
            <w:r w:rsidRPr="007C3060">
              <w:t xml:space="preserve">Spesielle driftsutgifter, tolk og oversettelse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02F73" w14:textId="77777777" w:rsidR="000A2A2B" w:rsidRPr="007C3060" w:rsidRDefault="000A2A2B" w:rsidP="007C3060">
            <w:r w:rsidRPr="007C3060">
              <w:t>32 741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49251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20ED26" w14:textId="77777777" w:rsidR="000A2A2B" w:rsidRPr="007C3060" w:rsidRDefault="000A2A2B" w:rsidP="007C3060">
            <w:r w:rsidRPr="007C3060">
              <w:t>-5 700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36A610" w14:textId="77777777" w:rsidR="000A2A2B" w:rsidRPr="007C3060" w:rsidRDefault="000A2A2B" w:rsidP="007C3060">
            <w:r w:rsidRPr="007C3060">
              <w:t>27 041</w:t>
            </w:r>
          </w:p>
        </w:tc>
      </w:tr>
      <w:tr w:rsidR="004B729E" w:rsidRPr="007C3060" w14:paraId="0CC58B3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19E7F6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88B2E8C" w14:textId="77777777" w:rsidR="000A2A2B" w:rsidRPr="007C3060" w:rsidRDefault="000A2A2B" w:rsidP="007C3060">
            <w:r w:rsidRPr="007C3060">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85824F" w14:textId="1C681C10" w:rsidR="000A2A2B" w:rsidRPr="007C3060" w:rsidRDefault="000A2A2B" w:rsidP="007C3060">
            <w:r w:rsidRPr="007C3060">
              <w:t xml:space="preserve">Ombygginger, ankomstsenter for asylregistrering og mottak,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E4D52F"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D346A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4AB263" w14:textId="77777777" w:rsidR="000A2A2B" w:rsidRPr="007C3060" w:rsidRDefault="000A2A2B" w:rsidP="007C3060">
            <w:r w:rsidRPr="007C3060">
              <w:t>33 600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AA5681" w14:textId="77777777" w:rsidR="000A2A2B" w:rsidRPr="007C3060" w:rsidRDefault="000A2A2B" w:rsidP="007C3060">
            <w:r w:rsidRPr="007C3060">
              <w:t>33 600</w:t>
            </w:r>
          </w:p>
        </w:tc>
      </w:tr>
      <w:tr w:rsidR="004B729E" w:rsidRPr="007C3060" w14:paraId="5C31596B"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179F26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E5623B5" w14:textId="77777777" w:rsidR="000A2A2B" w:rsidRPr="007C3060" w:rsidRDefault="000A2A2B" w:rsidP="007C3060">
            <w:r w:rsidRPr="007C3060">
              <w:t>46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A47DA5" w14:textId="77777777" w:rsidR="000A2A2B" w:rsidRPr="007C3060" w:rsidRDefault="000A2A2B" w:rsidP="007C3060">
            <w:r w:rsidRPr="007C3060">
              <w:t xml:space="preserve">Investeringer i Schengen IT-systemer,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74E0D5" w14:textId="77777777" w:rsidR="000A2A2B" w:rsidRPr="007C3060" w:rsidRDefault="000A2A2B" w:rsidP="007C3060">
            <w:r w:rsidRPr="007C3060">
              <w:t>3 576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E2269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EE64AF" w14:textId="77777777" w:rsidR="000A2A2B" w:rsidRPr="007C3060" w:rsidRDefault="000A2A2B" w:rsidP="007C3060">
            <w:r w:rsidRPr="007C3060">
              <w:t>2 980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998FE0" w14:textId="77777777" w:rsidR="000A2A2B" w:rsidRPr="007C3060" w:rsidRDefault="000A2A2B" w:rsidP="007C3060">
            <w:r w:rsidRPr="007C3060">
              <w:t>6 556</w:t>
            </w:r>
          </w:p>
        </w:tc>
      </w:tr>
      <w:tr w:rsidR="004B729E" w:rsidRPr="007C3060" w14:paraId="3282143B"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C403DE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794A80D" w14:textId="77777777" w:rsidR="000A2A2B" w:rsidRPr="007C3060" w:rsidRDefault="000A2A2B" w:rsidP="007C3060">
            <w:r w:rsidRPr="007C306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FFFDC6" w14:textId="13F796FD" w:rsidR="000A2A2B" w:rsidRPr="007C3060" w:rsidRDefault="000A2A2B" w:rsidP="007C3060">
            <w:r w:rsidRPr="007C3060">
              <w:t xml:space="preserve">Tilskudd til vertskommuner for asylmottak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B762EF" w14:textId="77777777" w:rsidR="000A2A2B" w:rsidRPr="007C3060" w:rsidRDefault="000A2A2B" w:rsidP="007C3060">
            <w:r w:rsidRPr="007C3060">
              <w:t>410 764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5B21A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279BD3" w14:textId="77777777" w:rsidR="000A2A2B" w:rsidRPr="007C3060" w:rsidRDefault="000A2A2B" w:rsidP="007C3060">
            <w:r w:rsidRPr="007C3060">
              <w:t>-41 584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91CD69" w14:textId="77777777" w:rsidR="000A2A2B" w:rsidRPr="007C3060" w:rsidRDefault="000A2A2B" w:rsidP="007C3060">
            <w:r w:rsidRPr="007C3060">
              <w:t>369 180</w:t>
            </w:r>
          </w:p>
        </w:tc>
      </w:tr>
      <w:tr w:rsidR="004B729E" w:rsidRPr="007C3060" w14:paraId="431060D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34EE22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4475114"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FE54B6" w14:textId="77777777" w:rsidR="000A2A2B" w:rsidRPr="007C3060" w:rsidRDefault="000A2A2B" w:rsidP="007C3060">
            <w:r w:rsidRPr="007C3060">
              <w:t xml:space="preserve">Stønader til beboere i asylmottak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04D242" w14:textId="77777777" w:rsidR="000A2A2B" w:rsidRPr="007C3060" w:rsidRDefault="000A2A2B" w:rsidP="007C3060">
            <w:r w:rsidRPr="007C3060">
              <w:t>616 288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032FD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4EA99E" w14:textId="77777777" w:rsidR="000A2A2B" w:rsidRPr="007C3060" w:rsidRDefault="000A2A2B" w:rsidP="007C3060">
            <w:r w:rsidRPr="007C3060">
              <w:t>-14 983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CDBE74" w14:textId="77777777" w:rsidR="000A2A2B" w:rsidRPr="007C3060" w:rsidRDefault="000A2A2B" w:rsidP="007C3060">
            <w:r w:rsidRPr="007C3060">
              <w:t>601 305</w:t>
            </w:r>
          </w:p>
        </w:tc>
      </w:tr>
      <w:tr w:rsidR="004B729E" w:rsidRPr="007C3060" w14:paraId="28C4A3EA"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66056A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8E8F4C6"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031AEF" w14:textId="61095579" w:rsidR="000A2A2B" w:rsidRPr="007C3060" w:rsidRDefault="000A2A2B" w:rsidP="007C3060">
            <w:r w:rsidRPr="007C3060">
              <w:t xml:space="preserve">Assistert retur og reintegrering i hjemlandet,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2D15D8" w14:textId="77777777" w:rsidR="000A2A2B" w:rsidRPr="007C3060" w:rsidRDefault="000A2A2B" w:rsidP="007C3060">
            <w:r w:rsidRPr="007C3060">
              <w:t>42 500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ABE33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37EC4E" w14:textId="77777777" w:rsidR="000A2A2B" w:rsidRPr="007C3060" w:rsidRDefault="000A2A2B" w:rsidP="007C3060">
            <w:r w:rsidRPr="007C3060">
              <w:t>61 635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711878" w14:textId="77777777" w:rsidR="000A2A2B" w:rsidRPr="007C3060" w:rsidRDefault="000A2A2B" w:rsidP="007C3060">
            <w:r w:rsidRPr="007C3060">
              <w:t>104 135</w:t>
            </w:r>
          </w:p>
        </w:tc>
      </w:tr>
      <w:tr w:rsidR="004B729E" w:rsidRPr="007C3060" w14:paraId="1271AA96"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AD1063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FE7A339" w14:textId="77777777" w:rsidR="000A2A2B" w:rsidRPr="007C3060" w:rsidRDefault="000A2A2B" w:rsidP="007C3060">
            <w:r w:rsidRPr="007C306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6DB399" w14:textId="77777777" w:rsidR="000A2A2B" w:rsidRPr="007C3060" w:rsidRDefault="000A2A2B" w:rsidP="007C3060">
            <w:r w:rsidRPr="007C3060">
              <w:t xml:space="preserve">Reiseutgifter for flyktninger fra utlandet,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8FD205" w14:textId="77777777" w:rsidR="000A2A2B" w:rsidRPr="007C3060" w:rsidRDefault="000A2A2B" w:rsidP="007C3060">
            <w:r w:rsidRPr="007C3060">
              <w:t>8 980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78D0B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EB366D" w14:textId="77777777" w:rsidR="000A2A2B" w:rsidRPr="007C3060" w:rsidRDefault="000A2A2B" w:rsidP="007C3060">
            <w:r w:rsidRPr="007C3060">
              <w:t>2 029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93AD71" w14:textId="77777777" w:rsidR="000A2A2B" w:rsidRPr="007C3060" w:rsidRDefault="000A2A2B" w:rsidP="007C3060">
            <w:r w:rsidRPr="007C3060">
              <w:t>11 009</w:t>
            </w:r>
          </w:p>
        </w:tc>
      </w:tr>
      <w:tr w:rsidR="004B729E" w:rsidRPr="007C3060" w14:paraId="3302E92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DA9EA80" w14:textId="77777777" w:rsidR="000A2A2B" w:rsidRPr="007C3060" w:rsidRDefault="000A2A2B" w:rsidP="007C3060">
            <w:r w:rsidRPr="007C3060">
              <w:t>491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A95F834"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5FDC94" w14:textId="77777777" w:rsidR="000A2A2B" w:rsidRPr="007C3060" w:rsidRDefault="000A2A2B" w:rsidP="007C3060">
            <w:r w:rsidRPr="007C3060">
              <w:t>Utlendingsnemnda</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9DCCA4"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C0963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50299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57EBEE" w14:textId="77777777" w:rsidR="000A2A2B" w:rsidRPr="007C3060" w:rsidRDefault="000A2A2B" w:rsidP="007C3060"/>
        </w:tc>
      </w:tr>
      <w:tr w:rsidR="004B729E" w:rsidRPr="007C3060" w14:paraId="37B7B43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1B7088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5D020CE"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8743EC" w14:textId="77777777" w:rsidR="000A2A2B" w:rsidRPr="007C3060" w:rsidRDefault="000A2A2B" w:rsidP="007C3060">
            <w:r w:rsidRPr="007C3060">
              <w:t xml:space="preserve">Driftsutgifter, </w:t>
            </w:r>
            <w:r w:rsidRPr="007C3060">
              <w:rPr>
                <w:rStyle w:val="kursiv"/>
              </w:rPr>
              <w:t>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457A58" w14:textId="77777777" w:rsidR="000A2A2B" w:rsidRPr="007C3060" w:rsidRDefault="000A2A2B" w:rsidP="007C3060">
            <w:r w:rsidRPr="007C3060">
              <w:t>287 043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7351F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1D56CF" w14:textId="77777777" w:rsidR="000A2A2B" w:rsidRPr="007C3060" w:rsidRDefault="000A2A2B" w:rsidP="007C3060">
            <w:r w:rsidRPr="007C3060">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9845B9" w14:textId="77777777" w:rsidR="000A2A2B" w:rsidRPr="007C3060" w:rsidRDefault="000A2A2B" w:rsidP="007C3060">
            <w:r w:rsidRPr="007C3060">
              <w:t>289 043</w:t>
            </w:r>
          </w:p>
        </w:tc>
      </w:tr>
      <w:tr w:rsidR="004B729E" w:rsidRPr="007C3060" w14:paraId="75CCCEA6"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D8A1619" w14:textId="77777777" w:rsidR="000A2A2B" w:rsidRPr="007C3060" w:rsidRDefault="000A2A2B" w:rsidP="007C3060">
            <w:r w:rsidRPr="007C3060">
              <w:t>Sum endringer Justis- og beredskapsdepartementet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57E8EAE"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3347BA1"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F77C833" w14:textId="77777777" w:rsidR="000A2A2B" w:rsidRPr="007C3060" w:rsidRDefault="000A2A2B" w:rsidP="007C3060">
            <w:r w:rsidRPr="007C3060">
              <w:t>429 063</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14817FA" w14:textId="77777777" w:rsidR="000A2A2B" w:rsidRPr="007C3060" w:rsidRDefault="000A2A2B" w:rsidP="007C3060"/>
        </w:tc>
      </w:tr>
      <w:tr w:rsidR="004B729E" w:rsidRPr="007C3060" w14:paraId="694A2DE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D20A7D2" w14:textId="77777777" w:rsidR="000A2A2B" w:rsidRPr="007C3060" w:rsidRDefault="000A2A2B" w:rsidP="007C3060">
            <w:r w:rsidRPr="007C3060">
              <w:t>553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8D3045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59A03E" w14:textId="77777777" w:rsidR="000A2A2B" w:rsidRPr="007C3060" w:rsidRDefault="000A2A2B" w:rsidP="007C3060">
            <w:r w:rsidRPr="007C3060">
              <w:t>Regional- og distriktsutvikling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655E7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E4C87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EAD4D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F4400E" w14:textId="77777777" w:rsidR="000A2A2B" w:rsidRPr="007C3060" w:rsidRDefault="000A2A2B" w:rsidP="007C3060"/>
        </w:tc>
      </w:tr>
      <w:tr w:rsidR="004B729E" w:rsidRPr="007C3060" w14:paraId="47C19F05"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DCFE86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C14CB49" w14:textId="77777777" w:rsidR="000A2A2B" w:rsidRPr="007C3060" w:rsidRDefault="000A2A2B" w:rsidP="007C3060">
            <w:r w:rsidRPr="007C3060">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C764A6" w14:textId="3E20DD9F" w:rsidR="000A2A2B" w:rsidRPr="007C3060" w:rsidRDefault="000A2A2B" w:rsidP="007C3060">
            <w:r w:rsidRPr="007C3060">
              <w:t xml:space="preserve">Mobiliserende og kvalifiserende næringsutvikling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6CDF77" w14:textId="77777777" w:rsidR="000A2A2B" w:rsidRPr="007C3060" w:rsidRDefault="000A2A2B" w:rsidP="007C3060">
            <w:r w:rsidRPr="007C3060">
              <w:t>816 197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C5A3A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25470A"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233C00" w14:textId="77777777" w:rsidR="000A2A2B" w:rsidRPr="007C3060" w:rsidRDefault="000A2A2B" w:rsidP="007C3060">
            <w:r w:rsidRPr="007C3060">
              <w:t>826 197</w:t>
            </w:r>
          </w:p>
        </w:tc>
      </w:tr>
      <w:tr w:rsidR="004B729E" w:rsidRPr="007C3060" w14:paraId="7A7AC90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9FE668B" w14:textId="77777777" w:rsidR="000A2A2B" w:rsidRPr="007C3060" w:rsidRDefault="000A2A2B" w:rsidP="007C3060">
            <w:r w:rsidRPr="007C3060">
              <w:t>571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FB0D9A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99EE5A" w14:textId="77777777" w:rsidR="000A2A2B" w:rsidRPr="007C3060" w:rsidRDefault="000A2A2B" w:rsidP="007C3060">
            <w:r w:rsidRPr="007C3060">
              <w:t>Rammetilskudd til kommuner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59A5A6"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349891"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CD9C3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EDA90B" w14:textId="77777777" w:rsidR="000A2A2B" w:rsidRPr="007C3060" w:rsidRDefault="000A2A2B" w:rsidP="007C3060"/>
        </w:tc>
      </w:tr>
      <w:tr w:rsidR="004B729E" w:rsidRPr="007C3060" w14:paraId="4B45D80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37F476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4E2C189" w14:textId="77777777" w:rsidR="000A2A2B" w:rsidRPr="007C3060" w:rsidRDefault="000A2A2B" w:rsidP="007C3060">
            <w:r w:rsidRPr="007C306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27886D" w14:textId="77777777" w:rsidR="000A2A2B" w:rsidRPr="007C3060" w:rsidRDefault="000A2A2B" w:rsidP="007C3060">
            <w:r w:rsidRPr="007C3060">
              <w:t xml:space="preserve">Innbyggertilskudd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A98766" w14:textId="77777777" w:rsidR="000A2A2B" w:rsidRPr="007C3060" w:rsidRDefault="000A2A2B" w:rsidP="007C3060">
            <w:r w:rsidRPr="007C3060">
              <w:t>187 002 264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BC510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7D9F36" w14:textId="77777777" w:rsidR="000A2A2B" w:rsidRPr="007C3060" w:rsidRDefault="000A2A2B" w:rsidP="007C3060">
            <w:r w:rsidRPr="007C3060">
              <w:t>3 850 000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51A579" w14:textId="77777777" w:rsidR="000A2A2B" w:rsidRPr="007C3060" w:rsidRDefault="000A2A2B" w:rsidP="007C3060">
            <w:r w:rsidRPr="007C3060">
              <w:t>190 852 264</w:t>
            </w:r>
          </w:p>
        </w:tc>
      </w:tr>
      <w:tr w:rsidR="004B729E" w:rsidRPr="007C3060" w14:paraId="6F382AB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17DE39B" w14:textId="77777777" w:rsidR="000A2A2B" w:rsidRPr="007C3060" w:rsidRDefault="000A2A2B" w:rsidP="007C3060">
            <w:r w:rsidRPr="007C3060">
              <w:t>572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5918154"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1B736C" w14:textId="77777777" w:rsidR="000A2A2B" w:rsidRPr="007C3060" w:rsidRDefault="000A2A2B" w:rsidP="007C3060">
            <w:r w:rsidRPr="007C3060">
              <w:t>Rammetilskudd til fylkeskommuner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27AC09"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FF98C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94FD62"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C97270" w14:textId="77777777" w:rsidR="000A2A2B" w:rsidRPr="007C3060" w:rsidRDefault="000A2A2B" w:rsidP="007C3060"/>
        </w:tc>
      </w:tr>
      <w:tr w:rsidR="004B729E" w:rsidRPr="007C3060" w14:paraId="3252B12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8CBD4B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EAD7FA0" w14:textId="77777777" w:rsidR="000A2A2B" w:rsidRPr="007C3060" w:rsidRDefault="000A2A2B" w:rsidP="007C3060">
            <w:r w:rsidRPr="007C306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05E79C" w14:textId="77777777" w:rsidR="000A2A2B" w:rsidRPr="007C3060" w:rsidRDefault="000A2A2B" w:rsidP="007C3060">
            <w:r w:rsidRPr="007C3060">
              <w:t xml:space="preserve">Innbyggertilskudd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92EDEA" w14:textId="77777777" w:rsidR="000A2A2B" w:rsidRPr="007C3060" w:rsidRDefault="000A2A2B" w:rsidP="007C3060">
            <w:r w:rsidRPr="007C3060">
              <w:t>52 345 676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BE043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B4D853" w14:textId="77777777" w:rsidR="000A2A2B" w:rsidRPr="007C3060" w:rsidRDefault="000A2A2B" w:rsidP="007C3060">
            <w:r w:rsidRPr="007C3060">
              <w:t>447 000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DBA4EC" w14:textId="77777777" w:rsidR="000A2A2B" w:rsidRPr="007C3060" w:rsidRDefault="000A2A2B" w:rsidP="007C3060">
            <w:r w:rsidRPr="007C3060">
              <w:t>52 792 676</w:t>
            </w:r>
          </w:p>
        </w:tc>
      </w:tr>
      <w:tr w:rsidR="004B729E" w:rsidRPr="007C3060" w14:paraId="6EAF54A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961FCBB" w14:textId="77777777" w:rsidR="000A2A2B" w:rsidRPr="007C3060" w:rsidRDefault="000A2A2B" w:rsidP="007C3060">
            <w:r w:rsidRPr="007C3060">
              <w:lastRenderedPageBreak/>
              <w:t>587</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F295F3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357254" w14:textId="77777777" w:rsidR="000A2A2B" w:rsidRPr="007C3060" w:rsidRDefault="000A2A2B" w:rsidP="007C3060">
            <w:r w:rsidRPr="007C3060">
              <w:t xml:space="preserve">Direktoratet for </w:t>
            </w:r>
            <w:proofErr w:type="spellStart"/>
            <w:r w:rsidRPr="007C3060">
              <w:t>byggkvalitet</w:t>
            </w:r>
            <w:proofErr w:type="spellEnd"/>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6FDBB4"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4C646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B49F5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523B06" w14:textId="77777777" w:rsidR="000A2A2B" w:rsidRPr="007C3060" w:rsidRDefault="000A2A2B" w:rsidP="007C3060"/>
        </w:tc>
      </w:tr>
      <w:tr w:rsidR="004B729E" w:rsidRPr="007C3060" w14:paraId="59EF9A2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74EA3A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EE8ADDB"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629E40"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5DC21C" w14:textId="77777777" w:rsidR="000A2A2B" w:rsidRPr="007C3060" w:rsidRDefault="000A2A2B" w:rsidP="007C3060">
            <w:r w:rsidRPr="007C3060">
              <w:t>143 434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EC833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73978B" w14:textId="77777777" w:rsidR="000A2A2B" w:rsidRPr="007C3060" w:rsidRDefault="000A2A2B" w:rsidP="007C3060">
            <w:r w:rsidRPr="007C3060">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89AE46" w14:textId="77777777" w:rsidR="000A2A2B" w:rsidRPr="007C3060" w:rsidRDefault="000A2A2B" w:rsidP="007C3060">
            <w:r w:rsidRPr="007C3060">
              <w:t>148 434</w:t>
            </w:r>
          </w:p>
        </w:tc>
      </w:tr>
      <w:tr w:rsidR="004B729E" w:rsidRPr="007C3060" w14:paraId="734C3A0B"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7F9CB7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5008E3F"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5DC8D3" w14:textId="77777777" w:rsidR="000A2A2B" w:rsidRPr="007C3060" w:rsidRDefault="000A2A2B" w:rsidP="007C3060">
            <w:r w:rsidRPr="007C3060">
              <w:t xml:space="preserve">Kunnskapsutvikling og informasjons-formidling,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EE1A80" w14:textId="77777777" w:rsidR="000A2A2B" w:rsidRPr="007C3060" w:rsidRDefault="000A2A2B" w:rsidP="007C3060">
            <w:r w:rsidRPr="007C3060">
              <w:t>41 370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7B5DC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C9FE8D" w14:textId="77777777" w:rsidR="000A2A2B" w:rsidRPr="007C3060" w:rsidRDefault="000A2A2B" w:rsidP="007C3060">
            <w:r w:rsidRPr="007C3060">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373DD7" w14:textId="77777777" w:rsidR="000A2A2B" w:rsidRPr="007C3060" w:rsidRDefault="000A2A2B" w:rsidP="007C3060">
            <w:r w:rsidRPr="007C3060">
              <w:t>46 370</w:t>
            </w:r>
          </w:p>
        </w:tc>
      </w:tr>
      <w:tr w:rsidR="004B729E" w:rsidRPr="007C3060" w14:paraId="62608D9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E5BA923" w14:textId="77777777" w:rsidR="000A2A2B" w:rsidRPr="007C3060" w:rsidRDefault="000A2A2B" w:rsidP="007C3060">
            <w:r w:rsidRPr="007C3060">
              <w:t>595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D748858"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9F6FA2" w14:textId="77777777" w:rsidR="000A2A2B" w:rsidRPr="007C3060" w:rsidRDefault="000A2A2B" w:rsidP="007C3060">
            <w:r w:rsidRPr="007C3060">
              <w:t>Statens kartverk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8A87A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81BC9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2C16C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722776" w14:textId="77777777" w:rsidR="000A2A2B" w:rsidRPr="007C3060" w:rsidRDefault="000A2A2B" w:rsidP="007C3060"/>
        </w:tc>
      </w:tr>
      <w:tr w:rsidR="004B729E" w:rsidRPr="007C3060" w14:paraId="46FB040D"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D23DA4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378BCA4"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E9AEED" w14:textId="0DE2EE5D" w:rsidR="000A2A2B" w:rsidRPr="007C3060" w:rsidRDefault="000A2A2B" w:rsidP="007C3060">
            <w:r w:rsidRPr="007C3060">
              <w:t xml:space="preserve">Driftsutgifter, </w:t>
            </w:r>
            <w:r w:rsidRPr="007C3060">
              <w:rPr>
                <w:rStyle w:val="kursiv"/>
              </w:rPr>
              <w:t>kan nyttes under post 21 og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E8A1A5" w14:textId="77777777" w:rsidR="000A2A2B" w:rsidRPr="007C3060" w:rsidRDefault="000A2A2B" w:rsidP="007C3060">
            <w:r w:rsidRPr="007C3060">
              <w:t>1 051 683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8E383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0E9661" w14:textId="77777777" w:rsidR="000A2A2B" w:rsidRPr="007C3060" w:rsidRDefault="000A2A2B" w:rsidP="007C3060">
            <w:r w:rsidRPr="007C3060">
              <w:t>13 198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ABD443" w14:textId="77777777" w:rsidR="000A2A2B" w:rsidRPr="007C3060" w:rsidRDefault="000A2A2B" w:rsidP="007C3060">
            <w:r w:rsidRPr="007C3060">
              <w:t>1 064 881</w:t>
            </w:r>
          </w:p>
        </w:tc>
      </w:tr>
      <w:tr w:rsidR="004B729E" w:rsidRPr="007C3060" w14:paraId="76B98625"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6D74E4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CE2AE52"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463FEE" w14:textId="55DF11D8" w:rsidR="000A2A2B" w:rsidRPr="007C3060" w:rsidRDefault="000A2A2B" w:rsidP="007C3060">
            <w:r w:rsidRPr="007C3060">
              <w:t xml:space="preserve">Spesielle driftsutgifter, </w:t>
            </w:r>
            <w:r w:rsidRPr="007C3060">
              <w:rPr>
                <w:rStyle w:val="kursiv"/>
              </w:rPr>
              <w:t>kan overføres, kan nyttes under post 1 og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0F5386" w14:textId="77777777" w:rsidR="000A2A2B" w:rsidRPr="007C3060" w:rsidRDefault="000A2A2B" w:rsidP="007C3060">
            <w:r w:rsidRPr="007C3060">
              <w:t>396 218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03E8C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064E33" w14:textId="77777777" w:rsidR="000A2A2B" w:rsidRPr="007C3060" w:rsidRDefault="000A2A2B" w:rsidP="007C3060">
            <w:r w:rsidRPr="007C3060">
              <w:t>8 089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F2B293" w14:textId="77777777" w:rsidR="000A2A2B" w:rsidRPr="007C3060" w:rsidRDefault="000A2A2B" w:rsidP="007C3060">
            <w:r w:rsidRPr="007C3060">
              <w:t>404 307</w:t>
            </w:r>
          </w:p>
        </w:tc>
      </w:tr>
      <w:tr w:rsidR="004B729E" w:rsidRPr="007C3060" w14:paraId="2008A58A"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65C23FD" w14:textId="77777777" w:rsidR="000A2A2B" w:rsidRPr="007C3060" w:rsidRDefault="000A2A2B" w:rsidP="007C3060">
            <w:r w:rsidRPr="007C3060">
              <w:t xml:space="preserve">Sum endringer Kommunal- og </w:t>
            </w:r>
            <w:proofErr w:type="spellStart"/>
            <w:r w:rsidRPr="007C3060">
              <w:t>distriktsdepartementet</w:t>
            </w:r>
            <w:proofErr w:type="spellEnd"/>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7DD8623"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86FD5C3"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5688D02" w14:textId="77777777" w:rsidR="000A2A2B" w:rsidRPr="007C3060" w:rsidRDefault="000A2A2B" w:rsidP="007C3060">
            <w:r w:rsidRPr="007C3060">
              <w:t>4 338 287</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6F6402C" w14:textId="77777777" w:rsidR="000A2A2B" w:rsidRPr="007C3060" w:rsidRDefault="000A2A2B" w:rsidP="007C3060"/>
        </w:tc>
      </w:tr>
      <w:tr w:rsidR="004B729E" w:rsidRPr="007C3060" w14:paraId="09F41EE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6C3528A" w14:textId="77777777" w:rsidR="000A2A2B" w:rsidRPr="007C3060" w:rsidRDefault="000A2A2B" w:rsidP="007C3060">
            <w:r w:rsidRPr="007C3060">
              <w:t>600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E421C7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4B2B78" w14:textId="77777777" w:rsidR="000A2A2B" w:rsidRPr="007C3060" w:rsidRDefault="000A2A2B" w:rsidP="007C3060">
            <w:r w:rsidRPr="007C3060">
              <w:t>Arbeids- og inkluderingsdepartementet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CF687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E6ACAF"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7BBCA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01D924" w14:textId="77777777" w:rsidR="000A2A2B" w:rsidRPr="007C3060" w:rsidRDefault="000A2A2B" w:rsidP="007C3060"/>
        </w:tc>
      </w:tr>
      <w:tr w:rsidR="004B729E" w:rsidRPr="007C3060" w14:paraId="0064878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5537D0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EF07D51"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044500"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D7C9CC" w14:textId="77777777" w:rsidR="000A2A2B" w:rsidRPr="007C3060" w:rsidRDefault="000A2A2B" w:rsidP="007C3060">
            <w:r w:rsidRPr="007C3060">
              <w:t>300 898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6564D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D940E6" w14:textId="77777777" w:rsidR="000A2A2B" w:rsidRPr="007C3060" w:rsidRDefault="000A2A2B" w:rsidP="007C3060">
            <w:r w:rsidRPr="007C3060">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9BA061" w14:textId="77777777" w:rsidR="000A2A2B" w:rsidRPr="007C3060" w:rsidRDefault="000A2A2B" w:rsidP="007C3060">
            <w:r w:rsidRPr="007C3060">
              <w:t>302 898</w:t>
            </w:r>
          </w:p>
        </w:tc>
      </w:tr>
      <w:tr w:rsidR="004B729E" w:rsidRPr="007C3060" w14:paraId="6A8A0F7A"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2BAF004F" w14:textId="77777777" w:rsidR="000A2A2B" w:rsidRPr="007C3060" w:rsidRDefault="000A2A2B" w:rsidP="007C3060">
            <w:r w:rsidRPr="007C3060">
              <w:t>601</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73ABA320"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A9DF558" w14:textId="77777777" w:rsidR="000A2A2B" w:rsidRPr="007C3060" w:rsidRDefault="000A2A2B" w:rsidP="007C3060">
            <w:r w:rsidRPr="007C3060">
              <w:t>Utredningsvirksomhet, forskning mv.</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8D9E80B"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AA7B4E2"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ED2EF23"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D2CCB8F" w14:textId="77777777" w:rsidR="000A2A2B" w:rsidRPr="007C3060" w:rsidRDefault="000A2A2B" w:rsidP="007C3060"/>
        </w:tc>
      </w:tr>
      <w:tr w:rsidR="004B729E" w:rsidRPr="007C3060" w14:paraId="0BF546F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D80B62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DD7DEA9"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85EEF5"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2D069E" w14:textId="77777777" w:rsidR="000A2A2B" w:rsidRPr="007C3060" w:rsidRDefault="000A2A2B" w:rsidP="007C3060">
            <w:r w:rsidRPr="007C3060">
              <w:t>96 045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63BE8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9126CC" w14:textId="77777777" w:rsidR="000A2A2B" w:rsidRPr="007C3060" w:rsidRDefault="000A2A2B" w:rsidP="007C3060">
            <w:r w:rsidRPr="007C3060">
              <w:t>1 900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8A2D35" w14:textId="77777777" w:rsidR="000A2A2B" w:rsidRPr="007C3060" w:rsidRDefault="000A2A2B" w:rsidP="007C3060">
            <w:r w:rsidRPr="007C3060">
              <w:t>97 945</w:t>
            </w:r>
          </w:p>
        </w:tc>
      </w:tr>
      <w:tr w:rsidR="004B729E" w:rsidRPr="007C3060" w14:paraId="7EC01F9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BAF224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8C1F2E0"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8F5E5A" w14:textId="77777777" w:rsidR="000A2A2B" w:rsidRPr="007C3060" w:rsidRDefault="000A2A2B" w:rsidP="007C3060">
            <w:r w:rsidRPr="007C3060">
              <w:t xml:space="preserve">Kunnskapsutvikling i IA-avtalen mv.,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23A0DF" w14:textId="77777777" w:rsidR="000A2A2B" w:rsidRPr="007C3060" w:rsidRDefault="000A2A2B" w:rsidP="007C3060">
            <w:r w:rsidRPr="007C3060">
              <w:t>29 165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DF86B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401669" w14:textId="77777777" w:rsidR="000A2A2B" w:rsidRPr="007C3060" w:rsidRDefault="000A2A2B" w:rsidP="007C3060">
            <w:r w:rsidRPr="007C3060">
              <w:t>55 445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A8A49E" w14:textId="77777777" w:rsidR="000A2A2B" w:rsidRPr="007C3060" w:rsidRDefault="000A2A2B" w:rsidP="007C3060">
            <w:r w:rsidRPr="007C3060">
              <w:t>84 610</w:t>
            </w:r>
          </w:p>
        </w:tc>
      </w:tr>
      <w:tr w:rsidR="004B729E" w:rsidRPr="007C3060" w14:paraId="1F64BE4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B887D5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E3CF66E"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C6978D" w14:textId="77777777" w:rsidR="000A2A2B" w:rsidRPr="007C3060" w:rsidRDefault="000A2A2B" w:rsidP="007C3060">
            <w:r w:rsidRPr="007C3060">
              <w:t xml:space="preserve">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B0E1E7" w14:textId="77777777" w:rsidR="000A2A2B" w:rsidRPr="007C3060" w:rsidRDefault="000A2A2B" w:rsidP="007C3060">
            <w:r w:rsidRPr="007C3060">
              <w:t>65 125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D7212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1EAA08" w14:textId="77777777" w:rsidR="000A2A2B" w:rsidRPr="007C3060" w:rsidRDefault="000A2A2B" w:rsidP="007C3060">
            <w:r w:rsidRPr="007C3060">
              <w:t>-4 735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6DD3D7" w14:textId="77777777" w:rsidR="000A2A2B" w:rsidRPr="007C3060" w:rsidRDefault="000A2A2B" w:rsidP="007C3060">
            <w:r w:rsidRPr="007C3060">
              <w:t>60 390</w:t>
            </w:r>
          </w:p>
        </w:tc>
      </w:tr>
      <w:tr w:rsidR="004B729E" w:rsidRPr="007C3060" w14:paraId="04550045"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6E4046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489CB1F" w14:textId="77777777" w:rsidR="000A2A2B" w:rsidRPr="007C3060" w:rsidRDefault="000A2A2B" w:rsidP="007C3060">
            <w:r w:rsidRPr="007C306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4226B9" w14:textId="77777777" w:rsidR="000A2A2B" w:rsidRPr="007C3060" w:rsidRDefault="000A2A2B" w:rsidP="007C3060">
            <w:r w:rsidRPr="007C3060">
              <w:t xml:space="preserve">Tilskudd til bærekraftig sykmelding,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D46577"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45736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6902D9" w14:textId="77777777" w:rsidR="000A2A2B" w:rsidRPr="007C3060" w:rsidRDefault="000A2A2B" w:rsidP="007C3060">
            <w:r w:rsidRPr="007C3060">
              <w:t>8 700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9EFCCD" w14:textId="77777777" w:rsidR="000A2A2B" w:rsidRPr="007C3060" w:rsidRDefault="000A2A2B" w:rsidP="007C3060">
            <w:r w:rsidRPr="007C3060">
              <w:t>8 700</w:t>
            </w:r>
          </w:p>
        </w:tc>
      </w:tr>
      <w:tr w:rsidR="004B729E" w:rsidRPr="007C3060" w14:paraId="7E516A4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BF80898" w14:textId="77777777" w:rsidR="000A2A2B" w:rsidRPr="007C3060" w:rsidRDefault="000A2A2B" w:rsidP="007C3060">
            <w:r w:rsidRPr="007C3060">
              <w:t>605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56E8B8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EBB1DA" w14:textId="77777777" w:rsidR="000A2A2B" w:rsidRPr="007C3060" w:rsidRDefault="000A2A2B" w:rsidP="007C3060">
            <w:r w:rsidRPr="007C3060">
              <w:t>Arbeids- og velferdsetaten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12E30A"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9CF7B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D8BFE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482F75" w14:textId="77777777" w:rsidR="000A2A2B" w:rsidRPr="007C3060" w:rsidRDefault="000A2A2B" w:rsidP="007C3060"/>
        </w:tc>
      </w:tr>
      <w:tr w:rsidR="004B729E" w:rsidRPr="007C3060" w14:paraId="6E5476F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46615C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B5E6F4D"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E0A80D"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9BD4B7" w14:textId="77777777" w:rsidR="000A2A2B" w:rsidRPr="007C3060" w:rsidRDefault="000A2A2B" w:rsidP="007C3060">
            <w:r w:rsidRPr="007C3060">
              <w:t>15 061 160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3C29B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1995B8" w14:textId="77777777" w:rsidR="000A2A2B" w:rsidRPr="007C3060" w:rsidRDefault="000A2A2B" w:rsidP="007C3060">
            <w:r w:rsidRPr="007C3060">
              <w:t>855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9182D1" w14:textId="77777777" w:rsidR="000A2A2B" w:rsidRPr="007C3060" w:rsidRDefault="000A2A2B" w:rsidP="007C3060">
            <w:r w:rsidRPr="007C3060">
              <w:t>15 062 015</w:t>
            </w:r>
          </w:p>
        </w:tc>
      </w:tr>
      <w:tr w:rsidR="004B729E" w:rsidRPr="007C3060" w14:paraId="0AE2EA6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9660421" w14:textId="77777777" w:rsidR="000A2A2B" w:rsidRPr="007C3060" w:rsidRDefault="000A2A2B" w:rsidP="007C3060">
            <w:r w:rsidRPr="007C3060">
              <w:t>611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9B94A9F"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706710" w14:textId="77777777" w:rsidR="000A2A2B" w:rsidRPr="007C3060" w:rsidRDefault="000A2A2B" w:rsidP="007C3060">
            <w:r w:rsidRPr="007C3060">
              <w:t>Pensjoner av statskassen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2EBE96"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52380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3BBBC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9FC8B1" w14:textId="77777777" w:rsidR="000A2A2B" w:rsidRPr="007C3060" w:rsidRDefault="000A2A2B" w:rsidP="007C3060"/>
        </w:tc>
      </w:tr>
      <w:tr w:rsidR="004B729E" w:rsidRPr="007C3060" w14:paraId="3E24E55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E46F21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2C24E8C"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4C23CE" w14:textId="77777777" w:rsidR="000A2A2B" w:rsidRPr="007C3060" w:rsidRDefault="000A2A2B" w:rsidP="007C3060">
            <w:r w:rsidRPr="007C3060">
              <w:t xml:space="preserve">Driftsutgifter,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06729A" w14:textId="77777777" w:rsidR="000A2A2B" w:rsidRPr="007C3060" w:rsidRDefault="000A2A2B" w:rsidP="007C3060">
            <w:r w:rsidRPr="007C3060">
              <w:t>18 800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672C7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221671" w14:textId="77777777" w:rsidR="000A2A2B" w:rsidRPr="007C3060" w:rsidRDefault="000A2A2B" w:rsidP="007C3060">
            <w:r w:rsidRPr="007C3060">
              <w:t>-400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C3C9E3" w14:textId="77777777" w:rsidR="000A2A2B" w:rsidRPr="007C3060" w:rsidRDefault="000A2A2B" w:rsidP="007C3060">
            <w:r w:rsidRPr="007C3060">
              <w:t>18 400</w:t>
            </w:r>
          </w:p>
        </w:tc>
      </w:tr>
      <w:tr w:rsidR="004B729E" w:rsidRPr="007C3060" w14:paraId="2CF1C51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87E9585" w14:textId="77777777" w:rsidR="000A2A2B" w:rsidRPr="007C3060" w:rsidRDefault="000A2A2B" w:rsidP="007C3060">
            <w:r w:rsidRPr="007C3060">
              <w:t>612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B3AC62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D11199" w14:textId="77777777" w:rsidR="000A2A2B" w:rsidRPr="007C3060" w:rsidRDefault="000A2A2B" w:rsidP="007C3060">
            <w:r w:rsidRPr="007C3060">
              <w:t>Tilskudd til Statens pensjonskasse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9CFA57"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3CBAB0"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D2DF0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C321BA" w14:textId="77777777" w:rsidR="000A2A2B" w:rsidRPr="007C3060" w:rsidRDefault="000A2A2B" w:rsidP="007C3060"/>
        </w:tc>
      </w:tr>
      <w:tr w:rsidR="004B729E" w:rsidRPr="007C3060" w14:paraId="4924D89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223127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6885CE3"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603B64" w14:textId="77777777" w:rsidR="000A2A2B" w:rsidRPr="007C3060" w:rsidRDefault="000A2A2B" w:rsidP="007C3060">
            <w:r w:rsidRPr="007C3060">
              <w:t xml:space="preserve">Driftsutgifter,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D35DBD" w14:textId="77777777" w:rsidR="000A2A2B" w:rsidRPr="007C3060" w:rsidRDefault="000A2A2B" w:rsidP="007C3060">
            <w:r w:rsidRPr="007C3060">
              <w:t>12 825 700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C029E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1346ED" w14:textId="77777777" w:rsidR="000A2A2B" w:rsidRPr="007C3060" w:rsidRDefault="000A2A2B" w:rsidP="007C3060">
            <w:r w:rsidRPr="007C3060">
              <w:t>-346 700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94AFB1" w14:textId="77777777" w:rsidR="000A2A2B" w:rsidRPr="007C3060" w:rsidRDefault="000A2A2B" w:rsidP="007C3060">
            <w:r w:rsidRPr="007C3060">
              <w:t>12 479 000</w:t>
            </w:r>
          </w:p>
        </w:tc>
      </w:tr>
      <w:tr w:rsidR="004B729E" w:rsidRPr="007C3060" w14:paraId="4E7C580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596EB89" w14:textId="77777777" w:rsidR="000A2A2B" w:rsidRPr="007C3060" w:rsidRDefault="000A2A2B" w:rsidP="007C3060">
            <w:r w:rsidRPr="007C3060">
              <w:t>634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9D69AD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FF3387" w14:textId="77777777" w:rsidR="000A2A2B" w:rsidRPr="007C3060" w:rsidRDefault="000A2A2B" w:rsidP="007C3060">
            <w:r w:rsidRPr="007C3060">
              <w:t>Arbeidsmarkedstiltak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687A76"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2EF875"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FE501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531C95" w14:textId="77777777" w:rsidR="000A2A2B" w:rsidRPr="007C3060" w:rsidRDefault="000A2A2B" w:rsidP="007C3060"/>
        </w:tc>
      </w:tr>
      <w:tr w:rsidR="004B729E" w:rsidRPr="007C3060" w14:paraId="0F3D92DB"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349942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8C48770"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8C982B" w14:textId="77777777" w:rsidR="000A2A2B" w:rsidRPr="007C3060" w:rsidRDefault="000A2A2B" w:rsidP="007C3060">
            <w:r w:rsidRPr="007C3060">
              <w:t xml:space="preserve">Forsøk med ungdomsprogramytelse,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B6AA94"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BA941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D0AD52" w14:textId="77777777" w:rsidR="000A2A2B" w:rsidRPr="007C3060" w:rsidRDefault="000A2A2B" w:rsidP="007C3060">
            <w:r w:rsidRPr="007C3060">
              <w:t>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95F0A4" w14:textId="77777777" w:rsidR="000A2A2B" w:rsidRPr="007C3060" w:rsidRDefault="000A2A2B" w:rsidP="007C3060">
            <w:r w:rsidRPr="007C3060">
              <w:t>20 000</w:t>
            </w:r>
          </w:p>
        </w:tc>
      </w:tr>
      <w:tr w:rsidR="004B729E" w:rsidRPr="007C3060" w14:paraId="44A5923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83795C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779D24E" w14:textId="77777777" w:rsidR="000A2A2B" w:rsidRPr="007C3060" w:rsidRDefault="000A2A2B" w:rsidP="007C3060">
            <w:r w:rsidRPr="007C306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85BA1A" w14:textId="77777777" w:rsidR="000A2A2B" w:rsidRPr="007C3060" w:rsidRDefault="000A2A2B" w:rsidP="007C3060">
            <w:r w:rsidRPr="007C3060">
              <w:t xml:space="preserve">Tiltak for arbeidssøkere,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414107" w14:textId="77777777" w:rsidR="000A2A2B" w:rsidRPr="007C3060" w:rsidRDefault="000A2A2B" w:rsidP="007C3060">
            <w:r w:rsidRPr="007C3060">
              <w:t>8 384 615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686B4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E781EA" w14:textId="77777777" w:rsidR="000A2A2B" w:rsidRPr="007C3060" w:rsidRDefault="000A2A2B" w:rsidP="007C3060">
            <w:r w:rsidRPr="007C3060">
              <w:t>117 100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6FDE08" w14:textId="77777777" w:rsidR="000A2A2B" w:rsidRPr="007C3060" w:rsidRDefault="000A2A2B" w:rsidP="007C3060">
            <w:r w:rsidRPr="007C3060">
              <w:t>8 501 715</w:t>
            </w:r>
          </w:p>
        </w:tc>
      </w:tr>
      <w:tr w:rsidR="004B729E" w:rsidRPr="007C3060" w14:paraId="60FAC24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EE79330" w14:textId="77777777" w:rsidR="000A2A2B" w:rsidRPr="007C3060" w:rsidRDefault="000A2A2B" w:rsidP="007C3060">
            <w:r w:rsidRPr="007C3060">
              <w:t>635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506634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1BF954" w14:textId="77777777" w:rsidR="000A2A2B" w:rsidRPr="007C3060" w:rsidRDefault="000A2A2B" w:rsidP="007C3060">
            <w:r w:rsidRPr="007C3060">
              <w:t>Ventelønn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38F77D"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7B466F"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49E9D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9D9F72" w14:textId="77777777" w:rsidR="000A2A2B" w:rsidRPr="007C3060" w:rsidRDefault="000A2A2B" w:rsidP="007C3060"/>
        </w:tc>
      </w:tr>
      <w:tr w:rsidR="004B729E" w:rsidRPr="007C3060" w14:paraId="1BE6BE0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EFC5D9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2A00384"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B38A43" w14:textId="77777777" w:rsidR="000A2A2B" w:rsidRPr="007C3060" w:rsidRDefault="000A2A2B" w:rsidP="007C3060">
            <w:r w:rsidRPr="007C3060">
              <w:t xml:space="preserve">Driftsutgifter,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CC05BC" w14:textId="77777777" w:rsidR="000A2A2B" w:rsidRPr="007C3060" w:rsidRDefault="000A2A2B" w:rsidP="007C3060">
            <w:r w:rsidRPr="007C3060">
              <w:t>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04BC2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B359F2" w14:textId="77777777" w:rsidR="000A2A2B" w:rsidRPr="007C3060" w:rsidRDefault="000A2A2B" w:rsidP="007C3060">
            <w:r w:rsidRPr="007C3060">
              <w:t>30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8E65DE" w14:textId="77777777" w:rsidR="000A2A2B" w:rsidRPr="007C3060" w:rsidRDefault="000A2A2B" w:rsidP="007C3060">
            <w:r w:rsidRPr="007C3060">
              <w:t>130</w:t>
            </w:r>
          </w:p>
        </w:tc>
      </w:tr>
      <w:tr w:rsidR="004B729E" w:rsidRPr="007C3060" w14:paraId="522C932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E14FE36" w14:textId="77777777" w:rsidR="000A2A2B" w:rsidRPr="007C3060" w:rsidRDefault="000A2A2B" w:rsidP="007C3060">
            <w:r w:rsidRPr="007C3060">
              <w:t>640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6695E7F"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5AF1CD" w14:textId="77777777" w:rsidR="000A2A2B" w:rsidRPr="007C3060" w:rsidRDefault="000A2A2B" w:rsidP="007C3060">
            <w:r w:rsidRPr="007C3060">
              <w:t>Arbeidstilsynet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FAF9C6"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4CF28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00F77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226293" w14:textId="77777777" w:rsidR="000A2A2B" w:rsidRPr="007C3060" w:rsidRDefault="000A2A2B" w:rsidP="007C3060"/>
        </w:tc>
      </w:tr>
      <w:tr w:rsidR="004B729E" w:rsidRPr="007C3060" w14:paraId="5A50EFE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315C1F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4BE09AD"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86047E"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673D07" w14:textId="77777777" w:rsidR="000A2A2B" w:rsidRPr="007C3060" w:rsidRDefault="000A2A2B" w:rsidP="007C3060">
            <w:r w:rsidRPr="007C3060">
              <w:t>901 670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9CF48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5EE293" w14:textId="77777777" w:rsidR="000A2A2B" w:rsidRPr="007C3060" w:rsidRDefault="000A2A2B" w:rsidP="007C3060">
            <w:r w:rsidRPr="007C3060">
              <w:t>750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26E5F6" w14:textId="77777777" w:rsidR="000A2A2B" w:rsidRPr="007C3060" w:rsidRDefault="000A2A2B" w:rsidP="007C3060">
            <w:r w:rsidRPr="007C3060">
              <w:t>902 420</w:t>
            </w:r>
          </w:p>
        </w:tc>
      </w:tr>
      <w:tr w:rsidR="004B729E" w:rsidRPr="007C3060" w14:paraId="3017F75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E111D9A" w14:textId="77777777" w:rsidR="000A2A2B" w:rsidRPr="007C3060" w:rsidRDefault="000A2A2B" w:rsidP="007C3060">
            <w:r w:rsidRPr="007C3060">
              <w:t>646</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1A99A3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8E7186" w14:textId="77777777" w:rsidR="000A2A2B" w:rsidRPr="007C3060" w:rsidRDefault="000A2A2B" w:rsidP="007C3060">
            <w:r w:rsidRPr="007C3060">
              <w:t>Pionerdykkere i Nordsjøen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A5DBFA"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F4C570"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472C5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7CA022" w14:textId="77777777" w:rsidR="000A2A2B" w:rsidRPr="007C3060" w:rsidRDefault="000A2A2B" w:rsidP="007C3060"/>
        </w:tc>
      </w:tr>
      <w:tr w:rsidR="004B729E" w:rsidRPr="007C3060" w14:paraId="2CA7319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279A1C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F3FED7E"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86B5F8" w14:textId="77777777" w:rsidR="000A2A2B" w:rsidRPr="007C3060" w:rsidRDefault="000A2A2B" w:rsidP="007C3060">
            <w:r w:rsidRPr="007C3060">
              <w:t xml:space="preserve">Tilskudd,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FFB19A" w14:textId="77777777" w:rsidR="000A2A2B" w:rsidRPr="007C3060" w:rsidRDefault="000A2A2B" w:rsidP="007C3060">
            <w:r w:rsidRPr="007C3060">
              <w:t>1 250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4D37D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64E7BC" w14:textId="77777777" w:rsidR="000A2A2B" w:rsidRPr="007C3060" w:rsidRDefault="000A2A2B" w:rsidP="007C3060">
            <w:r w:rsidRPr="007C3060">
              <w:t>-665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1AF7F5" w14:textId="77777777" w:rsidR="000A2A2B" w:rsidRPr="007C3060" w:rsidRDefault="000A2A2B" w:rsidP="007C3060">
            <w:r w:rsidRPr="007C3060">
              <w:t>585</w:t>
            </w:r>
          </w:p>
        </w:tc>
      </w:tr>
      <w:tr w:rsidR="004B729E" w:rsidRPr="007C3060" w14:paraId="4C26EC6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5275C68" w14:textId="77777777" w:rsidR="000A2A2B" w:rsidRPr="007C3060" w:rsidRDefault="000A2A2B" w:rsidP="007C3060">
            <w:r w:rsidRPr="007C3060">
              <w:t>647</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210CBB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64CFDB" w14:textId="77777777" w:rsidR="000A2A2B" w:rsidRPr="007C3060" w:rsidRDefault="000A2A2B" w:rsidP="007C3060">
            <w:r w:rsidRPr="007C3060">
              <w:t xml:space="preserve">Kompensasjonsordning for </w:t>
            </w:r>
            <w:proofErr w:type="spellStart"/>
            <w:r w:rsidRPr="007C3060">
              <w:t>oljepionerene</w:t>
            </w:r>
            <w:proofErr w:type="spellEnd"/>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86AF0A"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F61275"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2F0E3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410343" w14:textId="77777777" w:rsidR="000A2A2B" w:rsidRPr="007C3060" w:rsidRDefault="000A2A2B" w:rsidP="007C3060"/>
        </w:tc>
      </w:tr>
      <w:tr w:rsidR="004B729E" w:rsidRPr="007C3060" w14:paraId="6297569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C489ED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9033D87"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5C5B8D"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312590"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7ACA2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AAD10D" w14:textId="77777777" w:rsidR="000A2A2B" w:rsidRPr="007C3060" w:rsidRDefault="000A2A2B" w:rsidP="007C3060">
            <w:r w:rsidRPr="007C3060">
              <w:t>14 000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22BC1C" w14:textId="77777777" w:rsidR="000A2A2B" w:rsidRPr="007C3060" w:rsidRDefault="000A2A2B" w:rsidP="007C3060">
            <w:r w:rsidRPr="007C3060">
              <w:t>14 000</w:t>
            </w:r>
          </w:p>
        </w:tc>
      </w:tr>
      <w:tr w:rsidR="004B729E" w:rsidRPr="007C3060" w14:paraId="48A757E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2E19F38" w14:textId="77777777" w:rsidR="000A2A2B" w:rsidRPr="007C3060" w:rsidRDefault="000A2A2B" w:rsidP="007C3060">
            <w:r w:rsidRPr="007C3060">
              <w:t>660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4A6025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B357CE" w14:textId="77777777" w:rsidR="000A2A2B" w:rsidRPr="007C3060" w:rsidRDefault="000A2A2B" w:rsidP="007C3060">
            <w:r w:rsidRPr="007C3060">
              <w:t>Krigspensjon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3C6223"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8DAC8E"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21CD9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D97D44" w14:textId="77777777" w:rsidR="000A2A2B" w:rsidRPr="007C3060" w:rsidRDefault="000A2A2B" w:rsidP="007C3060"/>
        </w:tc>
      </w:tr>
      <w:tr w:rsidR="004B729E" w:rsidRPr="007C3060" w14:paraId="539D8EF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6E3BCE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9D2425A"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487A7F" w14:textId="77777777" w:rsidR="000A2A2B" w:rsidRPr="007C3060" w:rsidRDefault="000A2A2B" w:rsidP="007C3060">
            <w:r w:rsidRPr="007C3060">
              <w:t xml:space="preserve">Tilskudd, militære,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902119" w14:textId="77777777" w:rsidR="000A2A2B" w:rsidRPr="007C3060" w:rsidRDefault="000A2A2B" w:rsidP="007C3060">
            <w:r w:rsidRPr="007C3060">
              <w:t>19 000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52701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A2B1B8" w14:textId="77777777" w:rsidR="000A2A2B" w:rsidRPr="007C3060" w:rsidRDefault="000A2A2B" w:rsidP="007C3060">
            <w:r w:rsidRPr="007C3060">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88A7E3" w14:textId="77777777" w:rsidR="000A2A2B" w:rsidRPr="007C3060" w:rsidRDefault="000A2A2B" w:rsidP="007C3060">
            <w:r w:rsidRPr="007C3060">
              <w:t>18 000</w:t>
            </w:r>
          </w:p>
        </w:tc>
      </w:tr>
      <w:tr w:rsidR="004B729E" w:rsidRPr="007C3060" w14:paraId="33066A8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E824D4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7DB9BCC"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F4B661" w14:textId="77777777" w:rsidR="000A2A2B" w:rsidRPr="007C3060" w:rsidRDefault="000A2A2B" w:rsidP="007C3060">
            <w:r w:rsidRPr="007C3060">
              <w:t xml:space="preserve">Tilskudd, sivile,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0575D7" w14:textId="77777777" w:rsidR="000A2A2B" w:rsidRPr="007C3060" w:rsidRDefault="000A2A2B" w:rsidP="007C3060">
            <w:r w:rsidRPr="007C3060">
              <w:t>65 000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86815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1C9DFA" w14:textId="77777777" w:rsidR="000A2A2B" w:rsidRPr="007C3060" w:rsidRDefault="000A2A2B" w:rsidP="007C3060">
            <w:r w:rsidRPr="007C3060">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E562A7" w14:textId="77777777" w:rsidR="000A2A2B" w:rsidRPr="007C3060" w:rsidRDefault="000A2A2B" w:rsidP="007C3060">
            <w:r w:rsidRPr="007C3060">
              <w:t>66 000</w:t>
            </w:r>
          </w:p>
        </w:tc>
      </w:tr>
      <w:tr w:rsidR="004B729E" w:rsidRPr="007C3060" w14:paraId="0C624D4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8325A73" w14:textId="77777777" w:rsidR="000A2A2B" w:rsidRPr="007C3060" w:rsidRDefault="000A2A2B" w:rsidP="007C3060">
            <w:r w:rsidRPr="007C3060">
              <w:t>665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EC49C3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AA74F3" w14:textId="77777777" w:rsidR="000A2A2B" w:rsidRPr="007C3060" w:rsidRDefault="000A2A2B" w:rsidP="007C3060">
            <w:r w:rsidRPr="007C3060">
              <w:t>Pensjonstrygden for fiskere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556F3D"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992C4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44BE0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3B7773" w14:textId="77777777" w:rsidR="000A2A2B" w:rsidRPr="007C3060" w:rsidRDefault="000A2A2B" w:rsidP="007C3060"/>
        </w:tc>
      </w:tr>
      <w:tr w:rsidR="004B729E" w:rsidRPr="007C3060" w14:paraId="131F3A4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23A34E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E0BE1D8"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E42590" w14:textId="77777777" w:rsidR="000A2A2B" w:rsidRPr="007C3060" w:rsidRDefault="000A2A2B" w:rsidP="007C3060">
            <w:r w:rsidRPr="007C3060">
              <w:t xml:space="preserve">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81D629" w14:textId="77777777" w:rsidR="000A2A2B" w:rsidRPr="007C3060" w:rsidRDefault="000A2A2B" w:rsidP="007C3060">
            <w:r w:rsidRPr="007C3060">
              <w:t>4 400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01BC5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A3EA9D" w14:textId="77777777" w:rsidR="000A2A2B" w:rsidRPr="007C3060" w:rsidRDefault="000A2A2B" w:rsidP="007C3060">
            <w:r w:rsidRPr="007C3060">
              <w:t>-4 400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6C7708" w14:textId="77777777" w:rsidR="000A2A2B" w:rsidRPr="007C3060" w:rsidRDefault="000A2A2B" w:rsidP="007C3060">
            <w:r w:rsidRPr="007C3060">
              <w:t>0</w:t>
            </w:r>
          </w:p>
        </w:tc>
      </w:tr>
      <w:tr w:rsidR="004B729E" w:rsidRPr="007C3060" w14:paraId="4A5577F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00AD357" w14:textId="77777777" w:rsidR="000A2A2B" w:rsidRPr="007C3060" w:rsidRDefault="000A2A2B" w:rsidP="007C3060">
            <w:r w:rsidRPr="007C3060">
              <w:t>666</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A5A7085"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9B75D5" w14:textId="77777777" w:rsidR="000A2A2B" w:rsidRPr="007C3060" w:rsidRDefault="000A2A2B" w:rsidP="007C3060">
            <w:r w:rsidRPr="007C3060">
              <w:t>Avtalefestet pensjon (AFP)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044C36"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EC99A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D01E1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1F6AEA" w14:textId="77777777" w:rsidR="000A2A2B" w:rsidRPr="007C3060" w:rsidRDefault="000A2A2B" w:rsidP="007C3060"/>
        </w:tc>
      </w:tr>
      <w:tr w:rsidR="004B729E" w:rsidRPr="007C3060" w14:paraId="75C12AF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BE6FF5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7DF7011"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DB41D9" w14:textId="77777777" w:rsidR="000A2A2B" w:rsidRPr="007C3060" w:rsidRDefault="000A2A2B" w:rsidP="007C3060">
            <w:r w:rsidRPr="007C3060">
              <w:t xml:space="preserve">Tilskudd,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79FD78" w14:textId="77777777" w:rsidR="000A2A2B" w:rsidRPr="007C3060" w:rsidRDefault="000A2A2B" w:rsidP="007C3060">
            <w:r w:rsidRPr="007C3060">
              <w:t>4 340 000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FDC40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57104B" w14:textId="77777777" w:rsidR="000A2A2B" w:rsidRPr="007C3060" w:rsidRDefault="000A2A2B" w:rsidP="007C3060">
            <w:r w:rsidRPr="007C3060">
              <w:t>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190AD3" w14:textId="77777777" w:rsidR="000A2A2B" w:rsidRPr="007C3060" w:rsidRDefault="000A2A2B" w:rsidP="007C3060">
            <w:r w:rsidRPr="007C3060">
              <w:t>4 370 000</w:t>
            </w:r>
          </w:p>
        </w:tc>
      </w:tr>
      <w:tr w:rsidR="004B729E" w:rsidRPr="007C3060" w14:paraId="48A6995E"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0E9A88FF" w14:textId="77777777" w:rsidR="000A2A2B" w:rsidRPr="007C3060" w:rsidRDefault="000A2A2B" w:rsidP="007C3060">
            <w:r w:rsidRPr="007C3060">
              <w:t>667</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59865FE6"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319DC6A" w14:textId="77777777" w:rsidR="000A2A2B" w:rsidRPr="007C3060" w:rsidRDefault="000A2A2B" w:rsidP="007C3060">
            <w:r w:rsidRPr="007C3060">
              <w:t>Supplerende stønad</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2298A86"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EB42379"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FC1CF46"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9395CB7" w14:textId="77777777" w:rsidR="000A2A2B" w:rsidRPr="007C3060" w:rsidRDefault="000A2A2B" w:rsidP="007C3060"/>
        </w:tc>
      </w:tr>
      <w:tr w:rsidR="004B729E" w:rsidRPr="007C3060" w14:paraId="01012F5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A56908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5F35BAB"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1073AF" w14:textId="77777777" w:rsidR="000A2A2B" w:rsidRPr="007C3060" w:rsidRDefault="000A2A2B" w:rsidP="007C3060">
            <w:r w:rsidRPr="007C3060">
              <w:t xml:space="preserve">Tilskudd til personer over 67 år med kort botid,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32BBC5" w14:textId="77777777" w:rsidR="000A2A2B" w:rsidRPr="007C3060" w:rsidRDefault="000A2A2B" w:rsidP="007C3060">
            <w:r w:rsidRPr="007C3060">
              <w:t>420 000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5A3B1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991ED2"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402CBD" w14:textId="77777777" w:rsidR="000A2A2B" w:rsidRPr="007C3060" w:rsidRDefault="000A2A2B" w:rsidP="007C3060">
            <w:r w:rsidRPr="007C3060">
              <w:t>410 000</w:t>
            </w:r>
          </w:p>
        </w:tc>
      </w:tr>
      <w:tr w:rsidR="004B729E" w:rsidRPr="007C3060" w14:paraId="3418766D"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5811C6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52B7D6C"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77940D" w14:textId="77777777" w:rsidR="000A2A2B" w:rsidRPr="007C3060" w:rsidRDefault="000A2A2B" w:rsidP="007C3060">
            <w:r w:rsidRPr="007C3060">
              <w:t xml:space="preserve">Tilskudd til uføre flyktninger med kort botid,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77A9F7" w14:textId="77777777" w:rsidR="000A2A2B" w:rsidRPr="007C3060" w:rsidRDefault="000A2A2B" w:rsidP="007C3060">
            <w:r w:rsidRPr="007C3060">
              <w:t>260 000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C02A2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1D96DE" w14:textId="77777777" w:rsidR="000A2A2B" w:rsidRPr="007C3060" w:rsidRDefault="000A2A2B" w:rsidP="007C3060">
            <w:r w:rsidRPr="007C3060">
              <w:t>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31C326" w14:textId="77777777" w:rsidR="000A2A2B" w:rsidRPr="007C3060" w:rsidRDefault="000A2A2B" w:rsidP="007C3060">
            <w:r w:rsidRPr="007C3060">
              <w:t>290 000</w:t>
            </w:r>
          </w:p>
        </w:tc>
      </w:tr>
      <w:tr w:rsidR="004B729E" w:rsidRPr="007C3060" w14:paraId="641C17A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984038C" w14:textId="77777777" w:rsidR="000A2A2B" w:rsidRPr="007C3060" w:rsidRDefault="000A2A2B" w:rsidP="007C3060">
            <w:r w:rsidRPr="007C3060">
              <w:t>671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888E46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B0303E" w14:textId="77777777" w:rsidR="000A2A2B" w:rsidRPr="007C3060" w:rsidRDefault="000A2A2B" w:rsidP="007C3060">
            <w:r w:rsidRPr="007C3060">
              <w:t>Bosetting av flyktninger og tiltak for -innvandrere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37A405"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9C4A6E"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E0261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2323AA" w14:textId="77777777" w:rsidR="000A2A2B" w:rsidRPr="007C3060" w:rsidRDefault="000A2A2B" w:rsidP="007C3060"/>
        </w:tc>
      </w:tr>
      <w:tr w:rsidR="004B729E" w:rsidRPr="007C3060" w14:paraId="5F35663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4C38AC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CAECCFA" w14:textId="77777777" w:rsidR="000A2A2B" w:rsidRPr="007C3060" w:rsidRDefault="000A2A2B" w:rsidP="007C3060">
            <w:r w:rsidRPr="007C306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FA7BDE" w14:textId="77777777" w:rsidR="000A2A2B" w:rsidRPr="007C3060" w:rsidRDefault="000A2A2B" w:rsidP="007C3060">
            <w:r w:rsidRPr="007C3060">
              <w:t xml:space="preserve">Integreringstilskudd,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6EE6F7" w14:textId="77777777" w:rsidR="000A2A2B" w:rsidRPr="007C3060" w:rsidRDefault="000A2A2B" w:rsidP="007C3060">
            <w:r w:rsidRPr="007C3060">
              <w:t>22 909 550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9F5A1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50CFD8" w14:textId="77777777" w:rsidR="000A2A2B" w:rsidRPr="007C3060" w:rsidRDefault="000A2A2B" w:rsidP="007C3060">
            <w:r w:rsidRPr="007C3060">
              <w:t>-1 804 300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426BFC" w14:textId="77777777" w:rsidR="000A2A2B" w:rsidRPr="007C3060" w:rsidRDefault="000A2A2B" w:rsidP="007C3060">
            <w:r w:rsidRPr="007C3060">
              <w:t>21 105 250</w:t>
            </w:r>
          </w:p>
        </w:tc>
      </w:tr>
      <w:tr w:rsidR="004B729E" w:rsidRPr="007C3060" w14:paraId="7FA2D286"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1E9ED9E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F1ADDF8" w14:textId="77777777" w:rsidR="000A2A2B" w:rsidRPr="007C3060" w:rsidRDefault="000A2A2B" w:rsidP="007C3060">
            <w:r w:rsidRPr="007C3060">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C24584" w14:textId="69BC5DD0" w:rsidR="000A2A2B" w:rsidRPr="007C3060" w:rsidRDefault="000A2A2B" w:rsidP="007C3060">
            <w:r w:rsidRPr="007C3060">
              <w:t xml:space="preserve">Særskilt tilskudd ved bosetting av enslige, mindreårige flyktninger,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F1AB4D" w14:textId="77777777" w:rsidR="000A2A2B" w:rsidRPr="007C3060" w:rsidRDefault="000A2A2B" w:rsidP="007C3060">
            <w:r w:rsidRPr="007C3060">
              <w:t>2 170 701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45745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8D7032" w14:textId="77777777" w:rsidR="000A2A2B" w:rsidRPr="007C3060" w:rsidRDefault="000A2A2B" w:rsidP="007C3060">
            <w:r w:rsidRPr="007C3060">
              <w:t>-181 300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15FD49" w14:textId="77777777" w:rsidR="000A2A2B" w:rsidRPr="007C3060" w:rsidRDefault="000A2A2B" w:rsidP="007C3060">
            <w:r w:rsidRPr="007C3060">
              <w:t>1 989 401</w:t>
            </w:r>
          </w:p>
        </w:tc>
      </w:tr>
      <w:tr w:rsidR="004B729E" w:rsidRPr="007C3060" w14:paraId="640D98D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4736C5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B113E91" w14:textId="77777777" w:rsidR="000A2A2B" w:rsidRPr="007C3060" w:rsidRDefault="000A2A2B" w:rsidP="007C3060">
            <w:r w:rsidRPr="007C3060">
              <w:t>62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9A3A82" w14:textId="77777777" w:rsidR="000A2A2B" w:rsidRPr="007C3060" w:rsidRDefault="000A2A2B" w:rsidP="007C3060">
            <w:r w:rsidRPr="007C3060">
              <w:t xml:space="preserve">Kommunale integreringstiltak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C3748E" w14:textId="77777777" w:rsidR="000A2A2B" w:rsidRPr="007C3060" w:rsidRDefault="000A2A2B" w:rsidP="007C3060">
            <w:r w:rsidRPr="007C3060">
              <w:t>337 587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5B319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897A8C" w14:textId="77777777" w:rsidR="000A2A2B" w:rsidRPr="007C3060" w:rsidRDefault="000A2A2B" w:rsidP="007C3060">
            <w:r w:rsidRPr="007C3060">
              <w:t>1 718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2EEB82" w14:textId="77777777" w:rsidR="000A2A2B" w:rsidRPr="007C3060" w:rsidRDefault="000A2A2B" w:rsidP="007C3060">
            <w:r w:rsidRPr="007C3060">
              <w:t>339 305</w:t>
            </w:r>
          </w:p>
        </w:tc>
      </w:tr>
      <w:tr w:rsidR="004B729E" w:rsidRPr="007C3060" w14:paraId="19BCD43E"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8AE5C4B" w14:textId="77777777" w:rsidR="000A2A2B" w:rsidRPr="007C3060" w:rsidRDefault="000A2A2B" w:rsidP="007C3060">
            <w:r w:rsidRPr="007C3060">
              <w:t>672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417911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263CA2" w14:textId="77777777" w:rsidR="000A2A2B" w:rsidRPr="007C3060" w:rsidRDefault="000A2A2B" w:rsidP="007C3060">
            <w:r w:rsidRPr="007C3060">
              <w:t>Opplæring i norsk og samfunnskunnskap for voksne innvandrere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F0D072"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7964B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1A2012"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4D121E" w14:textId="77777777" w:rsidR="000A2A2B" w:rsidRPr="007C3060" w:rsidRDefault="000A2A2B" w:rsidP="007C3060"/>
        </w:tc>
      </w:tr>
      <w:tr w:rsidR="004B729E" w:rsidRPr="007C3060" w14:paraId="67172B88"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C27075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052126E" w14:textId="77777777" w:rsidR="000A2A2B" w:rsidRPr="007C3060" w:rsidRDefault="000A2A2B" w:rsidP="007C3060">
            <w:r w:rsidRPr="007C306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99B217" w14:textId="77777777" w:rsidR="000A2A2B" w:rsidRPr="007C3060" w:rsidRDefault="000A2A2B" w:rsidP="007C3060">
            <w:r w:rsidRPr="007C3060">
              <w:t xml:space="preserve">Tilskudd til opplæring i norsk og samfunnskunnskap for voksne innvandrere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521C0A" w14:textId="77777777" w:rsidR="000A2A2B" w:rsidRPr="007C3060" w:rsidRDefault="000A2A2B" w:rsidP="007C3060">
            <w:r w:rsidRPr="007C3060">
              <w:t>2 025 416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0A5AE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4E8E16" w14:textId="77777777" w:rsidR="000A2A2B" w:rsidRPr="007C3060" w:rsidRDefault="000A2A2B" w:rsidP="007C3060">
            <w:r w:rsidRPr="007C3060">
              <w:t>-55 300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ADBC22" w14:textId="77777777" w:rsidR="000A2A2B" w:rsidRPr="007C3060" w:rsidRDefault="000A2A2B" w:rsidP="007C3060">
            <w:r w:rsidRPr="007C3060">
              <w:t>1 970 116</w:t>
            </w:r>
          </w:p>
        </w:tc>
      </w:tr>
      <w:tr w:rsidR="004B729E" w:rsidRPr="007C3060" w14:paraId="3BCFB595"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EEDEFA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9108F93" w14:textId="77777777" w:rsidR="000A2A2B" w:rsidRPr="007C3060" w:rsidRDefault="000A2A2B" w:rsidP="007C3060">
            <w:r w:rsidRPr="007C3060">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60B811" w14:textId="7A67E64D" w:rsidR="000A2A2B" w:rsidRPr="007C3060" w:rsidRDefault="000A2A2B" w:rsidP="007C3060">
            <w:r w:rsidRPr="007C3060">
              <w:t xml:space="preserve">Kompetansekartlegging i mottak før bosetting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8250D3" w14:textId="77777777" w:rsidR="000A2A2B" w:rsidRPr="007C3060" w:rsidRDefault="000A2A2B" w:rsidP="007C3060">
            <w:r w:rsidRPr="007C3060">
              <w:t>1 585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6370A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E60492" w14:textId="77777777" w:rsidR="000A2A2B" w:rsidRPr="007C3060" w:rsidRDefault="000A2A2B" w:rsidP="007C3060">
            <w:r w:rsidRPr="007C3060">
              <w:t>-600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4A3492" w14:textId="77777777" w:rsidR="000A2A2B" w:rsidRPr="007C3060" w:rsidRDefault="000A2A2B" w:rsidP="007C3060">
            <w:r w:rsidRPr="007C3060">
              <w:t>985</w:t>
            </w:r>
          </w:p>
        </w:tc>
      </w:tr>
      <w:tr w:rsidR="004B729E" w:rsidRPr="007C3060" w14:paraId="38A4CB05"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A75E83A" w14:textId="77777777" w:rsidR="000A2A2B" w:rsidRPr="007C3060" w:rsidRDefault="000A2A2B" w:rsidP="007C3060">
            <w:r w:rsidRPr="007C3060">
              <w:t>Sum endringer Arbeids- og inkluderingsdepartementet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85ABD69"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C210B6F"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AC07432" w14:textId="77777777" w:rsidR="000A2A2B" w:rsidRPr="007C3060" w:rsidRDefault="000A2A2B" w:rsidP="007C3060">
            <w:r w:rsidRPr="007C3060">
              <w:t>-2 125 902</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43677F6" w14:textId="77777777" w:rsidR="000A2A2B" w:rsidRPr="007C3060" w:rsidRDefault="000A2A2B" w:rsidP="007C3060"/>
        </w:tc>
      </w:tr>
      <w:tr w:rsidR="004B729E" w:rsidRPr="007C3060" w14:paraId="13C7577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50D5091" w14:textId="77777777" w:rsidR="000A2A2B" w:rsidRPr="007C3060" w:rsidRDefault="000A2A2B" w:rsidP="007C3060">
            <w:r w:rsidRPr="007C3060">
              <w:t>701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AD884A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668497" w14:textId="77777777" w:rsidR="000A2A2B" w:rsidRPr="007C3060" w:rsidRDefault="000A2A2B" w:rsidP="007C3060">
            <w:r w:rsidRPr="007C3060">
              <w:t>Digitalisering i helse- og omsorgstjenesten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F960F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0A6C01"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DE2EA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B01FF9" w14:textId="77777777" w:rsidR="000A2A2B" w:rsidRPr="007C3060" w:rsidRDefault="000A2A2B" w:rsidP="007C3060"/>
        </w:tc>
      </w:tr>
      <w:tr w:rsidR="004B729E" w:rsidRPr="007C3060" w14:paraId="24816A0E"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17453E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6C41B5D"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5A9314" w14:textId="7EFB0DD5" w:rsidR="000A2A2B" w:rsidRPr="007C3060" w:rsidRDefault="000A2A2B" w:rsidP="007C3060">
            <w:r w:rsidRPr="007C3060">
              <w:t xml:space="preserve">Spesielle driftsutgifter, </w:t>
            </w:r>
            <w:r w:rsidRPr="007C3060">
              <w:rPr>
                <w:rStyle w:val="kursiv"/>
              </w:rPr>
              <w:t>kan overføres,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C94D5D" w14:textId="77777777" w:rsidR="000A2A2B" w:rsidRPr="007C3060" w:rsidRDefault="000A2A2B" w:rsidP="007C3060">
            <w:r w:rsidRPr="007C3060">
              <w:t>322 597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A9E69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0007B9" w14:textId="77777777" w:rsidR="000A2A2B" w:rsidRPr="007C3060" w:rsidRDefault="000A2A2B" w:rsidP="007C3060">
            <w:r w:rsidRPr="007C3060">
              <w:t>-24 100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350805" w14:textId="77777777" w:rsidR="000A2A2B" w:rsidRPr="007C3060" w:rsidRDefault="000A2A2B" w:rsidP="007C3060">
            <w:r w:rsidRPr="007C3060">
              <w:t>298 497</w:t>
            </w:r>
          </w:p>
        </w:tc>
      </w:tr>
      <w:tr w:rsidR="004B729E" w:rsidRPr="007C3060" w14:paraId="3730CC21"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3CE647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FF02D39" w14:textId="77777777" w:rsidR="000A2A2B" w:rsidRPr="007C3060" w:rsidRDefault="000A2A2B" w:rsidP="007C3060">
            <w:r w:rsidRPr="007C306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03CC4E" w14:textId="77777777" w:rsidR="000A2A2B" w:rsidRPr="007C3060" w:rsidRDefault="000A2A2B" w:rsidP="007C3060">
            <w:r w:rsidRPr="007C3060">
              <w:t xml:space="preserve">Tilskudd til helseteknologi i kommunal helse- og omsorgstjeneste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C1BC0D" w14:textId="77777777" w:rsidR="000A2A2B" w:rsidRPr="007C3060" w:rsidRDefault="000A2A2B" w:rsidP="007C3060">
            <w:r w:rsidRPr="007C3060">
              <w:t>71 211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58385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75E727" w14:textId="77777777" w:rsidR="000A2A2B" w:rsidRPr="007C3060" w:rsidRDefault="000A2A2B" w:rsidP="007C3060">
            <w:r w:rsidRPr="007C3060">
              <w:t>18 600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3187BA" w14:textId="77777777" w:rsidR="000A2A2B" w:rsidRPr="007C3060" w:rsidRDefault="000A2A2B" w:rsidP="007C3060">
            <w:r w:rsidRPr="007C3060">
              <w:t>89 811</w:t>
            </w:r>
          </w:p>
        </w:tc>
      </w:tr>
      <w:tr w:rsidR="004B729E" w:rsidRPr="007C3060" w14:paraId="6AE0ADE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613D4A5" w14:textId="77777777" w:rsidR="000A2A2B" w:rsidRPr="007C3060" w:rsidRDefault="000A2A2B" w:rsidP="007C3060">
            <w:r w:rsidRPr="007C3060">
              <w:t>703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1D1A2C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5F3252" w14:textId="77777777" w:rsidR="000A2A2B" w:rsidRPr="007C3060" w:rsidRDefault="000A2A2B" w:rsidP="007C3060">
            <w:r w:rsidRPr="007C3060">
              <w:t>Internasjonalt samarbeid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1A2ED6"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838051"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DE733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F73CB5" w14:textId="77777777" w:rsidR="000A2A2B" w:rsidRPr="007C3060" w:rsidRDefault="000A2A2B" w:rsidP="007C3060"/>
        </w:tc>
      </w:tr>
      <w:tr w:rsidR="004B729E" w:rsidRPr="007C3060" w14:paraId="5A08DFE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87CD2C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7AE33EA"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0A973C" w14:textId="77777777" w:rsidR="000A2A2B" w:rsidRPr="007C3060" w:rsidRDefault="000A2A2B" w:rsidP="007C3060">
            <w:r w:rsidRPr="007C3060">
              <w:t xml:space="preserve">Internasjonale organisasjoner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58C31F" w14:textId="77777777" w:rsidR="000A2A2B" w:rsidRPr="007C3060" w:rsidRDefault="000A2A2B" w:rsidP="007C3060">
            <w:r w:rsidRPr="007C3060">
              <w:t>262 417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424C8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7E05AD" w14:textId="77777777" w:rsidR="000A2A2B" w:rsidRPr="007C3060" w:rsidRDefault="000A2A2B" w:rsidP="007C3060">
            <w:r w:rsidRPr="007C3060">
              <w:t>-29 300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AC676E" w14:textId="77777777" w:rsidR="000A2A2B" w:rsidRPr="007C3060" w:rsidRDefault="000A2A2B" w:rsidP="007C3060">
            <w:r w:rsidRPr="007C3060">
              <w:t>233 117</w:t>
            </w:r>
          </w:p>
        </w:tc>
      </w:tr>
      <w:tr w:rsidR="004B729E" w:rsidRPr="007C3060" w14:paraId="7084899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1824004" w14:textId="77777777" w:rsidR="000A2A2B" w:rsidRPr="007C3060" w:rsidRDefault="000A2A2B" w:rsidP="007C3060">
            <w:r w:rsidRPr="007C3060">
              <w:t>710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CDE9B8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01DEEB" w14:textId="77777777" w:rsidR="000A2A2B" w:rsidRPr="007C3060" w:rsidRDefault="000A2A2B" w:rsidP="007C3060">
            <w:r w:rsidRPr="007C3060">
              <w:t>Vaksiner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D1926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EB03CA"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FD2BF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8C2C18" w14:textId="77777777" w:rsidR="000A2A2B" w:rsidRPr="007C3060" w:rsidRDefault="000A2A2B" w:rsidP="007C3060"/>
        </w:tc>
      </w:tr>
      <w:tr w:rsidR="004B729E" w:rsidRPr="007C3060" w14:paraId="08B511B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79FE6F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C6B40C2"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A01576"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64388C" w14:textId="77777777" w:rsidR="000A2A2B" w:rsidRPr="007C3060" w:rsidRDefault="000A2A2B" w:rsidP="007C3060">
            <w:r w:rsidRPr="007C3060">
              <w:t>298 753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D9FCE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C7B336" w14:textId="77777777" w:rsidR="000A2A2B" w:rsidRPr="007C3060" w:rsidRDefault="000A2A2B" w:rsidP="007C3060">
            <w:r w:rsidRPr="007C3060">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2E62D" w14:textId="77777777" w:rsidR="000A2A2B" w:rsidRPr="007C3060" w:rsidRDefault="000A2A2B" w:rsidP="007C3060">
            <w:r w:rsidRPr="007C3060">
              <w:t>303 753</w:t>
            </w:r>
          </w:p>
        </w:tc>
      </w:tr>
      <w:tr w:rsidR="004B729E" w:rsidRPr="007C3060" w14:paraId="4A15A3B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576146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DFA0C69"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BAF32F" w14:textId="77777777" w:rsidR="000A2A2B" w:rsidRPr="007C3060" w:rsidRDefault="000A2A2B" w:rsidP="007C3060">
            <w:r w:rsidRPr="007C3060">
              <w:t xml:space="preserve">Salgs- og beredskapsprodukter m.m.,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102026" w14:textId="77777777" w:rsidR="000A2A2B" w:rsidRPr="007C3060" w:rsidRDefault="000A2A2B" w:rsidP="007C3060">
            <w:r w:rsidRPr="007C3060">
              <w:t>138 551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AE35F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59D8D8" w14:textId="77777777" w:rsidR="000A2A2B" w:rsidRPr="007C3060" w:rsidRDefault="000A2A2B" w:rsidP="007C3060">
            <w:r w:rsidRPr="007C3060">
              <w:t>16 402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E09735" w14:textId="77777777" w:rsidR="000A2A2B" w:rsidRPr="007C3060" w:rsidRDefault="000A2A2B" w:rsidP="007C3060">
            <w:r w:rsidRPr="007C3060">
              <w:t>154 953</w:t>
            </w:r>
          </w:p>
        </w:tc>
      </w:tr>
      <w:tr w:rsidR="004B729E" w:rsidRPr="007C3060" w14:paraId="6487BFFC"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B35BC8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78E7138" w14:textId="77777777" w:rsidR="000A2A2B" w:rsidRPr="007C3060" w:rsidRDefault="000A2A2B" w:rsidP="007C3060">
            <w:r w:rsidRPr="007C3060">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9A3394" w14:textId="004E99F2" w:rsidR="000A2A2B" w:rsidRPr="007C3060" w:rsidRDefault="000A2A2B" w:rsidP="007C3060">
            <w:r w:rsidRPr="007C3060">
              <w:t xml:space="preserve">Vaksinasjonsprogram for voksne og risikogrupper,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B9A47D" w14:textId="77777777" w:rsidR="000A2A2B" w:rsidRPr="007C3060" w:rsidRDefault="000A2A2B" w:rsidP="007C3060">
            <w:r w:rsidRPr="007C3060">
              <w:t>111 819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E7FC3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C3BBA7" w14:textId="77777777" w:rsidR="000A2A2B" w:rsidRPr="007C3060" w:rsidRDefault="000A2A2B" w:rsidP="007C3060">
            <w:r w:rsidRPr="007C3060">
              <w:t>-5 925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0297D6" w14:textId="77777777" w:rsidR="000A2A2B" w:rsidRPr="007C3060" w:rsidRDefault="000A2A2B" w:rsidP="007C3060">
            <w:r w:rsidRPr="007C3060">
              <w:t>105 894</w:t>
            </w:r>
          </w:p>
        </w:tc>
      </w:tr>
      <w:tr w:rsidR="004B729E" w:rsidRPr="007C3060" w14:paraId="6BDA61E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6DD1F2E" w14:textId="77777777" w:rsidR="000A2A2B" w:rsidRPr="007C3060" w:rsidRDefault="000A2A2B" w:rsidP="007C3060">
            <w:r w:rsidRPr="007C3060">
              <w:t>714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C02127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8BF2AA" w14:textId="77777777" w:rsidR="000A2A2B" w:rsidRPr="007C3060" w:rsidRDefault="000A2A2B" w:rsidP="007C3060">
            <w:r w:rsidRPr="007C3060">
              <w:t>Folkehelse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E958DF"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03392F"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B56F3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780165" w14:textId="77777777" w:rsidR="000A2A2B" w:rsidRPr="007C3060" w:rsidRDefault="000A2A2B" w:rsidP="007C3060"/>
        </w:tc>
      </w:tr>
      <w:tr w:rsidR="004B729E" w:rsidRPr="007C3060" w14:paraId="1ECC5F2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3EB799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BA4948F"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E411B6"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882BFC" w14:textId="77777777" w:rsidR="000A2A2B" w:rsidRPr="007C3060" w:rsidRDefault="000A2A2B" w:rsidP="007C3060">
            <w:r w:rsidRPr="007C3060">
              <w:t>147 697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0C5D9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6EDA7F" w14:textId="77777777" w:rsidR="000A2A2B" w:rsidRPr="007C3060" w:rsidRDefault="000A2A2B" w:rsidP="007C3060">
            <w:r w:rsidRPr="007C3060">
              <w:t>-16 000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C10AEA" w14:textId="77777777" w:rsidR="000A2A2B" w:rsidRPr="007C3060" w:rsidRDefault="000A2A2B" w:rsidP="007C3060">
            <w:r w:rsidRPr="007C3060">
              <w:t>131 697</w:t>
            </w:r>
          </w:p>
        </w:tc>
      </w:tr>
      <w:tr w:rsidR="004B729E" w:rsidRPr="007C3060" w14:paraId="149BE03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16AC165" w14:textId="77777777" w:rsidR="000A2A2B" w:rsidRPr="007C3060" w:rsidRDefault="000A2A2B" w:rsidP="007C3060">
            <w:r w:rsidRPr="007C3060">
              <w:t>732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78A06F3"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396827" w14:textId="77777777" w:rsidR="000A2A2B" w:rsidRPr="007C3060" w:rsidRDefault="000A2A2B" w:rsidP="007C3060">
            <w:r w:rsidRPr="007C3060">
              <w:t>Regionale helseforetak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5D6BC6"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FC48F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883B3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54A71D" w14:textId="77777777" w:rsidR="000A2A2B" w:rsidRPr="007C3060" w:rsidRDefault="000A2A2B" w:rsidP="007C3060"/>
        </w:tc>
      </w:tr>
      <w:tr w:rsidR="004B729E" w:rsidRPr="007C3060" w14:paraId="2D4CC538"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AF5B8A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FB8F517"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9F762D" w14:textId="62748C3D" w:rsidR="000A2A2B" w:rsidRPr="007C3060" w:rsidRDefault="000A2A2B" w:rsidP="007C3060">
            <w:r w:rsidRPr="007C3060">
              <w:t xml:space="preserve">Særskilte tilskudd, </w:t>
            </w:r>
            <w:r w:rsidRPr="007C3060">
              <w:rPr>
                <w:rStyle w:val="kursiv"/>
              </w:rPr>
              <w:t>kan overføres, kan nyttes under postene 72, 73, 74 og 75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85A240" w14:textId="77777777" w:rsidR="000A2A2B" w:rsidRPr="007C3060" w:rsidRDefault="000A2A2B" w:rsidP="007C3060">
            <w:r w:rsidRPr="007C3060">
              <w:t>2 669 897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AE152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6DE024" w14:textId="77777777" w:rsidR="000A2A2B" w:rsidRPr="007C3060" w:rsidRDefault="000A2A2B" w:rsidP="007C3060">
            <w:r w:rsidRPr="007C3060">
              <w:t>14 550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3CB732" w14:textId="77777777" w:rsidR="000A2A2B" w:rsidRPr="007C3060" w:rsidRDefault="000A2A2B" w:rsidP="007C3060">
            <w:r w:rsidRPr="007C3060">
              <w:t>2 684 447</w:t>
            </w:r>
          </w:p>
        </w:tc>
      </w:tr>
      <w:tr w:rsidR="004B729E" w:rsidRPr="007C3060" w14:paraId="7D5E683B"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7536B6D4" w14:textId="77777777" w:rsidR="000A2A2B" w:rsidRPr="007C3060" w:rsidRDefault="000A2A2B" w:rsidP="007C3060"/>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4F10D9C7" w14:textId="77777777" w:rsidR="000A2A2B" w:rsidRPr="007C3060" w:rsidRDefault="000A2A2B" w:rsidP="007C3060">
            <w:r w:rsidRPr="007C3060">
              <w:t>72</w:t>
            </w:r>
          </w:p>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47F7D62" w14:textId="77777777" w:rsidR="000A2A2B" w:rsidRPr="007C3060" w:rsidRDefault="000A2A2B" w:rsidP="007C3060">
            <w:r w:rsidRPr="007C3060">
              <w:t xml:space="preserve">Basisbevilgning Helse Sør-Øst RHF </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9FA0D7E" w14:textId="77777777" w:rsidR="000A2A2B" w:rsidRPr="007C3060" w:rsidRDefault="000A2A2B" w:rsidP="007C3060">
            <w:r w:rsidRPr="007C3060">
              <w:t>88 215 193</w:t>
            </w:r>
          </w:p>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8E45C09" w14:textId="77777777" w:rsidR="000A2A2B" w:rsidRPr="007C3060" w:rsidRDefault="000A2A2B" w:rsidP="007C3060">
            <w:r w:rsidRPr="007C3060">
              <w:t>-</w:t>
            </w:r>
          </w:p>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BABA71F" w14:textId="77777777" w:rsidR="000A2A2B" w:rsidRPr="007C3060" w:rsidRDefault="000A2A2B" w:rsidP="007C3060">
            <w:r w:rsidRPr="007C3060">
              <w:t>-7 100</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3375903" w14:textId="77777777" w:rsidR="000A2A2B" w:rsidRPr="007C3060" w:rsidRDefault="000A2A2B" w:rsidP="007C3060">
            <w:r w:rsidRPr="007C3060">
              <w:t>88 208 093</w:t>
            </w:r>
          </w:p>
        </w:tc>
      </w:tr>
      <w:tr w:rsidR="004B729E" w:rsidRPr="007C3060" w14:paraId="0DC5BA8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9D19CB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975FE02"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9E7149" w14:textId="77777777" w:rsidR="000A2A2B" w:rsidRPr="007C3060" w:rsidRDefault="000A2A2B" w:rsidP="007C3060">
            <w:r w:rsidRPr="007C3060">
              <w:t xml:space="preserve">Basisbevilgning Helse Vest RHF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6CE033" w14:textId="77777777" w:rsidR="000A2A2B" w:rsidRPr="007C3060" w:rsidRDefault="000A2A2B" w:rsidP="007C3060">
            <w:r w:rsidRPr="007C3060">
              <w:t>31 097 884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E1E6E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643F13" w14:textId="77777777" w:rsidR="000A2A2B" w:rsidRPr="007C3060" w:rsidRDefault="000A2A2B" w:rsidP="007C3060">
            <w:r w:rsidRPr="007C3060">
              <w:t>-2 600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D4B237" w14:textId="77777777" w:rsidR="000A2A2B" w:rsidRPr="007C3060" w:rsidRDefault="000A2A2B" w:rsidP="007C3060">
            <w:r w:rsidRPr="007C3060">
              <w:t>31 095 284</w:t>
            </w:r>
          </w:p>
        </w:tc>
      </w:tr>
      <w:tr w:rsidR="004B729E" w:rsidRPr="007C3060" w14:paraId="0E60274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592938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331A55E" w14:textId="77777777" w:rsidR="000A2A2B" w:rsidRPr="007C3060" w:rsidRDefault="000A2A2B" w:rsidP="007C3060">
            <w:r w:rsidRPr="007C306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A1B108" w14:textId="77777777" w:rsidR="000A2A2B" w:rsidRPr="007C3060" w:rsidRDefault="000A2A2B" w:rsidP="007C3060">
            <w:r w:rsidRPr="007C3060">
              <w:t xml:space="preserve">Basisbevilgning Helse Midt-Norge RHF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116E5A" w14:textId="77777777" w:rsidR="000A2A2B" w:rsidRPr="007C3060" w:rsidRDefault="000A2A2B" w:rsidP="007C3060">
            <w:r w:rsidRPr="007C3060">
              <w:t>22 965 665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C342A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E08684" w14:textId="77777777" w:rsidR="000A2A2B" w:rsidRPr="007C3060" w:rsidRDefault="000A2A2B" w:rsidP="007C3060">
            <w:r w:rsidRPr="007C3060">
              <w:t>-1 900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953005" w14:textId="77777777" w:rsidR="000A2A2B" w:rsidRPr="007C3060" w:rsidRDefault="000A2A2B" w:rsidP="007C3060">
            <w:r w:rsidRPr="007C3060">
              <w:t>22 963 765</w:t>
            </w:r>
          </w:p>
        </w:tc>
      </w:tr>
      <w:tr w:rsidR="004B729E" w:rsidRPr="007C3060" w14:paraId="6174832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9CEB0C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9604C56" w14:textId="77777777" w:rsidR="000A2A2B" w:rsidRPr="007C3060" w:rsidRDefault="000A2A2B" w:rsidP="007C3060">
            <w:r w:rsidRPr="007C306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5D3FC1" w14:textId="77777777" w:rsidR="000A2A2B" w:rsidRPr="007C3060" w:rsidRDefault="000A2A2B" w:rsidP="007C3060">
            <w:r w:rsidRPr="007C3060">
              <w:t xml:space="preserve">Basisbevilgning Helse Nord RHF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63B804" w14:textId="77777777" w:rsidR="000A2A2B" w:rsidRPr="007C3060" w:rsidRDefault="000A2A2B" w:rsidP="007C3060">
            <w:r w:rsidRPr="007C3060">
              <w:t>19 508 851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97305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257C79" w14:textId="77777777" w:rsidR="000A2A2B" w:rsidRPr="007C3060" w:rsidRDefault="000A2A2B" w:rsidP="007C3060">
            <w:r w:rsidRPr="007C3060">
              <w:t>-1 600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252120" w14:textId="77777777" w:rsidR="000A2A2B" w:rsidRPr="007C3060" w:rsidRDefault="000A2A2B" w:rsidP="007C3060">
            <w:r w:rsidRPr="007C3060">
              <w:t>19 507 251</w:t>
            </w:r>
          </w:p>
        </w:tc>
      </w:tr>
      <w:tr w:rsidR="004B729E" w:rsidRPr="007C3060" w14:paraId="3CFD8A9B"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DD7F6F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12A1102" w14:textId="77777777" w:rsidR="000A2A2B" w:rsidRPr="007C3060" w:rsidRDefault="000A2A2B" w:rsidP="007C3060">
            <w:r w:rsidRPr="007C306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DB6B2A" w14:textId="2C34EA43" w:rsidR="000A2A2B" w:rsidRPr="007C3060" w:rsidRDefault="000A2A2B" w:rsidP="007C3060">
            <w:r w:rsidRPr="007C3060">
              <w:t xml:space="preserve">Innsatsstyrt finansiering,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AB2AC2" w14:textId="77777777" w:rsidR="000A2A2B" w:rsidRPr="007C3060" w:rsidRDefault="000A2A2B" w:rsidP="007C3060">
            <w:r w:rsidRPr="007C3060">
              <w:t>32 080 562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94421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B88909" w14:textId="77777777" w:rsidR="000A2A2B" w:rsidRPr="007C3060" w:rsidRDefault="000A2A2B" w:rsidP="007C3060">
            <w:r w:rsidRPr="007C3060">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6DCA7B" w14:textId="77777777" w:rsidR="000A2A2B" w:rsidRPr="007C3060" w:rsidRDefault="000A2A2B" w:rsidP="007C3060">
            <w:r w:rsidRPr="007C3060">
              <w:t>32 085 562</w:t>
            </w:r>
          </w:p>
        </w:tc>
      </w:tr>
      <w:tr w:rsidR="004B729E" w:rsidRPr="007C3060" w14:paraId="4973ACD3"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5BB1F7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6B228A9" w14:textId="77777777" w:rsidR="000A2A2B" w:rsidRPr="007C3060" w:rsidRDefault="000A2A2B" w:rsidP="007C3060">
            <w:r w:rsidRPr="007C3060">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CEC9D8" w14:textId="050BD600" w:rsidR="000A2A2B" w:rsidRPr="007C3060" w:rsidRDefault="000A2A2B" w:rsidP="007C3060">
            <w:r w:rsidRPr="007C3060">
              <w:t xml:space="preserve">Laboratorie- og radiologiske undersøkelser,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220CE8" w14:textId="77777777" w:rsidR="000A2A2B" w:rsidRPr="007C3060" w:rsidRDefault="000A2A2B" w:rsidP="007C3060">
            <w:r w:rsidRPr="007C3060">
              <w:t>4 462 863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55E4E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3BCD88" w14:textId="77777777" w:rsidR="000A2A2B" w:rsidRPr="007C3060" w:rsidRDefault="000A2A2B" w:rsidP="007C3060">
            <w:r w:rsidRPr="007C3060">
              <w:t>867 000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48C327" w14:textId="77777777" w:rsidR="000A2A2B" w:rsidRPr="007C3060" w:rsidRDefault="000A2A2B" w:rsidP="007C3060">
            <w:r w:rsidRPr="007C3060">
              <w:t>5 329 863</w:t>
            </w:r>
          </w:p>
        </w:tc>
      </w:tr>
      <w:tr w:rsidR="004B729E" w:rsidRPr="007C3060" w14:paraId="4A25365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5B9E5A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7AC310C" w14:textId="77777777" w:rsidR="000A2A2B" w:rsidRPr="007C3060" w:rsidRDefault="000A2A2B" w:rsidP="007C3060">
            <w:r w:rsidRPr="007C3060">
              <w:t>86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E2A374" w14:textId="77777777" w:rsidR="000A2A2B" w:rsidRPr="007C3060" w:rsidRDefault="000A2A2B" w:rsidP="007C3060">
            <w:r w:rsidRPr="007C3060">
              <w:t xml:space="preserve">Driftskreditter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A569FD" w14:textId="77777777" w:rsidR="000A2A2B" w:rsidRPr="007C3060" w:rsidRDefault="000A2A2B" w:rsidP="007C3060">
            <w:r w:rsidRPr="007C3060">
              <w:t>6 468 000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DFE86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E28013" w14:textId="77777777" w:rsidR="000A2A2B" w:rsidRPr="007C3060" w:rsidRDefault="000A2A2B" w:rsidP="007C3060">
            <w:r w:rsidRPr="007C3060">
              <w:t>-6 390 000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57FA2D" w14:textId="77777777" w:rsidR="000A2A2B" w:rsidRPr="007C3060" w:rsidRDefault="000A2A2B" w:rsidP="007C3060">
            <w:r w:rsidRPr="007C3060">
              <w:t>78 000</w:t>
            </w:r>
          </w:p>
        </w:tc>
      </w:tr>
      <w:tr w:rsidR="004B729E" w:rsidRPr="007C3060" w14:paraId="504DFE2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0A25E9C" w14:textId="77777777" w:rsidR="000A2A2B" w:rsidRPr="007C3060" w:rsidRDefault="000A2A2B" w:rsidP="007C3060">
            <w:r w:rsidRPr="007C3060">
              <w:t>740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0142E9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4CE964" w14:textId="77777777" w:rsidR="000A2A2B" w:rsidRPr="007C3060" w:rsidRDefault="000A2A2B" w:rsidP="007C3060">
            <w:r w:rsidRPr="007C3060">
              <w:t>Helsedirektoratet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A28F8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69CF1E"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3B82E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197298" w14:textId="77777777" w:rsidR="000A2A2B" w:rsidRPr="007C3060" w:rsidRDefault="000A2A2B" w:rsidP="007C3060"/>
        </w:tc>
      </w:tr>
      <w:tr w:rsidR="004B729E" w:rsidRPr="007C3060" w14:paraId="04D3B5E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B1CA65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5272974"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6E4804"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CDAB79" w14:textId="77777777" w:rsidR="000A2A2B" w:rsidRPr="007C3060" w:rsidRDefault="000A2A2B" w:rsidP="007C3060">
            <w:r w:rsidRPr="007C3060">
              <w:t>1 591 294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38420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4B1216" w14:textId="77777777" w:rsidR="000A2A2B" w:rsidRPr="007C3060" w:rsidRDefault="000A2A2B" w:rsidP="007C3060">
            <w:r w:rsidRPr="007C3060">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01D19F" w14:textId="77777777" w:rsidR="000A2A2B" w:rsidRPr="007C3060" w:rsidRDefault="000A2A2B" w:rsidP="007C3060">
            <w:r w:rsidRPr="007C3060">
              <w:t>1 592 294</w:t>
            </w:r>
          </w:p>
        </w:tc>
      </w:tr>
      <w:tr w:rsidR="004B729E" w:rsidRPr="007C3060" w14:paraId="4E6A586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8F5289E" w14:textId="77777777" w:rsidR="000A2A2B" w:rsidRPr="007C3060" w:rsidRDefault="000A2A2B" w:rsidP="007C3060">
            <w:r w:rsidRPr="007C3060">
              <w:t>745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02411D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CE044F" w14:textId="77777777" w:rsidR="000A2A2B" w:rsidRPr="007C3060" w:rsidRDefault="000A2A2B" w:rsidP="007C3060">
            <w:r w:rsidRPr="007C3060">
              <w:t>Folkehelseinstituttet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8806F2"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7F354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2B309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F4839F" w14:textId="77777777" w:rsidR="000A2A2B" w:rsidRPr="007C3060" w:rsidRDefault="000A2A2B" w:rsidP="007C3060"/>
        </w:tc>
      </w:tr>
      <w:tr w:rsidR="004B729E" w:rsidRPr="007C3060" w14:paraId="0818D3E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0CD777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56D4EEC"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799824"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CE5FD8" w14:textId="77777777" w:rsidR="000A2A2B" w:rsidRPr="007C3060" w:rsidRDefault="000A2A2B" w:rsidP="007C3060">
            <w:r w:rsidRPr="007C3060">
              <w:t>1 604 933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3F8EE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59040F" w14:textId="77777777" w:rsidR="000A2A2B" w:rsidRPr="007C3060" w:rsidRDefault="000A2A2B" w:rsidP="007C3060">
            <w:r w:rsidRPr="007C3060">
              <w:t>-56 800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FDA7BC" w14:textId="77777777" w:rsidR="000A2A2B" w:rsidRPr="007C3060" w:rsidRDefault="000A2A2B" w:rsidP="007C3060">
            <w:r w:rsidRPr="007C3060">
              <w:t>1 548 133</w:t>
            </w:r>
          </w:p>
        </w:tc>
      </w:tr>
      <w:tr w:rsidR="004B729E" w:rsidRPr="007C3060" w14:paraId="20A2E28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B86217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3BE457F"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7CD142"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74ACB1" w14:textId="77777777" w:rsidR="000A2A2B" w:rsidRPr="007C3060" w:rsidRDefault="000A2A2B" w:rsidP="007C3060">
            <w:r w:rsidRPr="007C3060">
              <w:t>182 219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11C25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5A4F3D" w14:textId="77777777" w:rsidR="000A2A2B" w:rsidRPr="007C3060" w:rsidRDefault="000A2A2B" w:rsidP="007C3060">
            <w:r w:rsidRPr="007C3060">
              <w:t>102 800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9EAEC0" w14:textId="77777777" w:rsidR="000A2A2B" w:rsidRPr="007C3060" w:rsidRDefault="000A2A2B" w:rsidP="007C3060">
            <w:r w:rsidRPr="007C3060">
              <w:t>285 019</w:t>
            </w:r>
          </w:p>
        </w:tc>
      </w:tr>
      <w:tr w:rsidR="004B729E" w:rsidRPr="007C3060" w14:paraId="4B56177C"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3DA1D28" w14:textId="77777777" w:rsidR="000A2A2B" w:rsidRPr="007C3060" w:rsidRDefault="000A2A2B" w:rsidP="007C3060">
            <w:r w:rsidRPr="007C3060">
              <w:t>747</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19D4A85"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4092A2" w14:textId="321D6051" w:rsidR="000A2A2B" w:rsidRPr="007C3060" w:rsidRDefault="000A2A2B" w:rsidP="007C3060">
            <w:r w:rsidRPr="007C3060">
              <w:t>Direktoratet for strålevern og atomsikkerhet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45FACF"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B3D81E"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76AAE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8715A5" w14:textId="77777777" w:rsidR="000A2A2B" w:rsidRPr="007C3060" w:rsidRDefault="000A2A2B" w:rsidP="007C3060"/>
        </w:tc>
      </w:tr>
      <w:tr w:rsidR="004B729E" w:rsidRPr="007C3060" w14:paraId="5FA62C9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0CFC0E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D27EAA7"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620439"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48ECC6" w14:textId="77777777" w:rsidR="000A2A2B" w:rsidRPr="007C3060" w:rsidRDefault="000A2A2B" w:rsidP="007C3060">
            <w:r w:rsidRPr="007C3060">
              <w:t>204 085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B061A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A07D38" w14:textId="77777777" w:rsidR="000A2A2B" w:rsidRPr="007C3060" w:rsidRDefault="000A2A2B" w:rsidP="007C3060">
            <w:r w:rsidRPr="007C3060">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F0B6EB" w14:textId="77777777" w:rsidR="000A2A2B" w:rsidRPr="007C3060" w:rsidRDefault="000A2A2B" w:rsidP="007C3060">
            <w:r w:rsidRPr="007C3060">
              <w:t>207 085</w:t>
            </w:r>
          </w:p>
        </w:tc>
      </w:tr>
      <w:tr w:rsidR="004B729E" w:rsidRPr="007C3060" w14:paraId="6C769A7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50960D2" w14:textId="77777777" w:rsidR="000A2A2B" w:rsidRPr="007C3060" w:rsidRDefault="000A2A2B" w:rsidP="007C3060">
            <w:r w:rsidRPr="007C3060">
              <w:t>748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3D4021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616090" w14:textId="77777777" w:rsidR="000A2A2B" w:rsidRPr="007C3060" w:rsidRDefault="000A2A2B" w:rsidP="007C3060">
            <w:r w:rsidRPr="007C3060">
              <w:t>Statens helsetilsyn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C221DF"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9A2C45"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A13F1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FF1286" w14:textId="77777777" w:rsidR="000A2A2B" w:rsidRPr="007C3060" w:rsidRDefault="000A2A2B" w:rsidP="007C3060"/>
        </w:tc>
      </w:tr>
      <w:tr w:rsidR="004B729E" w:rsidRPr="007C3060" w14:paraId="32F12AC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D107D6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CA7BED9"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5149EB"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8DBA53" w14:textId="77777777" w:rsidR="000A2A2B" w:rsidRPr="007C3060" w:rsidRDefault="000A2A2B" w:rsidP="007C3060">
            <w:r w:rsidRPr="007C3060">
              <w:t>11 000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31E8F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C2BA92" w14:textId="77777777" w:rsidR="000A2A2B" w:rsidRPr="007C3060" w:rsidRDefault="000A2A2B" w:rsidP="007C3060">
            <w:r w:rsidRPr="007C3060">
              <w:t>7 500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7C5C63" w14:textId="77777777" w:rsidR="000A2A2B" w:rsidRPr="007C3060" w:rsidRDefault="000A2A2B" w:rsidP="007C3060">
            <w:r w:rsidRPr="007C3060">
              <w:t>18 500</w:t>
            </w:r>
          </w:p>
        </w:tc>
      </w:tr>
      <w:tr w:rsidR="004B729E" w:rsidRPr="007C3060" w14:paraId="5764457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90365B7" w14:textId="77777777" w:rsidR="000A2A2B" w:rsidRPr="007C3060" w:rsidRDefault="000A2A2B" w:rsidP="007C3060">
            <w:r w:rsidRPr="007C3060">
              <w:t>760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262119F"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4AC911" w14:textId="77777777" w:rsidR="000A2A2B" w:rsidRPr="007C3060" w:rsidRDefault="000A2A2B" w:rsidP="007C3060">
            <w:r w:rsidRPr="007C3060">
              <w:t>Kommunale helse- og omsorgstjenester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1075E2"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87175F"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98812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9FE014" w14:textId="77777777" w:rsidR="000A2A2B" w:rsidRPr="007C3060" w:rsidRDefault="000A2A2B" w:rsidP="007C3060"/>
        </w:tc>
      </w:tr>
      <w:tr w:rsidR="004B729E" w:rsidRPr="007C3060" w14:paraId="4784930C"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CC9DD2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7359209"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302295" w14:textId="2C04E49C" w:rsidR="000A2A2B" w:rsidRPr="007C3060" w:rsidRDefault="000A2A2B" w:rsidP="007C3060">
            <w:r w:rsidRPr="007C3060">
              <w:t xml:space="preserve">Spesielle driftsutgifter, </w:t>
            </w:r>
            <w:r w:rsidRPr="007C3060">
              <w:rPr>
                <w:rStyle w:val="kursiv"/>
              </w:rPr>
              <w:t>kan nyttes under postene 70 og 71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AB9AA0" w14:textId="77777777" w:rsidR="000A2A2B" w:rsidRPr="007C3060" w:rsidRDefault="000A2A2B" w:rsidP="007C3060">
            <w:r w:rsidRPr="007C3060">
              <w:t>419 911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57C69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69655F" w14:textId="77777777" w:rsidR="000A2A2B" w:rsidRPr="007C3060" w:rsidRDefault="000A2A2B" w:rsidP="007C3060">
            <w:r w:rsidRPr="007C3060">
              <w:t>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62A5EF" w14:textId="77777777" w:rsidR="000A2A2B" w:rsidRPr="007C3060" w:rsidRDefault="000A2A2B" w:rsidP="007C3060">
            <w:r w:rsidRPr="007C3060">
              <w:t>439 911</w:t>
            </w:r>
          </w:p>
        </w:tc>
      </w:tr>
      <w:tr w:rsidR="004B729E" w:rsidRPr="007C3060" w14:paraId="0E26DFA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40A094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013B5EC" w14:textId="77777777" w:rsidR="000A2A2B" w:rsidRPr="007C3060" w:rsidRDefault="000A2A2B" w:rsidP="007C3060">
            <w:r w:rsidRPr="007C306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370E9B" w14:textId="77777777" w:rsidR="000A2A2B" w:rsidRPr="007C3060" w:rsidRDefault="000A2A2B" w:rsidP="007C3060">
            <w:r w:rsidRPr="007C3060">
              <w:t xml:space="preserve">Kompetanse, rekruttering og innovasjon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380B0E" w14:textId="77777777" w:rsidR="000A2A2B" w:rsidRPr="007C3060" w:rsidRDefault="000A2A2B" w:rsidP="007C3060">
            <w:r w:rsidRPr="007C3060">
              <w:t>1 267 302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0CDB2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400A15" w14:textId="77777777" w:rsidR="000A2A2B" w:rsidRPr="007C3060" w:rsidRDefault="000A2A2B" w:rsidP="007C3060">
            <w:r w:rsidRPr="007C3060">
              <w:t>17 000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CFBA31" w14:textId="77777777" w:rsidR="000A2A2B" w:rsidRPr="007C3060" w:rsidRDefault="000A2A2B" w:rsidP="007C3060">
            <w:r w:rsidRPr="007C3060">
              <w:t>1 284 302</w:t>
            </w:r>
          </w:p>
        </w:tc>
      </w:tr>
      <w:tr w:rsidR="004B729E" w:rsidRPr="007C3060" w14:paraId="4C4993F3"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045F4BF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6F1CF9E" w14:textId="77777777" w:rsidR="000A2A2B" w:rsidRPr="007C3060" w:rsidRDefault="000A2A2B" w:rsidP="007C3060">
            <w:r w:rsidRPr="007C3060">
              <w:t>63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B6C388" w14:textId="77777777" w:rsidR="000A2A2B" w:rsidRPr="007C3060" w:rsidRDefault="000A2A2B" w:rsidP="007C3060">
            <w:r w:rsidRPr="007C3060">
              <w:t xml:space="preserve">Investeringstilskudd til heldøgns -omsorgsplasser,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77F7CC" w14:textId="77777777" w:rsidR="000A2A2B" w:rsidRPr="007C3060" w:rsidRDefault="000A2A2B" w:rsidP="007C3060">
            <w:r w:rsidRPr="007C3060">
              <w:t>2 323 970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6A1A3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7C5FEE" w14:textId="77777777" w:rsidR="000A2A2B" w:rsidRPr="007C3060" w:rsidRDefault="000A2A2B" w:rsidP="007C3060">
            <w:r w:rsidRPr="007C3060">
              <w:t>-194 000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793741" w14:textId="77777777" w:rsidR="000A2A2B" w:rsidRPr="007C3060" w:rsidRDefault="000A2A2B" w:rsidP="007C3060">
            <w:r w:rsidRPr="007C3060">
              <w:t>2 129 970</w:t>
            </w:r>
          </w:p>
        </w:tc>
      </w:tr>
      <w:tr w:rsidR="004B729E" w:rsidRPr="007C3060" w14:paraId="3604871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DBDBB3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2C473C4"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99FBEC" w14:textId="77777777" w:rsidR="000A2A2B" w:rsidRPr="007C3060" w:rsidRDefault="000A2A2B" w:rsidP="007C3060">
            <w:r w:rsidRPr="007C3060">
              <w:t xml:space="preserve">Tilskudd, </w:t>
            </w:r>
            <w:r w:rsidRPr="007C3060">
              <w:rPr>
                <w:rStyle w:val="kursiv"/>
              </w:rPr>
              <w:t>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625EC7" w14:textId="77777777" w:rsidR="000A2A2B" w:rsidRPr="007C3060" w:rsidRDefault="000A2A2B" w:rsidP="007C3060">
            <w:r w:rsidRPr="007C3060">
              <w:t>378 705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DAF48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E398D1" w14:textId="77777777" w:rsidR="000A2A2B" w:rsidRPr="007C3060" w:rsidRDefault="000A2A2B" w:rsidP="007C3060">
            <w:r w:rsidRPr="007C3060">
              <w:t>-8 800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6A3F1F" w14:textId="77777777" w:rsidR="000A2A2B" w:rsidRPr="007C3060" w:rsidRDefault="000A2A2B" w:rsidP="007C3060">
            <w:r w:rsidRPr="007C3060">
              <w:t>369 905</w:t>
            </w:r>
          </w:p>
        </w:tc>
      </w:tr>
      <w:tr w:rsidR="004B729E" w:rsidRPr="007C3060" w14:paraId="2F905B3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6C0514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AFBFB25"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DEA42B" w14:textId="77777777" w:rsidR="000A2A2B" w:rsidRPr="007C3060" w:rsidRDefault="000A2A2B" w:rsidP="007C3060">
            <w:r w:rsidRPr="007C3060">
              <w:t xml:space="preserve">Kompetanse-, forsknings- og rekrutteringstiltak, </w:t>
            </w:r>
            <w:r w:rsidRPr="007C3060">
              <w:rPr>
                <w:rStyle w:val="kursiv"/>
              </w:rPr>
              <w:t>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4CC47D" w14:textId="77777777" w:rsidR="000A2A2B" w:rsidRPr="007C3060" w:rsidRDefault="000A2A2B" w:rsidP="007C3060">
            <w:r w:rsidRPr="007C3060">
              <w:t>224 368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1AB21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2F35E2"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32FFE9" w14:textId="77777777" w:rsidR="000A2A2B" w:rsidRPr="007C3060" w:rsidRDefault="000A2A2B" w:rsidP="007C3060">
            <w:r w:rsidRPr="007C3060">
              <w:t>234 368</w:t>
            </w:r>
          </w:p>
        </w:tc>
      </w:tr>
      <w:tr w:rsidR="004B729E" w:rsidRPr="007C3060" w14:paraId="11C5429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00766ED" w14:textId="77777777" w:rsidR="000A2A2B" w:rsidRPr="007C3060" w:rsidRDefault="000A2A2B" w:rsidP="007C3060">
            <w:r w:rsidRPr="007C3060">
              <w:t>765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704832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28BFC5" w14:textId="77777777" w:rsidR="000A2A2B" w:rsidRPr="007C3060" w:rsidRDefault="000A2A2B" w:rsidP="007C3060">
            <w:r w:rsidRPr="007C3060">
              <w:t>Psykisk helse, rus og vold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51B66B"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CFF625"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22CA0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AD2730" w14:textId="77777777" w:rsidR="000A2A2B" w:rsidRPr="007C3060" w:rsidRDefault="000A2A2B" w:rsidP="007C3060"/>
        </w:tc>
      </w:tr>
      <w:tr w:rsidR="004B729E" w:rsidRPr="007C3060" w14:paraId="176215DE"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7977E4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9D36BB0"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D7243D" w14:textId="52C2FEB3" w:rsidR="000A2A2B" w:rsidRPr="007C3060" w:rsidRDefault="000A2A2B" w:rsidP="007C3060">
            <w:r w:rsidRPr="007C3060">
              <w:t xml:space="preserve">Spesielle driftsutgifter, </w:t>
            </w:r>
            <w:r w:rsidRPr="007C3060">
              <w:rPr>
                <w:rStyle w:val="kursiv"/>
              </w:rPr>
              <w:t>kan overføres, kan nyttes under post 72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96282D" w14:textId="77777777" w:rsidR="000A2A2B" w:rsidRPr="007C3060" w:rsidRDefault="000A2A2B" w:rsidP="007C3060">
            <w:r w:rsidRPr="007C3060">
              <w:t>193 147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90357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5FFE62" w14:textId="77777777" w:rsidR="000A2A2B" w:rsidRPr="007C3060" w:rsidRDefault="000A2A2B" w:rsidP="007C3060">
            <w:r w:rsidRPr="007C3060">
              <w:t>-9 000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AEBBA9" w14:textId="77777777" w:rsidR="000A2A2B" w:rsidRPr="007C3060" w:rsidRDefault="000A2A2B" w:rsidP="007C3060">
            <w:r w:rsidRPr="007C3060">
              <w:t>184 147</w:t>
            </w:r>
          </w:p>
        </w:tc>
      </w:tr>
      <w:tr w:rsidR="004B729E" w:rsidRPr="007C3060" w14:paraId="6F33397D"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8EDA67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017DB47"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440789" w14:textId="1DB2048D" w:rsidR="000A2A2B" w:rsidRPr="007C3060" w:rsidRDefault="000A2A2B" w:rsidP="007C3060">
            <w:r w:rsidRPr="007C3060">
              <w:t xml:space="preserve">Frivillig arbeid mv., </w:t>
            </w:r>
            <w:r w:rsidRPr="007C3060">
              <w:rPr>
                <w:rStyle w:val="kursiv"/>
              </w:rPr>
              <w:t>kan overføres, 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E1FD51" w14:textId="77777777" w:rsidR="000A2A2B" w:rsidRPr="007C3060" w:rsidRDefault="000A2A2B" w:rsidP="007C3060">
            <w:r w:rsidRPr="007C3060">
              <w:t>612 737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BFF1A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A67CB8" w14:textId="77777777" w:rsidR="000A2A2B" w:rsidRPr="007C3060" w:rsidRDefault="000A2A2B" w:rsidP="007C3060">
            <w:r w:rsidRPr="007C3060">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0B6BCC" w14:textId="77777777" w:rsidR="000A2A2B" w:rsidRPr="007C3060" w:rsidRDefault="000A2A2B" w:rsidP="007C3060">
            <w:r w:rsidRPr="007C3060">
              <w:t>609 737</w:t>
            </w:r>
          </w:p>
        </w:tc>
      </w:tr>
      <w:tr w:rsidR="004B729E" w:rsidRPr="007C3060" w14:paraId="6E8C888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B315C1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FA66C37" w14:textId="77777777" w:rsidR="000A2A2B" w:rsidRPr="007C3060" w:rsidRDefault="000A2A2B" w:rsidP="007C3060">
            <w:r w:rsidRPr="007C306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926AF9" w14:textId="77777777" w:rsidR="000A2A2B" w:rsidRPr="007C3060" w:rsidRDefault="000A2A2B" w:rsidP="007C3060">
            <w:r w:rsidRPr="007C3060">
              <w:t xml:space="preserve">Kompetansesentre,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1EA901" w14:textId="77777777" w:rsidR="000A2A2B" w:rsidRPr="007C3060" w:rsidRDefault="000A2A2B" w:rsidP="007C3060">
            <w:r w:rsidRPr="007C3060">
              <w:t>404 875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4636F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B7BD5B" w14:textId="77777777" w:rsidR="000A2A2B" w:rsidRPr="007C3060" w:rsidRDefault="000A2A2B" w:rsidP="007C3060">
            <w:r w:rsidRPr="007C3060">
              <w:t>2 500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E8302A" w14:textId="77777777" w:rsidR="000A2A2B" w:rsidRPr="007C3060" w:rsidRDefault="000A2A2B" w:rsidP="007C3060">
            <w:r w:rsidRPr="007C3060">
              <w:t>407 375</w:t>
            </w:r>
          </w:p>
        </w:tc>
      </w:tr>
      <w:tr w:rsidR="004B729E" w:rsidRPr="007C3060" w14:paraId="6825536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05DC77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8BA9505" w14:textId="77777777" w:rsidR="000A2A2B" w:rsidRPr="007C3060" w:rsidRDefault="000A2A2B" w:rsidP="007C3060">
            <w:r w:rsidRPr="007C306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F3CAC4" w14:textId="77777777" w:rsidR="000A2A2B" w:rsidRPr="007C3060" w:rsidRDefault="000A2A2B" w:rsidP="007C3060">
            <w:r w:rsidRPr="007C3060">
              <w:t xml:space="preserve">Vold og traumatisk stress,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B694E5" w14:textId="77777777" w:rsidR="000A2A2B" w:rsidRPr="007C3060" w:rsidRDefault="000A2A2B" w:rsidP="007C3060">
            <w:r w:rsidRPr="007C3060">
              <w:t>308 459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7B114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527C7A" w14:textId="77777777" w:rsidR="000A2A2B" w:rsidRPr="007C3060" w:rsidRDefault="000A2A2B" w:rsidP="007C3060">
            <w:r w:rsidRPr="007C3060">
              <w:t>1 500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7E2A31" w14:textId="77777777" w:rsidR="000A2A2B" w:rsidRPr="007C3060" w:rsidRDefault="000A2A2B" w:rsidP="007C3060">
            <w:r w:rsidRPr="007C3060">
              <w:t>309 959</w:t>
            </w:r>
          </w:p>
        </w:tc>
      </w:tr>
      <w:tr w:rsidR="004B729E" w:rsidRPr="007C3060" w14:paraId="680F52A7"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7AFE23DB" w14:textId="77777777" w:rsidR="000A2A2B" w:rsidRPr="007C3060" w:rsidRDefault="000A2A2B" w:rsidP="007C3060">
            <w:r w:rsidRPr="007C3060">
              <w:t>770</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02B28FA9"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73DE6B1" w14:textId="77777777" w:rsidR="000A2A2B" w:rsidRPr="007C3060" w:rsidRDefault="000A2A2B" w:rsidP="007C3060">
            <w:r w:rsidRPr="007C3060">
              <w:t>Tannhelsetjenester</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CC7D2CB"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8EE92F5"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3889958"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A6FA4BA" w14:textId="77777777" w:rsidR="000A2A2B" w:rsidRPr="007C3060" w:rsidRDefault="000A2A2B" w:rsidP="007C3060"/>
        </w:tc>
      </w:tr>
      <w:tr w:rsidR="004B729E" w:rsidRPr="007C3060" w14:paraId="162F488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EE2BDC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B96CDA9"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5CB4D7" w14:textId="516561CC" w:rsidR="000A2A2B" w:rsidRPr="007C3060" w:rsidRDefault="000A2A2B" w:rsidP="007C3060">
            <w:r w:rsidRPr="007C3060">
              <w:t xml:space="preserve">Spesielle driftsutgifter, </w:t>
            </w:r>
            <w:r w:rsidRPr="007C3060">
              <w:rPr>
                <w:rStyle w:val="kursiv"/>
              </w:rPr>
              <w:t>kan overføres,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92A440" w14:textId="77777777" w:rsidR="000A2A2B" w:rsidRPr="007C3060" w:rsidRDefault="000A2A2B" w:rsidP="007C3060">
            <w:r w:rsidRPr="007C3060">
              <w:t>6 255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B406B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73522E" w14:textId="77777777" w:rsidR="000A2A2B" w:rsidRPr="007C3060" w:rsidRDefault="000A2A2B" w:rsidP="007C3060">
            <w:r w:rsidRPr="007C3060">
              <w:t>-2 500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24A088" w14:textId="77777777" w:rsidR="000A2A2B" w:rsidRPr="007C3060" w:rsidRDefault="000A2A2B" w:rsidP="007C3060">
            <w:r w:rsidRPr="007C3060">
              <w:t>3 755</w:t>
            </w:r>
          </w:p>
        </w:tc>
      </w:tr>
      <w:tr w:rsidR="004B729E" w:rsidRPr="007C3060" w14:paraId="6601C57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EFDB1E4" w14:textId="77777777" w:rsidR="000A2A2B" w:rsidRPr="007C3060" w:rsidRDefault="000A2A2B" w:rsidP="007C3060">
            <w:r w:rsidRPr="007C3060">
              <w:t>780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59E4BA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C9E924" w14:textId="77777777" w:rsidR="000A2A2B" w:rsidRPr="007C3060" w:rsidRDefault="000A2A2B" w:rsidP="007C3060">
            <w:r w:rsidRPr="007C3060">
              <w:t>Forskning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01D3E2"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2A5BB7"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0D7AC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2C3BE0" w14:textId="77777777" w:rsidR="000A2A2B" w:rsidRPr="007C3060" w:rsidRDefault="000A2A2B" w:rsidP="007C3060"/>
        </w:tc>
      </w:tr>
      <w:tr w:rsidR="004B729E" w:rsidRPr="007C3060" w14:paraId="4EEDC30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D01057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B3BE958"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73AE83" w14:textId="77777777" w:rsidR="000A2A2B" w:rsidRPr="007C3060" w:rsidRDefault="000A2A2B" w:rsidP="007C3060">
            <w:r w:rsidRPr="007C3060">
              <w:t xml:space="preserve">Norges forskningsråd,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FA8D64" w14:textId="77777777" w:rsidR="000A2A2B" w:rsidRPr="007C3060" w:rsidRDefault="000A2A2B" w:rsidP="007C3060">
            <w:r w:rsidRPr="007C3060">
              <w:t>428 812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0EF8D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6D1CD5" w14:textId="77777777" w:rsidR="000A2A2B" w:rsidRPr="007C3060" w:rsidRDefault="000A2A2B" w:rsidP="007C3060">
            <w:r w:rsidRPr="007C3060">
              <w:t>35 700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F7F137" w14:textId="77777777" w:rsidR="000A2A2B" w:rsidRPr="007C3060" w:rsidRDefault="000A2A2B" w:rsidP="007C3060">
            <w:r w:rsidRPr="007C3060">
              <w:t>464 512</w:t>
            </w:r>
          </w:p>
        </w:tc>
      </w:tr>
      <w:tr w:rsidR="004B729E" w:rsidRPr="007C3060" w14:paraId="46908E3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25F49FF" w14:textId="77777777" w:rsidR="000A2A2B" w:rsidRPr="007C3060" w:rsidRDefault="000A2A2B" w:rsidP="007C3060">
            <w:r w:rsidRPr="007C3060">
              <w:t>781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CA6716F"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5A9933" w14:textId="77777777" w:rsidR="000A2A2B" w:rsidRPr="007C3060" w:rsidRDefault="000A2A2B" w:rsidP="007C3060">
            <w:r w:rsidRPr="007C3060">
              <w:t>Forsøk og utvikling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B40654"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63A552"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CA2EB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6E8927" w14:textId="77777777" w:rsidR="000A2A2B" w:rsidRPr="007C3060" w:rsidRDefault="000A2A2B" w:rsidP="007C3060"/>
        </w:tc>
      </w:tr>
      <w:tr w:rsidR="004B729E" w:rsidRPr="007C3060" w14:paraId="517F920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2AD714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2E0B18D"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083D7F" w14:textId="3965C160" w:rsidR="000A2A2B" w:rsidRPr="007C3060" w:rsidRDefault="000A2A2B" w:rsidP="007C3060">
            <w:r w:rsidRPr="007C3060">
              <w:t xml:space="preserve">Spesielle driftsutgifter, </w:t>
            </w:r>
            <w:r w:rsidRPr="007C3060">
              <w:rPr>
                <w:rStyle w:val="kursiv"/>
              </w:rPr>
              <w:t>kan nyttes under post 79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2C11B7" w14:textId="77777777" w:rsidR="000A2A2B" w:rsidRPr="007C3060" w:rsidRDefault="000A2A2B" w:rsidP="007C3060">
            <w:r w:rsidRPr="007C3060">
              <w:t>17 988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B09ED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CAF752" w14:textId="77777777" w:rsidR="000A2A2B" w:rsidRPr="007C3060" w:rsidRDefault="000A2A2B" w:rsidP="007C3060">
            <w:r w:rsidRPr="007C3060">
              <w:t>-350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7EF4BB" w14:textId="77777777" w:rsidR="000A2A2B" w:rsidRPr="007C3060" w:rsidRDefault="000A2A2B" w:rsidP="007C3060">
            <w:r w:rsidRPr="007C3060">
              <w:t>17 638</w:t>
            </w:r>
          </w:p>
        </w:tc>
      </w:tr>
      <w:tr w:rsidR="004B729E" w:rsidRPr="007C3060" w14:paraId="0A4910BB"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6113C1B" w14:textId="77777777" w:rsidR="000A2A2B" w:rsidRPr="007C3060" w:rsidRDefault="000A2A2B" w:rsidP="007C3060">
            <w:r w:rsidRPr="007C3060">
              <w:t>Sum endringer Helse- og omsorgsdepartementet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E3BA86E"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1B96EE2"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1DFB5BB" w14:textId="77777777" w:rsidR="000A2A2B" w:rsidRPr="007C3060" w:rsidRDefault="000A2A2B" w:rsidP="007C3060">
            <w:r w:rsidRPr="007C3060">
              <w:t>-5 625 423</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E4BBAC7" w14:textId="77777777" w:rsidR="000A2A2B" w:rsidRPr="007C3060" w:rsidRDefault="000A2A2B" w:rsidP="007C3060"/>
        </w:tc>
      </w:tr>
      <w:tr w:rsidR="004B729E" w:rsidRPr="007C3060" w14:paraId="4BB33D0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0137E65" w14:textId="77777777" w:rsidR="000A2A2B" w:rsidRPr="007C3060" w:rsidRDefault="000A2A2B" w:rsidP="007C3060">
            <w:r w:rsidRPr="007C3060">
              <w:t>843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6E4C5D3"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862763" w14:textId="77777777" w:rsidR="000A2A2B" w:rsidRPr="007C3060" w:rsidRDefault="000A2A2B" w:rsidP="007C3060">
            <w:r w:rsidRPr="007C3060">
              <w:t>Adopsjonsstøtte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A1E4FE"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DAD0EC"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8DAFC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9C0D34" w14:textId="77777777" w:rsidR="000A2A2B" w:rsidRPr="007C3060" w:rsidRDefault="000A2A2B" w:rsidP="007C3060"/>
        </w:tc>
      </w:tr>
      <w:tr w:rsidR="004B729E" w:rsidRPr="007C3060" w14:paraId="7A46F2F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63A58F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774DB5E"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108FD8" w14:textId="77777777" w:rsidR="000A2A2B" w:rsidRPr="007C3060" w:rsidRDefault="000A2A2B" w:rsidP="007C3060">
            <w:r w:rsidRPr="007C3060">
              <w:t xml:space="preserve">Tilskudd til foreldre som adopterer barn fra utlandet,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6B447B" w14:textId="77777777" w:rsidR="000A2A2B" w:rsidRPr="007C3060" w:rsidRDefault="000A2A2B" w:rsidP="007C3060">
            <w:r w:rsidRPr="007C3060">
              <w:t>6 228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2F1BE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4EDC50" w14:textId="77777777" w:rsidR="000A2A2B" w:rsidRPr="007C3060" w:rsidRDefault="000A2A2B" w:rsidP="007C3060">
            <w:r w:rsidRPr="007C3060">
              <w:t>-1 228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66D003" w14:textId="77777777" w:rsidR="000A2A2B" w:rsidRPr="007C3060" w:rsidRDefault="000A2A2B" w:rsidP="007C3060">
            <w:r w:rsidRPr="007C3060">
              <w:t>5 000</w:t>
            </w:r>
          </w:p>
        </w:tc>
      </w:tr>
      <w:tr w:rsidR="004B729E" w:rsidRPr="007C3060" w14:paraId="3A726ED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EE3821D" w14:textId="77777777" w:rsidR="000A2A2B" w:rsidRPr="007C3060" w:rsidRDefault="000A2A2B" w:rsidP="007C3060">
            <w:r w:rsidRPr="007C3060">
              <w:t>844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903559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F797DD" w14:textId="77777777" w:rsidR="000A2A2B" w:rsidRPr="007C3060" w:rsidRDefault="000A2A2B" w:rsidP="007C3060">
            <w:r w:rsidRPr="007C3060">
              <w:t>Kontantstøtte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89C57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6A1BD5"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BAA8E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EE5653" w14:textId="77777777" w:rsidR="000A2A2B" w:rsidRPr="007C3060" w:rsidRDefault="000A2A2B" w:rsidP="007C3060"/>
        </w:tc>
      </w:tr>
      <w:tr w:rsidR="004B729E" w:rsidRPr="007C3060" w14:paraId="6233DF0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312186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83EDE0A"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D90F6F" w14:textId="77777777" w:rsidR="000A2A2B" w:rsidRPr="007C3060" w:rsidRDefault="000A2A2B" w:rsidP="007C3060">
            <w:r w:rsidRPr="007C3060">
              <w:t xml:space="preserve">Tilskudd,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31DB16" w14:textId="77777777" w:rsidR="000A2A2B" w:rsidRPr="007C3060" w:rsidRDefault="000A2A2B" w:rsidP="007C3060">
            <w:r w:rsidRPr="007C3060">
              <w:t>719 100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AE929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3A7C26" w14:textId="77777777" w:rsidR="000A2A2B" w:rsidRPr="007C3060" w:rsidRDefault="000A2A2B" w:rsidP="007C3060">
            <w:r w:rsidRPr="007C3060">
              <w:t>20 900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B9C128" w14:textId="77777777" w:rsidR="000A2A2B" w:rsidRPr="007C3060" w:rsidRDefault="000A2A2B" w:rsidP="007C3060">
            <w:r w:rsidRPr="007C3060">
              <w:t>740 000</w:t>
            </w:r>
          </w:p>
        </w:tc>
      </w:tr>
      <w:tr w:rsidR="004B729E" w:rsidRPr="007C3060" w14:paraId="430A005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B0075B8" w14:textId="77777777" w:rsidR="000A2A2B" w:rsidRPr="007C3060" w:rsidRDefault="000A2A2B" w:rsidP="007C3060">
            <w:r w:rsidRPr="007C3060">
              <w:t>845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BB1140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5AE21B" w14:textId="77777777" w:rsidR="000A2A2B" w:rsidRPr="007C3060" w:rsidRDefault="000A2A2B" w:rsidP="007C3060">
            <w:r w:rsidRPr="007C3060">
              <w:t>Barnetrygd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A1062B"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7669B9"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C2D0B2"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CD2B7B" w14:textId="77777777" w:rsidR="000A2A2B" w:rsidRPr="007C3060" w:rsidRDefault="000A2A2B" w:rsidP="007C3060"/>
        </w:tc>
      </w:tr>
      <w:tr w:rsidR="004B729E" w:rsidRPr="007C3060" w14:paraId="513D6E7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1BB46B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893ECA3"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E9F844" w14:textId="77777777" w:rsidR="000A2A2B" w:rsidRPr="007C3060" w:rsidRDefault="000A2A2B" w:rsidP="007C3060">
            <w:r w:rsidRPr="007C3060">
              <w:t xml:space="preserve">Tilskudd,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E61462" w14:textId="77777777" w:rsidR="000A2A2B" w:rsidRPr="007C3060" w:rsidRDefault="000A2A2B" w:rsidP="007C3060">
            <w:r w:rsidRPr="007C3060">
              <w:t>28 687 000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A8B89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BF1DAE" w14:textId="77777777" w:rsidR="000A2A2B" w:rsidRPr="007C3060" w:rsidRDefault="000A2A2B" w:rsidP="007C3060">
            <w:r w:rsidRPr="007C3060">
              <w:t>83 000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E249FE" w14:textId="77777777" w:rsidR="000A2A2B" w:rsidRPr="007C3060" w:rsidRDefault="000A2A2B" w:rsidP="007C3060">
            <w:r w:rsidRPr="007C3060">
              <w:t>28 770 000</w:t>
            </w:r>
          </w:p>
        </w:tc>
      </w:tr>
      <w:tr w:rsidR="004B729E" w:rsidRPr="007C3060" w14:paraId="243F097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CC29E5F" w14:textId="77777777" w:rsidR="000A2A2B" w:rsidRPr="007C3060" w:rsidRDefault="000A2A2B" w:rsidP="007C3060">
            <w:r w:rsidRPr="007C3060">
              <w:t>846</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1427AA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673D58" w14:textId="77777777" w:rsidR="000A2A2B" w:rsidRPr="007C3060" w:rsidRDefault="000A2A2B" w:rsidP="007C3060">
            <w:r w:rsidRPr="007C3060">
              <w:t>Familie- og oppveksttiltak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A91E0E"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F2C4B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70B0B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37297B" w14:textId="77777777" w:rsidR="000A2A2B" w:rsidRPr="007C3060" w:rsidRDefault="000A2A2B" w:rsidP="007C3060"/>
        </w:tc>
      </w:tr>
      <w:tr w:rsidR="004B729E" w:rsidRPr="007C3060" w14:paraId="0DAAAD61"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15B9D8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2B843AD"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091DB1" w14:textId="0FB859CB" w:rsidR="000A2A2B" w:rsidRPr="007C3060" w:rsidRDefault="000A2A2B" w:rsidP="007C3060">
            <w:r w:rsidRPr="007C3060">
              <w:t xml:space="preserve">Spesielle driftsutgifter, </w:t>
            </w:r>
            <w:r w:rsidRPr="007C3060">
              <w:rPr>
                <w:rStyle w:val="kursiv"/>
              </w:rPr>
              <w:t>kan overføres</w:t>
            </w:r>
            <w:r w:rsidRPr="007C3060">
              <w:t xml:space="preserve">, </w:t>
            </w:r>
            <w:r w:rsidRPr="007C3060">
              <w:rPr>
                <w:rStyle w:val="kursiv"/>
              </w:rPr>
              <w:t>kan nyttes under post 62 og post 71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C4BA9C" w14:textId="77777777" w:rsidR="000A2A2B" w:rsidRPr="007C3060" w:rsidRDefault="000A2A2B" w:rsidP="007C3060">
            <w:r w:rsidRPr="007C3060">
              <w:t>45 857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37CC1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9C670B" w14:textId="77777777" w:rsidR="000A2A2B" w:rsidRPr="007C3060" w:rsidRDefault="000A2A2B" w:rsidP="007C3060">
            <w:r w:rsidRPr="007C3060">
              <w:t>-800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29D3B0" w14:textId="77777777" w:rsidR="000A2A2B" w:rsidRPr="007C3060" w:rsidRDefault="000A2A2B" w:rsidP="007C3060">
            <w:r w:rsidRPr="007C3060">
              <w:t>45 057</w:t>
            </w:r>
          </w:p>
        </w:tc>
      </w:tr>
      <w:tr w:rsidR="004B729E" w:rsidRPr="007C3060" w14:paraId="2969404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7CA1CA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FBB3320" w14:textId="77777777" w:rsidR="000A2A2B" w:rsidRPr="007C3060" w:rsidRDefault="000A2A2B" w:rsidP="007C3060">
            <w:r w:rsidRPr="007C3060">
              <w:t>62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52C63" w14:textId="77777777" w:rsidR="000A2A2B" w:rsidRPr="007C3060" w:rsidRDefault="000A2A2B" w:rsidP="007C3060">
            <w:r w:rsidRPr="007C3060">
              <w:t xml:space="preserve">Utvikling i kommunene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A4C308" w14:textId="77777777" w:rsidR="000A2A2B" w:rsidRPr="007C3060" w:rsidRDefault="000A2A2B" w:rsidP="007C3060">
            <w:r w:rsidRPr="007C3060">
              <w:t>79 547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DAE76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ECC1B8" w14:textId="77777777" w:rsidR="000A2A2B" w:rsidRPr="007C3060" w:rsidRDefault="000A2A2B" w:rsidP="007C3060">
            <w:r w:rsidRPr="007C3060">
              <w:t>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D0A57B" w14:textId="77777777" w:rsidR="000A2A2B" w:rsidRPr="007C3060" w:rsidRDefault="000A2A2B" w:rsidP="007C3060">
            <w:r w:rsidRPr="007C3060">
              <w:t>88 547</w:t>
            </w:r>
          </w:p>
        </w:tc>
      </w:tr>
      <w:tr w:rsidR="004B729E" w:rsidRPr="007C3060" w14:paraId="0BFFCB8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5D34FB6" w14:textId="77777777" w:rsidR="000A2A2B" w:rsidRPr="007C3060" w:rsidRDefault="000A2A2B" w:rsidP="007C3060">
            <w:r w:rsidRPr="007C3060">
              <w:t>854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6A5DF3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723D78" w14:textId="77777777" w:rsidR="000A2A2B" w:rsidRPr="007C3060" w:rsidRDefault="000A2A2B" w:rsidP="007C3060">
            <w:r w:rsidRPr="007C3060">
              <w:t>Tiltak i barne- og ungdomsvernet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ACE64F"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0C23A4"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C0143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D50A7A" w14:textId="77777777" w:rsidR="000A2A2B" w:rsidRPr="007C3060" w:rsidRDefault="000A2A2B" w:rsidP="007C3060"/>
        </w:tc>
      </w:tr>
      <w:tr w:rsidR="004B729E" w:rsidRPr="007C3060" w14:paraId="133FCCA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F2EDDE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4035F59"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6DCC59" w14:textId="77777777" w:rsidR="000A2A2B" w:rsidRPr="007C3060" w:rsidRDefault="000A2A2B" w:rsidP="007C3060">
            <w:r w:rsidRPr="007C306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454547" w14:textId="77777777" w:rsidR="000A2A2B" w:rsidRPr="007C3060" w:rsidRDefault="000A2A2B" w:rsidP="007C3060">
            <w:r w:rsidRPr="007C3060">
              <w:t>55 765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7F918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FFC97B" w14:textId="77777777" w:rsidR="000A2A2B" w:rsidRPr="007C3060" w:rsidRDefault="000A2A2B" w:rsidP="007C3060">
            <w:r w:rsidRPr="007C3060">
              <w:t>-1 535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E145CE" w14:textId="77777777" w:rsidR="000A2A2B" w:rsidRPr="007C3060" w:rsidRDefault="000A2A2B" w:rsidP="007C3060">
            <w:r w:rsidRPr="007C3060">
              <w:t>54 230</w:t>
            </w:r>
          </w:p>
        </w:tc>
      </w:tr>
      <w:tr w:rsidR="004B729E" w:rsidRPr="007C3060" w14:paraId="39FB7A2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19BBE5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EE22A56" w14:textId="77777777" w:rsidR="000A2A2B" w:rsidRPr="007C3060" w:rsidRDefault="000A2A2B" w:rsidP="007C3060">
            <w:r w:rsidRPr="007C3060">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7EDC16" w14:textId="77777777" w:rsidR="000A2A2B" w:rsidRPr="007C3060" w:rsidRDefault="000A2A2B" w:rsidP="007C3060">
            <w:r w:rsidRPr="007C3060">
              <w:t xml:space="preserve">Kompetansehevingstiltak i barnevernet, </w:t>
            </w:r>
            <w:r w:rsidRPr="007C3060">
              <w:br/>
            </w:r>
            <w:r w:rsidRPr="007C3060">
              <w:rPr>
                <w:rStyle w:val="kursiv"/>
              </w:rPr>
              <w:t>kan nyttes under post 72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CE36B2" w14:textId="77777777" w:rsidR="000A2A2B" w:rsidRPr="007C3060" w:rsidRDefault="000A2A2B" w:rsidP="007C3060">
            <w:r w:rsidRPr="007C3060">
              <w:t>81 617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152A6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095052" w14:textId="77777777" w:rsidR="000A2A2B" w:rsidRPr="007C3060" w:rsidRDefault="000A2A2B" w:rsidP="007C3060">
            <w:r w:rsidRPr="007C3060">
              <w:t>-9 900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5B2085" w14:textId="77777777" w:rsidR="000A2A2B" w:rsidRPr="007C3060" w:rsidRDefault="000A2A2B" w:rsidP="007C3060">
            <w:r w:rsidRPr="007C3060">
              <w:t>71 717</w:t>
            </w:r>
          </w:p>
        </w:tc>
      </w:tr>
      <w:tr w:rsidR="004B729E" w:rsidRPr="007C3060" w14:paraId="327477C9"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F89792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7FA220A" w14:textId="77777777" w:rsidR="000A2A2B" w:rsidRPr="007C3060" w:rsidRDefault="000A2A2B" w:rsidP="007C3060">
            <w:r w:rsidRPr="007C3060">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F8B51F" w14:textId="77777777" w:rsidR="000A2A2B" w:rsidRPr="007C3060" w:rsidRDefault="000A2A2B" w:rsidP="007C3060">
            <w:r w:rsidRPr="007C3060">
              <w:t xml:space="preserve">Utvikling i kommunene, </w:t>
            </w:r>
            <w:r w:rsidRPr="007C3060">
              <w:br/>
            </w:r>
            <w:r w:rsidRPr="007C3060">
              <w:rPr>
                <w:rStyle w:val="kursiv"/>
              </w:rPr>
              <w:t>kan nyttes under post 72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4937C9" w14:textId="77777777" w:rsidR="000A2A2B" w:rsidRPr="007C3060" w:rsidRDefault="000A2A2B" w:rsidP="007C3060">
            <w:r w:rsidRPr="007C3060">
              <w:t>152 882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EDE57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89296C" w14:textId="77777777" w:rsidR="000A2A2B" w:rsidRPr="007C3060" w:rsidRDefault="000A2A2B" w:rsidP="007C3060">
            <w:r w:rsidRPr="007C3060">
              <w:t>-460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0705C1" w14:textId="77777777" w:rsidR="000A2A2B" w:rsidRPr="007C3060" w:rsidRDefault="000A2A2B" w:rsidP="007C3060">
            <w:r w:rsidRPr="007C3060">
              <w:t>152 422</w:t>
            </w:r>
          </w:p>
        </w:tc>
      </w:tr>
      <w:tr w:rsidR="004B729E" w:rsidRPr="007C3060" w14:paraId="789A27FA"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3924161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87123F0"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7C7A03" w14:textId="77777777" w:rsidR="000A2A2B" w:rsidRPr="007C3060" w:rsidRDefault="000A2A2B" w:rsidP="007C3060">
            <w:r w:rsidRPr="007C3060">
              <w:t xml:space="preserve">Tilskudd til forskning og kompetanse-utvikling i barnevernet, </w:t>
            </w:r>
            <w:r w:rsidRPr="007C3060">
              <w:rPr>
                <w:rStyle w:val="kursiv"/>
              </w:rPr>
              <w:t xml:space="preserve">kan overføres, </w:t>
            </w:r>
            <w:r w:rsidRPr="007C3060">
              <w:rPr>
                <w:rStyle w:val="kursiv"/>
              </w:rPr>
              <w:br/>
              <w:t>kan nyttes under post 23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61BE66" w14:textId="77777777" w:rsidR="000A2A2B" w:rsidRPr="007C3060" w:rsidRDefault="000A2A2B" w:rsidP="007C3060">
            <w:r w:rsidRPr="007C3060">
              <w:t>139 525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D22BD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E7C5D2" w14:textId="77777777" w:rsidR="000A2A2B" w:rsidRPr="007C3060" w:rsidRDefault="000A2A2B" w:rsidP="007C3060">
            <w:r w:rsidRPr="007C3060">
              <w:t>18 235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9CDB6A" w14:textId="77777777" w:rsidR="000A2A2B" w:rsidRPr="007C3060" w:rsidRDefault="000A2A2B" w:rsidP="007C3060">
            <w:r w:rsidRPr="007C3060">
              <w:t>157 760</w:t>
            </w:r>
          </w:p>
        </w:tc>
      </w:tr>
      <w:tr w:rsidR="004B729E" w:rsidRPr="007C3060" w14:paraId="7DC65F5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CFCA40C" w14:textId="77777777" w:rsidR="000A2A2B" w:rsidRPr="007C3060" w:rsidRDefault="000A2A2B" w:rsidP="007C3060">
            <w:r w:rsidRPr="007C3060">
              <w:t>855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32E2E83"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BB1C5F" w14:textId="77777777" w:rsidR="000A2A2B" w:rsidRPr="007C3060" w:rsidRDefault="000A2A2B" w:rsidP="007C3060">
            <w:r w:rsidRPr="007C3060">
              <w:t>Statlig forvaltning av barnevernet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3C5EF9"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14570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5BF9A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84EEB4" w14:textId="77777777" w:rsidR="000A2A2B" w:rsidRPr="007C3060" w:rsidRDefault="000A2A2B" w:rsidP="007C3060"/>
        </w:tc>
      </w:tr>
      <w:tr w:rsidR="004B729E" w:rsidRPr="007C3060" w14:paraId="267BAE1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E44365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9E58830"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A67872" w14:textId="77777777" w:rsidR="000A2A2B" w:rsidRPr="007C3060" w:rsidRDefault="000A2A2B" w:rsidP="007C3060">
            <w:r w:rsidRPr="007C3060">
              <w:t xml:space="preserve">Driftsutgifter, </w:t>
            </w:r>
            <w:r w:rsidRPr="007C3060">
              <w:rPr>
                <w:rStyle w:val="kursiv"/>
              </w:rPr>
              <w:t>kan nyttes under post 22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67938A" w14:textId="77777777" w:rsidR="000A2A2B" w:rsidRPr="007C3060" w:rsidRDefault="000A2A2B" w:rsidP="007C3060">
            <w:r w:rsidRPr="007C3060">
              <w:t>4 887 294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94051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939221" w14:textId="77777777" w:rsidR="000A2A2B" w:rsidRPr="007C3060" w:rsidRDefault="000A2A2B" w:rsidP="007C3060">
            <w:r w:rsidRPr="007C3060">
              <w:t>59 460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59C8DE" w14:textId="77777777" w:rsidR="000A2A2B" w:rsidRPr="007C3060" w:rsidRDefault="000A2A2B" w:rsidP="007C3060">
            <w:r w:rsidRPr="007C3060">
              <w:t>4 946 754</w:t>
            </w:r>
          </w:p>
        </w:tc>
      </w:tr>
      <w:tr w:rsidR="004B729E" w:rsidRPr="007C3060" w14:paraId="77EAB1DA"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1D1653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925D5AA"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82A205" w14:textId="2E597306" w:rsidR="000A2A2B" w:rsidRPr="007C3060" w:rsidRDefault="000A2A2B" w:rsidP="007C3060">
            <w:r w:rsidRPr="007C3060">
              <w:t xml:space="preserve">Kjøp av private barnevernstjenester, </w:t>
            </w:r>
            <w:r w:rsidRPr="007C3060">
              <w:rPr>
                <w:rStyle w:val="kursiv"/>
              </w:rPr>
              <w:t>kan nyttes under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8E4354" w14:textId="77777777" w:rsidR="000A2A2B" w:rsidRPr="007C3060" w:rsidRDefault="000A2A2B" w:rsidP="007C3060">
            <w:r w:rsidRPr="007C3060">
              <w:t>4 145 778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B9B91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FF984E" w14:textId="77777777" w:rsidR="000A2A2B" w:rsidRPr="007C3060" w:rsidRDefault="000A2A2B" w:rsidP="007C3060">
            <w:r w:rsidRPr="007C3060">
              <w:t>520 000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82AB18" w14:textId="77777777" w:rsidR="000A2A2B" w:rsidRPr="007C3060" w:rsidRDefault="000A2A2B" w:rsidP="007C3060">
            <w:r w:rsidRPr="007C3060">
              <w:t>4 665 778</w:t>
            </w:r>
          </w:p>
        </w:tc>
      </w:tr>
      <w:tr w:rsidR="004B729E" w:rsidRPr="007C3060" w14:paraId="78E8FA0B" w14:textId="77777777">
        <w:trPr>
          <w:trHeight w:val="64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01B5E05A" w14:textId="77777777" w:rsidR="000A2A2B" w:rsidRPr="007C3060" w:rsidRDefault="000A2A2B" w:rsidP="007C3060">
            <w:r w:rsidRPr="007C3060">
              <w:t>856</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396C7C64"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1ECDBCE" w14:textId="77777777" w:rsidR="000A2A2B" w:rsidRPr="007C3060" w:rsidRDefault="000A2A2B" w:rsidP="007C3060">
            <w:r w:rsidRPr="007C3060">
              <w:t>Barnevernets omsorgssenter for enslige, mindreårige asylsøkere</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6B91F4A"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6F22F3A"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40A99A3"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5B4ECB0" w14:textId="77777777" w:rsidR="000A2A2B" w:rsidRPr="007C3060" w:rsidRDefault="000A2A2B" w:rsidP="007C3060"/>
        </w:tc>
      </w:tr>
      <w:tr w:rsidR="004B729E" w:rsidRPr="007C3060" w14:paraId="7AE0295B"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CCD7D9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25804F7"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C33BEA" w14:textId="389E8273" w:rsidR="000A2A2B" w:rsidRPr="007C3060" w:rsidRDefault="000A2A2B" w:rsidP="007C3060">
            <w:r w:rsidRPr="007C3060">
              <w:t xml:space="preserve">Kjøp av plasser i private </w:t>
            </w:r>
            <w:proofErr w:type="spellStart"/>
            <w:proofErr w:type="gramStart"/>
            <w:r w:rsidRPr="007C3060">
              <w:t>omsorgssentre,</w:t>
            </w:r>
            <w:r w:rsidRPr="007C3060">
              <w:rPr>
                <w:rStyle w:val="kursiv"/>
              </w:rPr>
              <w:t>kan</w:t>
            </w:r>
            <w:proofErr w:type="spellEnd"/>
            <w:proofErr w:type="gramEnd"/>
            <w:r w:rsidRPr="007C3060">
              <w:rPr>
                <w:rStyle w:val="kursiv"/>
              </w:rPr>
              <w:t xml:space="preserve"> nyttes under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DE6516" w14:textId="77777777" w:rsidR="000A2A2B" w:rsidRPr="007C3060" w:rsidRDefault="000A2A2B" w:rsidP="007C3060">
            <w:r w:rsidRPr="007C3060">
              <w:t>392 169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D8D81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E758D9" w14:textId="77777777" w:rsidR="000A2A2B" w:rsidRPr="007C3060" w:rsidRDefault="000A2A2B" w:rsidP="007C3060">
            <w:r w:rsidRPr="007C3060">
              <w:t>-25 234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488340" w14:textId="77777777" w:rsidR="000A2A2B" w:rsidRPr="007C3060" w:rsidRDefault="000A2A2B" w:rsidP="007C3060">
            <w:r w:rsidRPr="007C3060">
              <w:t>366 935</w:t>
            </w:r>
          </w:p>
        </w:tc>
      </w:tr>
      <w:tr w:rsidR="004B729E" w:rsidRPr="007C3060" w14:paraId="194C002D"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049F729C" w14:textId="77777777" w:rsidR="000A2A2B" w:rsidRPr="007C3060" w:rsidRDefault="000A2A2B" w:rsidP="007C3060">
            <w:r w:rsidRPr="007C3060">
              <w:t>858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3FC898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3535D2" w14:textId="77777777" w:rsidR="000A2A2B" w:rsidRPr="007C3060" w:rsidRDefault="000A2A2B" w:rsidP="007C3060">
            <w:r w:rsidRPr="007C3060">
              <w:t>Barne-, ungdoms- og familiedirektoratet og fellesfunksjoner i Barne-, ungdoms- og familieetaten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5E863E"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50C0E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05499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E5005F" w14:textId="77777777" w:rsidR="000A2A2B" w:rsidRPr="007C3060" w:rsidRDefault="000A2A2B" w:rsidP="007C3060"/>
        </w:tc>
      </w:tr>
      <w:tr w:rsidR="004B729E" w:rsidRPr="007C3060" w14:paraId="09A3EED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3AF72A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CCE1BE7"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113F57"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B7BEF4" w14:textId="77777777" w:rsidR="000A2A2B" w:rsidRPr="007C3060" w:rsidRDefault="000A2A2B" w:rsidP="007C3060">
            <w:r w:rsidRPr="007C3060">
              <w:t>674 015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25620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2E2950" w14:textId="77777777" w:rsidR="000A2A2B" w:rsidRPr="007C3060" w:rsidRDefault="000A2A2B" w:rsidP="007C3060">
            <w:r w:rsidRPr="007C3060">
              <w:t>15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F3D7A0" w14:textId="77777777" w:rsidR="000A2A2B" w:rsidRPr="007C3060" w:rsidRDefault="000A2A2B" w:rsidP="007C3060">
            <w:r w:rsidRPr="007C3060">
              <w:t>674 030</w:t>
            </w:r>
          </w:p>
        </w:tc>
      </w:tr>
      <w:tr w:rsidR="004B729E" w:rsidRPr="007C3060" w14:paraId="644FED1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10D8BA9" w14:textId="77777777" w:rsidR="000A2A2B" w:rsidRPr="007C3060" w:rsidRDefault="000A2A2B" w:rsidP="007C3060">
            <w:r w:rsidRPr="007C3060">
              <w:t>865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FB3B40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0E3E19" w14:textId="77777777" w:rsidR="000A2A2B" w:rsidRPr="007C3060" w:rsidRDefault="000A2A2B" w:rsidP="007C3060">
            <w:r w:rsidRPr="007C3060">
              <w:t>Forbrukerpolitiske 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70F87B"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F977C0"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73DE42"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227E31" w14:textId="77777777" w:rsidR="000A2A2B" w:rsidRPr="007C3060" w:rsidRDefault="000A2A2B" w:rsidP="007C3060"/>
        </w:tc>
      </w:tr>
      <w:tr w:rsidR="004B729E" w:rsidRPr="007C3060" w14:paraId="06215126"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946D27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D05BE0E"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590537" w14:textId="33FF4461" w:rsidR="000A2A2B" w:rsidRPr="007C3060" w:rsidRDefault="000A2A2B" w:rsidP="007C3060">
            <w:r w:rsidRPr="007C3060">
              <w:t xml:space="preserve">Spesielle driftsutgifter, </w:t>
            </w:r>
            <w:r w:rsidRPr="007C3060">
              <w:rPr>
                <w:rStyle w:val="kursiv"/>
              </w:rPr>
              <w:t>kan overføres, kan nyttes under post 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29D890" w14:textId="77777777" w:rsidR="000A2A2B" w:rsidRPr="007C3060" w:rsidRDefault="000A2A2B" w:rsidP="007C3060">
            <w:r w:rsidRPr="007C3060">
              <w:t>3 248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65CE0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9DA17B" w14:textId="77777777" w:rsidR="000A2A2B" w:rsidRPr="007C3060" w:rsidRDefault="000A2A2B" w:rsidP="007C3060">
            <w:r w:rsidRPr="007C3060">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48DBB5" w14:textId="77777777" w:rsidR="000A2A2B" w:rsidRPr="007C3060" w:rsidRDefault="000A2A2B" w:rsidP="007C3060">
            <w:r w:rsidRPr="007C3060">
              <w:t>2 248</w:t>
            </w:r>
          </w:p>
        </w:tc>
      </w:tr>
      <w:tr w:rsidR="004B729E" w:rsidRPr="007C3060" w14:paraId="34DAA08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732E098" w14:textId="77777777" w:rsidR="000A2A2B" w:rsidRPr="007C3060" w:rsidRDefault="000A2A2B" w:rsidP="007C3060">
            <w:r w:rsidRPr="007C3060">
              <w:t>881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5DEFB8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632DBF" w14:textId="77777777" w:rsidR="000A2A2B" w:rsidRPr="007C3060" w:rsidRDefault="000A2A2B" w:rsidP="007C3060">
            <w:r w:rsidRPr="007C3060">
              <w:t>Tilskudd til trossamfunn m.m.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DEE6D5"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4A492D"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E62E5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8CCE7F" w14:textId="77777777" w:rsidR="000A2A2B" w:rsidRPr="007C3060" w:rsidRDefault="000A2A2B" w:rsidP="007C3060"/>
        </w:tc>
      </w:tr>
      <w:tr w:rsidR="004B729E" w:rsidRPr="007C3060" w14:paraId="51E9680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24D0BF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0D125E4"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A75022" w14:textId="77777777" w:rsidR="000A2A2B" w:rsidRPr="007C3060" w:rsidRDefault="000A2A2B" w:rsidP="007C3060">
            <w:r w:rsidRPr="007C306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B9D396" w14:textId="77777777" w:rsidR="000A2A2B" w:rsidRPr="007C3060" w:rsidRDefault="000A2A2B" w:rsidP="007C3060">
            <w:r w:rsidRPr="007C3060">
              <w:t>7 388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F6F3E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F82A5B" w14:textId="77777777" w:rsidR="000A2A2B" w:rsidRPr="007C3060" w:rsidRDefault="000A2A2B" w:rsidP="007C3060">
            <w:r w:rsidRPr="007C3060">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7DB083" w14:textId="77777777" w:rsidR="000A2A2B" w:rsidRPr="007C3060" w:rsidRDefault="000A2A2B" w:rsidP="007C3060">
            <w:r w:rsidRPr="007C3060">
              <w:t>8 388</w:t>
            </w:r>
          </w:p>
        </w:tc>
      </w:tr>
      <w:tr w:rsidR="004B729E" w:rsidRPr="007C3060" w14:paraId="66DBFB57"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249D275" w14:textId="77777777" w:rsidR="000A2A2B" w:rsidRPr="007C3060" w:rsidRDefault="000A2A2B" w:rsidP="007C3060">
            <w:r w:rsidRPr="007C3060">
              <w:t>Sum endringer Barne- og familiedepartementet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51B7F29"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AEA2BA0"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49880E7" w14:textId="77777777" w:rsidR="000A2A2B" w:rsidRPr="007C3060" w:rsidRDefault="000A2A2B" w:rsidP="007C3060">
            <w:r w:rsidRPr="007C3060">
              <w:t>671 453</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995E76C" w14:textId="77777777" w:rsidR="000A2A2B" w:rsidRPr="007C3060" w:rsidRDefault="000A2A2B" w:rsidP="007C3060"/>
        </w:tc>
      </w:tr>
      <w:tr w:rsidR="004B729E" w:rsidRPr="007C3060" w14:paraId="0563C8A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0462208" w14:textId="77777777" w:rsidR="000A2A2B" w:rsidRPr="007C3060" w:rsidRDefault="000A2A2B" w:rsidP="007C3060">
            <w:r w:rsidRPr="007C3060">
              <w:t>900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D94563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BB3BA3" w14:textId="77777777" w:rsidR="000A2A2B" w:rsidRPr="007C3060" w:rsidRDefault="000A2A2B" w:rsidP="007C3060">
            <w:r w:rsidRPr="007C3060">
              <w:t>Nærings- og fiskeridepartementet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EBD20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E43885"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591D2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C07561" w14:textId="77777777" w:rsidR="000A2A2B" w:rsidRPr="007C3060" w:rsidRDefault="000A2A2B" w:rsidP="007C3060"/>
        </w:tc>
      </w:tr>
      <w:tr w:rsidR="004B729E" w:rsidRPr="007C3060" w14:paraId="003DEA6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015AB4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A5878E4"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22A236"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B5D43A" w14:textId="77777777" w:rsidR="000A2A2B" w:rsidRPr="007C3060" w:rsidRDefault="000A2A2B" w:rsidP="007C3060">
            <w:r w:rsidRPr="007C3060">
              <w:t>528 060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9B6A0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4011F2" w14:textId="77777777" w:rsidR="000A2A2B" w:rsidRPr="007C3060" w:rsidRDefault="000A2A2B" w:rsidP="007C3060">
            <w:r w:rsidRPr="007C3060">
              <w:t>-800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FD449C" w14:textId="77777777" w:rsidR="000A2A2B" w:rsidRPr="007C3060" w:rsidRDefault="000A2A2B" w:rsidP="007C3060">
            <w:r w:rsidRPr="007C3060">
              <w:t>527 260</w:t>
            </w:r>
          </w:p>
        </w:tc>
      </w:tr>
      <w:tr w:rsidR="004B729E" w:rsidRPr="007C3060" w14:paraId="2F841BF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255D05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127C8BF"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4D0F65"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545E86" w14:textId="77777777" w:rsidR="000A2A2B" w:rsidRPr="007C3060" w:rsidRDefault="000A2A2B" w:rsidP="007C3060">
            <w:r w:rsidRPr="007C3060">
              <w:t>67 120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BB037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7FA179" w14:textId="77777777" w:rsidR="000A2A2B" w:rsidRPr="007C3060" w:rsidRDefault="000A2A2B" w:rsidP="007C3060">
            <w:r w:rsidRPr="007C3060">
              <w:t>-2 400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628B3B" w14:textId="77777777" w:rsidR="000A2A2B" w:rsidRPr="007C3060" w:rsidRDefault="000A2A2B" w:rsidP="007C3060">
            <w:r w:rsidRPr="007C3060">
              <w:t>64 720</w:t>
            </w:r>
          </w:p>
        </w:tc>
      </w:tr>
      <w:tr w:rsidR="004B729E" w:rsidRPr="007C3060" w14:paraId="61B3730C"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7A31C22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1F20977" w14:textId="77777777" w:rsidR="000A2A2B" w:rsidRPr="007C3060" w:rsidRDefault="000A2A2B" w:rsidP="007C3060">
            <w:r w:rsidRPr="007C3060">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61F62B" w14:textId="62EF0578" w:rsidR="000A2A2B" w:rsidRPr="007C3060" w:rsidRDefault="000A2A2B" w:rsidP="007C3060">
            <w:r w:rsidRPr="007C3060">
              <w:t xml:space="preserve">Spesielle driftsutgifter til administrasjon av statlig garantiordning for lån til små og mellomstore bedrifter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2DA497" w14:textId="77777777" w:rsidR="000A2A2B" w:rsidRPr="007C3060" w:rsidRDefault="000A2A2B" w:rsidP="007C3060">
            <w:r w:rsidRPr="007C3060">
              <w:t>4 150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100DF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F3D5A1" w14:textId="77777777" w:rsidR="000A2A2B" w:rsidRPr="007C3060" w:rsidRDefault="000A2A2B" w:rsidP="007C3060">
            <w:r w:rsidRPr="007C3060">
              <w:t>-4 150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575DB9" w14:textId="77777777" w:rsidR="000A2A2B" w:rsidRPr="007C3060" w:rsidRDefault="000A2A2B" w:rsidP="007C3060">
            <w:r w:rsidRPr="007C3060">
              <w:t>0</w:t>
            </w:r>
          </w:p>
        </w:tc>
      </w:tr>
      <w:tr w:rsidR="004B729E" w:rsidRPr="007C3060" w14:paraId="7734B5D3"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C51827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E076A79" w14:textId="77777777" w:rsidR="000A2A2B" w:rsidRPr="007C3060" w:rsidRDefault="000A2A2B" w:rsidP="007C3060">
            <w:r w:rsidRPr="007C3060">
              <w:t>32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8C69DE" w14:textId="77777777" w:rsidR="000A2A2B" w:rsidRPr="007C3060" w:rsidRDefault="000A2A2B" w:rsidP="007C3060">
            <w:r w:rsidRPr="007C3060">
              <w:t xml:space="preserve">Nytt sjøfibersamband til Svalbard og Jan Mayen,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C62F2F"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0CE722" w14:textId="77777777" w:rsidR="000A2A2B" w:rsidRPr="007C3060" w:rsidRDefault="000A2A2B" w:rsidP="007C3060">
            <w:r w:rsidRPr="007C3060">
              <w:t>454 000</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0BBAA5" w14:textId="77777777" w:rsidR="000A2A2B" w:rsidRPr="007C3060" w:rsidRDefault="000A2A2B" w:rsidP="007C3060">
            <w:r w:rsidRPr="007C3060">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044E18" w14:textId="77777777" w:rsidR="000A2A2B" w:rsidRPr="007C3060" w:rsidRDefault="000A2A2B" w:rsidP="007C3060">
            <w:r w:rsidRPr="007C3060">
              <w:t>454 000</w:t>
            </w:r>
          </w:p>
        </w:tc>
      </w:tr>
      <w:tr w:rsidR="004B729E" w:rsidRPr="007C3060" w14:paraId="2F7424E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C3047F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3452F7D"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3B8BB4" w14:textId="77777777" w:rsidR="000A2A2B" w:rsidRPr="007C3060" w:rsidRDefault="000A2A2B" w:rsidP="007C3060">
            <w:r w:rsidRPr="007C3060">
              <w:t xml:space="preserve">Miljøtiltak Raufoss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6B4231" w14:textId="77777777" w:rsidR="000A2A2B" w:rsidRPr="007C3060" w:rsidRDefault="000A2A2B" w:rsidP="007C3060">
            <w:r w:rsidRPr="007C3060">
              <w:t>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D74EC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F62799" w14:textId="77777777" w:rsidR="000A2A2B" w:rsidRPr="007C3060" w:rsidRDefault="000A2A2B" w:rsidP="007C3060">
            <w:r w:rsidRPr="007C3060">
              <w:t>-1 400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59E35C" w14:textId="77777777" w:rsidR="000A2A2B" w:rsidRPr="007C3060" w:rsidRDefault="000A2A2B" w:rsidP="007C3060">
            <w:r w:rsidRPr="007C3060">
              <w:t>7 600</w:t>
            </w:r>
          </w:p>
        </w:tc>
      </w:tr>
      <w:tr w:rsidR="004B729E" w:rsidRPr="007C3060" w14:paraId="7E0A4800"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5B87BA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16C5EF4" w14:textId="77777777" w:rsidR="000A2A2B" w:rsidRPr="007C3060" w:rsidRDefault="000A2A2B" w:rsidP="007C3060">
            <w:r w:rsidRPr="007C306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8393B4" w14:textId="06B1AA55" w:rsidR="000A2A2B" w:rsidRPr="007C3060" w:rsidRDefault="000A2A2B" w:rsidP="007C3060">
            <w:r w:rsidRPr="007C3060">
              <w:t xml:space="preserve">Tilskudd til særskilte prosjekter,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C62ACB" w14:textId="77777777" w:rsidR="000A2A2B" w:rsidRPr="007C3060" w:rsidRDefault="000A2A2B" w:rsidP="007C3060">
            <w:r w:rsidRPr="007C3060">
              <w:t>21 310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6495C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D19EB8" w14:textId="77777777" w:rsidR="000A2A2B" w:rsidRPr="007C3060" w:rsidRDefault="000A2A2B" w:rsidP="007C3060">
            <w:r w:rsidRPr="007C3060">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C2ECFC" w14:textId="77777777" w:rsidR="000A2A2B" w:rsidRPr="007C3060" w:rsidRDefault="000A2A2B" w:rsidP="007C3060">
            <w:r w:rsidRPr="007C3060">
              <w:t>23 310</w:t>
            </w:r>
          </w:p>
        </w:tc>
      </w:tr>
      <w:tr w:rsidR="004B729E" w:rsidRPr="007C3060" w14:paraId="28C305C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B791AA3" w14:textId="77777777" w:rsidR="000A2A2B" w:rsidRPr="007C3060" w:rsidRDefault="000A2A2B" w:rsidP="007C3060">
            <w:r w:rsidRPr="007C3060">
              <w:t>902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FFFDC1F"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AC634F" w14:textId="77777777" w:rsidR="000A2A2B" w:rsidRPr="007C3060" w:rsidRDefault="000A2A2B" w:rsidP="007C3060">
            <w:proofErr w:type="spellStart"/>
            <w:r w:rsidRPr="007C3060">
              <w:t>Justervesenet</w:t>
            </w:r>
            <w:proofErr w:type="spellEnd"/>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6AA39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11D1A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A50E0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17B68E" w14:textId="77777777" w:rsidR="000A2A2B" w:rsidRPr="007C3060" w:rsidRDefault="000A2A2B" w:rsidP="007C3060"/>
        </w:tc>
      </w:tr>
      <w:tr w:rsidR="004B729E" w:rsidRPr="007C3060" w14:paraId="5FF0F18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CC28DB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EC3CA2D"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2FDD44" w14:textId="77777777" w:rsidR="000A2A2B" w:rsidRPr="007C3060" w:rsidRDefault="000A2A2B" w:rsidP="007C3060">
            <w:r w:rsidRPr="007C306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484707" w14:textId="77777777" w:rsidR="000A2A2B" w:rsidRPr="007C3060" w:rsidRDefault="000A2A2B" w:rsidP="007C3060">
            <w:r w:rsidRPr="007C3060">
              <w:t>109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D9C2C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11B046" w14:textId="77777777" w:rsidR="000A2A2B" w:rsidRPr="007C3060" w:rsidRDefault="000A2A2B" w:rsidP="007C3060">
            <w:r w:rsidRPr="007C3060">
              <w:t>-109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A42375" w14:textId="77777777" w:rsidR="000A2A2B" w:rsidRPr="007C3060" w:rsidRDefault="000A2A2B" w:rsidP="007C3060">
            <w:r w:rsidRPr="007C3060">
              <w:t>0</w:t>
            </w:r>
          </w:p>
        </w:tc>
      </w:tr>
      <w:tr w:rsidR="004B729E" w:rsidRPr="007C3060" w14:paraId="20F54E3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96FBB50" w14:textId="77777777" w:rsidR="000A2A2B" w:rsidRPr="007C3060" w:rsidRDefault="000A2A2B" w:rsidP="007C3060">
            <w:r w:rsidRPr="007C3060">
              <w:t>904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E71C70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ED1EA6" w14:textId="77777777" w:rsidR="000A2A2B" w:rsidRPr="007C3060" w:rsidRDefault="000A2A2B" w:rsidP="007C3060">
            <w:r w:rsidRPr="007C3060">
              <w:t>Brønnøysundregistrene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BDAE9B"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E0442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A36FD2"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05BB75" w14:textId="77777777" w:rsidR="000A2A2B" w:rsidRPr="007C3060" w:rsidRDefault="000A2A2B" w:rsidP="007C3060"/>
        </w:tc>
      </w:tr>
      <w:tr w:rsidR="004B729E" w:rsidRPr="007C3060" w14:paraId="5DB5BC2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DC5B41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49A0390"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8769E1"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F5A9EA" w14:textId="77777777" w:rsidR="000A2A2B" w:rsidRPr="007C3060" w:rsidRDefault="000A2A2B" w:rsidP="007C3060">
            <w:r w:rsidRPr="007C3060">
              <w:t>74 500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84534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7C438D" w14:textId="77777777" w:rsidR="000A2A2B" w:rsidRPr="007C3060" w:rsidRDefault="000A2A2B" w:rsidP="007C3060">
            <w:r w:rsidRPr="007C3060">
              <w:t>1 800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387A39" w14:textId="77777777" w:rsidR="000A2A2B" w:rsidRPr="007C3060" w:rsidRDefault="000A2A2B" w:rsidP="007C3060">
            <w:r w:rsidRPr="007C3060">
              <w:t>76 300</w:t>
            </w:r>
          </w:p>
        </w:tc>
      </w:tr>
      <w:tr w:rsidR="004B729E" w:rsidRPr="007C3060" w14:paraId="3D3C056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00080D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E5B4298"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16AB8B" w14:textId="77777777" w:rsidR="000A2A2B" w:rsidRPr="007C3060" w:rsidRDefault="000A2A2B" w:rsidP="007C3060">
            <w:r w:rsidRPr="007C3060">
              <w:t xml:space="preserve">Større utstyrsanskaffelser og vedlikehold,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BFC3AB" w14:textId="77777777" w:rsidR="000A2A2B" w:rsidRPr="007C3060" w:rsidRDefault="000A2A2B" w:rsidP="007C3060">
            <w:r w:rsidRPr="007C3060">
              <w:t>222 100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C25E9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B3E780" w14:textId="77777777" w:rsidR="000A2A2B" w:rsidRPr="007C3060" w:rsidRDefault="000A2A2B" w:rsidP="007C3060">
            <w:r w:rsidRPr="007C3060">
              <w:t>-28 300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C5041F" w14:textId="77777777" w:rsidR="000A2A2B" w:rsidRPr="007C3060" w:rsidRDefault="000A2A2B" w:rsidP="007C3060">
            <w:r w:rsidRPr="007C3060">
              <w:t>193 800</w:t>
            </w:r>
          </w:p>
        </w:tc>
      </w:tr>
      <w:tr w:rsidR="004B729E" w:rsidRPr="007C3060" w14:paraId="45015219"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2A75E90" w14:textId="77777777" w:rsidR="000A2A2B" w:rsidRPr="007C3060" w:rsidRDefault="000A2A2B" w:rsidP="007C3060">
            <w:r w:rsidRPr="007C3060">
              <w:t>906</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9E38B9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6FBC96" w14:textId="77777777" w:rsidR="000A2A2B" w:rsidRPr="007C3060" w:rsidRDefault="000A2A2B" w:rsidP="007C3060">
            <w:r w:rsidRPr="007C3060">
              <w:t>Direktoratet for mineralforvaltning med Bergmesteren for Svalbard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A282F5"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86E13F"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7C0BA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D6B598" w14:textId="77777777" w:rsidR="000A2A2B" w:rsidRPr="007C3060" w:rsidRDefault="000A2A2B" w:rsidP="007C3060"/>
        </w:tc>
      </w:tr>
      <w:tr w:rsidR="004B729E" w:rsidRPr="007C3060" w14:paraId="2191E4E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EB766A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CEA82F1" w14:textId="77777777" w:rsidR="000A2A2B" w:rsidRPr="007C3060" w:rsidRDefault="000A2A2B" w:rsidP="007C3060">
            <w:r w:rsidRPr="007C3060">
              <w:t>31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AE22B5" w14:textId="77777777" w:rsidR="000A2A2B" w:rsidRPr="007C3060" w:rsidRDefault="000A2A2B" w:rsidP="007C3060">
            <w:r w:rsidRPr="007C3060">
              <w:t xml:space="preserve">Miljøtiltak Løkken,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763459" w14:textId="77777777" w:rsidR="000A2A2B" w:rsidRPr="007C3060" w:rsidRDefault="000A2A2B" w:rsidP="007C3060">
            <w:r w:rsidRPr="007C3060">
              <w:t>15 200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C315D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28EAD1" w14:textId="77777777" w:rsidR="000A2A2B" w:rsidRPr="007C3060" w:rsidRDefault="000A2A2B" w:rsidP="007C3060">
            <w:r w:rsidRPr="007C3060">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C4F903" w14:textId="77777777" w:rsidR="000A2A2B" w:rsidRPr="007C3060" w:rsidRDefault="000A2A2B" w:rsidP="007C3060">
            <w:r w:rsidRPr="007C3060">
              <w:t>11 200</w:t>
            </w:r>
          </w:p>
        </w:tc>
      </w:tr>
      <w:tr w:rsidR="004B729E" w:rsidRPr="007C3060" w14:paraId="5C779E5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507FCE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E7D716C" w14:textId="77777777" w:rsidR="000A2A2B" w:rsidRPr="007C3060" w:rsidRDefault="000A2A2B" w:rsidP="007C3060">
            <w:r w:rsidRPr="007C3060">
              <w:t>32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7517DF" w14:textId="77777777" w:rsidR="000A2A2B" w:rsidRPr="007C3060" w:rsidRDefault="000A2A2B" w:rsidP="007C3060">
            <w:r w:rsidRPr="007C3060">
              <w:t xml:space="preserve">Miljøtiltak Folldal,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21A578" w14:textId="77777777" w:rsidR="000A2A2B" w:rsidRPr="007C3060" w:rsidRDefault="000A2A2B" w:rsidP="007C3060">
            <w:r w:rsidRPr="007C3060">
              <w:t>28 101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D5D62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8606D6"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C12A11" w14:textId="77777777" w:rsidR="000A2A2B" w:rsidRPr="007C3060" w:rsidRDefault="000A2A2B" w:rsidP="007C3060">
            <w:r w:rsidRPr="007C3060">
              <w:t>18 101</w:t>
            </w:r>
          </w:p>
        </w:tc>
      </w:tr>
      <w:tr w:rsidR="004B729E" w:rsidRPr="007C3060" w14:paraId="29A30306"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7402A3CE" w14:textId="77777777" w:rsidR="000A2A2B" w:rsidRPr="007C3060" w:rsidRDefault="000A2A2B" w:rsidP="007C3060">
            <w:r w:rsidRPr="007C3060">
              <w:t>907</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2453101F"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19E3986" w14:textId="77777777" w:rsidR="000A2A2B" w:rsidRPr="007C3060" w:rsidRDefault="000A2A2B" w:rsidP="007C3060">
            <w:r w:rsidRPr="007C3060">
              <w:t>Norsk nukleær dekommisjonering</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E118F5D"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2B5B9C8"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0A4DCB6"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FB40EA8" w14:textId="77777777" w:rsidR="000A2A2B" w:rsidRPr="007C3060" w:rsidRDefault="000A2A2B" w:rsidP="007C3060"/>
        </w:tc>
      </w:tr>
      <w:tr w:rsidR="004B729E" w:rsidRPr="007C3060" w14:paraId="7351646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DB7B54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BB326AF"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DFEE00"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BA5B74" w14:textId="77777777" w:rsidR="000A2A2B" w:rsidRPr="007C3060" w:rsidRDefault="000A2A2B" w:rsidP="007C3060">
            <w:r w:rsidRPr="007C3060">
              <w:t>189 400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5348B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1A14BD" w14:textId="77777777" w:rsidR="000A2A2B" w:rsidRPr="007C3060" w:rsidRDefault="000A2A2B" w:rsidP="007C3060">
            <w:r w:rsidRPr="007C3060">
              <w:t>135 100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9A523B" w14:textId="77777777" w:rsidR="000A2A2B" w:rsidRPr="007C3060" w:rsidRDefault="000A2A2B" w:rsidP="007C3060">
            <w:r w:rsidRPr="007C3060">
              <w:t>324 500</w:t>
            </w:r>
          </w:p>
        </w:tc>
      </w:tr>
      <w:tr w:rsidR="004B729E" w:rsidRPr="007C3060" w14:paraId="7E09534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486458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E26DC41"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DCA5FF"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D8EF32" w14:textId="77777777" w:rsidR="000A2A2B" w:rsidRPr="007C3060" w:rsidRDefault="000A2A2B" w:rsidP="007C3060">
            <w:r w:rsidRPr="007C3060">
              <w:t>482 670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5D168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36DA57" w14:textId="77777777" w:rsidR="000A2A2B" w:rsidRPr="007C3060" w:rsidRDefault="000A2A2B" w:rsidP="007C3060">
            <w:r w:rsidRPr="007C3060">
              <w:t>-72 000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632182" w14:textId="77777777" w:rsidR="000A2A2B" w:rsidRPr="007C3060" w:rsidRDefault="000A2A2B" w:rsidP="007C3060">
            <w:r w:rsidRPr="007C3060">
              <w:t>410 670</w:t>
            </w:r>
          </w:p>
        </w:tc>
      </w:tr>
      <w:tr w:rsidR="004B729E" w:rsidRPr="007C3060" w14:paraId="2206965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6CC25C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0D227A0" w14:textId="77777777" w:rsidR="000A2A2B" w:rsidRPr="007C3060" w:rsidRDefault="000A2A2B" w:rsidP="007C3060">
            <w:r w:rsidRPr="007C306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46E0EB" w14:textId="77777777" w:rsidR="000A2A2B" w:rsidRPr="007C3060" w:rsidRDefault="000A2A2B" w:rsidP="007C3060">
            <w:r w:rsidRPr="007C3060">
              <w:t xml:space="preserve">Tilskudd til kommuner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2F6F42" w14:textId="77777777" w:rsidR="000A2A2B" w:rsidRPr="007C3060" w:rsidRDefault="000A2A2B" w:rsidP="007C3060">
            <w:r w:rsidRPr="007C3060">
              <w:t>5 600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CC39A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CC8D1D" w14:textId="77777777" w:rsidR="000A2A2B" w:rsidRPr="007C3060" w:rsidRDefault="000A2A2B" w:rsidP="007C3060">
            <w:r w:rsidRPr="007C3060">
              <w:t>1 500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4E7C63" w14:textId="77777777" w:rsidR="000A2A2B" w:rsidRPr="007C3060" w:rsidRDefault="000A2A2B" w:rsidP="007C3060">
            <w:r w:rsidRPr="007C3060">
              <w:t>7 100</w:t>
            </w:r>
          </w:p>
        </w:tc>
      </w:tr>
      <w:tr w:rsidR="004B729E" w:rsidRPr="007C3060" w14:paraId="725020F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1C2602B" w14:textId="77777777" w:rsidR="000A2A2B" w:rsidRPr="007C3060" w:rsidRDefault="000A2A2B" w:rsidP="007C3060">
            <w:r w:rsidRPr="007C3060">
              <w:t>908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8F0464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C53151" w14:textId="77777777" w:rsidR="000A2A2B" w:rsidRPr="007C3060" w:rsidRDefault="000A2A2B" w:rsidP="007C3060">
            <w:r w:rsidRPr="007C3060">
              <w:t>Institutt for energiteknikk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01BF4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12D76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DDC25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754120" w14:textId="77777777" w:rsidR="000A2A2B" w:rsidRPr="007C3060" w:rsidRDefault="000A2A2B" w:rsidP="007C3060"/>
        </w:tc>
      </w:tr>
      <w:tr w:rsidR="004B729E" w:rsidRPr="007C3060" w14:paraId="7FD779C9"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070DBAB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4C0B242"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835528" w14:textId="68E03B45" w:rsidR="000A2A2B" w:rsidRPr="007C3060" w:rsidRDefault="000A2A2B" w:rsidP="007C3060">
            <w:r w:rsidRPr="007C3060">
              <w:t xml:space="preserve">Tilskudd til drift av atomanlegg, </w:t>
            </w:r>
            <w:r w:rsidRPr="007C3060">
              <w:rPr>
                <w:rStyle w:val="kursiv"/>
              </w:rPr>
              <w:t>kan nyttes under kap. 907,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66CECD" w14:textId="77777777" w:rsidR="000A2A2B" w:rsidRPr="007C3060" w:rsidRDefault="000A2A2B" w:rsidP="007C3060">
            <w:r w:rsidRPr="007C3060">
              <w:t>466 180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185E3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E28832" w14:textId="77777777" w:rsidR="000A2A2B" w:rsidRPr="007C3060" w:rsidRDefault="000A2A2B" w:rsidP="007C3060">
            <w:r w:rsidRPr="007C3060">
              <w:t>-157 900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8FAC73" w14:textId="77777777" w:rsidR="000A2A2B" w:rsidRPr="007C3060" w:rsidRDefault="000A2A2B" w:rsidP="007C3060">
            <w:r w:rsidRPr="007C3060">
              <w:t>308 280</w:t>
            </w:r>
          </w:p>
        </w:tc>
      </w:tr>
      <w:tr w:rsidR="004B729E" w:rsidRPr="007C3060" w14:paraId="407ECCD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868153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C020A3D"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4F8F4B" w14:textId="77777777" w:rsidR="000A2A2B" w:rsidRPr="007C3060" w:rsidRDefault="000A2A2B" w:rsidP="007C3060">
            <w:r w:rsidRPr="007C3060">
              <w:t xml:space="preserve">Tilskudd til sikring av atomanlegg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38EE83" w14:textId="77777777" w:rsidR="000A2A2B" w:rsidRPr="007C3060" w:rsidRDefault="000A2A2B" w:rsidP="007C3060">
            <w:r w:rsidRPr="007C3060">
              <w:t>51 131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22EF4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417E61" w14:textId="77777777" w:rsidR="000A2A2B" w:rsidRPr="007C3060" w:rsidRDefault="000A2A2B" w:rsidP="007C3060">
            <w:r w:rsidRPr="007C3060">
              <w:t>39 400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9A5369" w14:textId="77777777" w:rsidR="000A2A2B" w:rsidRPr="007C3060" w:rsidRDefault="000A2A2B" w:rsidP="007C3060">
            <w:r w:rsidRPr="007C3060">
              <w:t>90 531</w:t>
            </w:r>
          </w:p>
        </w:tc>
      </w:tr>
      <w:tr w:rsidR="004B729E" w:rsidRPr="007C3060" w14:paraId="56C41870"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B8645C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930AB8E"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323782" w14:textId="7D4EAF56" w:rsidR="000A2A2B" w:rsidRPr="007C3060" w:rsidRDefault="000A2A2B" w:rsidP="007C3060">
            <w:r w:rsidRPr="007C3060">
              <w:t xml:space="preserve">Lån til flytting av laboratorier og infrastruktur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8856AA" w14:textId="77777777" w:rsidR="000A2A2B" w:rsidRPr="007C3060" w:rsidRDefault="000A2A2B" w:rsidP="007C3060">
            <w:r w:rsidRPr="007C3060">
              <w:t>65 000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71628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DE3D78" w14:textId="77777777" w:rsidR="000A2A2B" w:rsidRPr="007C3060" w:rsidRDefault="000A2A2B" w:rsidP="007C3060">
            <w:r w:rsidRPr="007C3060">
              <w:t>-30 000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E91B2B" w14:textId="77777777" w:rsidR="000A2A2B" w:rsidRPr="007C3060" w:rsidRDefault="000A2A2B" w:rsidP="007C3060">
            <w:r w:rsidRPr="007C3060">
              <w:t>35 000</w:t>
            </w:r>
          </w:p>
        </w:tc>
      </w:tr>
      <w:tr w:rsidR="004B729E" w:rsidRPr="007C3060" w14:paraId="60ECBC1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BEA5608" w14:textId="77777777" w:rsidR="000A2A2B" w:rsidRPr="007C3060" w:rsidRDefault="000A2A2B" w:rsidP="007C3060">
            <w:r w:rsidRPr="007C3060">
              <w:t>910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7F3467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E37A6E" w14:textId="77777777" w:rsidR="000A2A2B" w:rsidRPr="007C3060" w:rsidRDefault="000A2A2B" w:rsidP="007C3060">
            <w:r w:rsidRPr="007C3060">
              <w:t>Sjøfartsdirektoratet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DCAC12"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C20DC7"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97399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89862A" w14:textId="77777777" w:rsidR="000A2A2B" w:rsidRPr="007C3060" w:rsidRDefault="000A2A2B" w:rsidP="007C3060"/>
        </w:tc>
      </w:tr>
      <w:tr w:rsidR="004B729E" w:rsidRPr="007C3060" w14:paraId="7FC7316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4F8BF7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5D5C413"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CFB4FC"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5F2E91" w14:textId="77777777" w:rsidR="000A2A2B" w:rsidRPr="007C3060" w:rsidRDefault="000A2A2B" w:rsidP="007C3060">
            <w:r w:rsidRPr="007C3060">
              <w:t>503 640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8A56C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30E66B" w14:textId="77777777" w:rsidR="000A2A2B" w:rsidRPr="007C3060" w:rsidRDefault="000A2A2B" w:rsidP="007C3060">
            <w:r w:rsidRPr="007C3060">
              <w:t>12 100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045895" w14:textId="77777777" w:rsidR="000A2A2B" w:rsidRPr="007C3060" w:rsidRDefault="000A2A2B" w:rsidP="007C3060">
            <w:r w:rsidRPr="007C3060">
              <w:t>515 740</w:t>
            </w:r>
          </w:p>
        </w:tc>
      </w:tr>
      <w:tr w:rsidR="004B729E" w:rsidRPr="007C3060" w14:paraId="1827DC7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7C038FB" w14:textId="77777777" w:rsidR="000A2A2B" w:rsidRPr="007C3060" w:rsidRDefault="000A2A2B" w:rsidP="007C3060">
            <w:r w:rsidRPr="007C3060">
              <w:t>912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456BDF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C18856" w14:textId="77777777" w:rsidR="000A2A2B" w:rsidRPr="007C3060" w:rsidRDefault="000A2A2B" w:rsidP="007C3060">
            <w:r w:rsidRPr="007C3060">
              <w:t>Klagenemndssekretariatet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983783"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96887C"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FEEC7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C26EF8" w14:textId="77777777" w:rsidR="000A2A2B" w:rsidRPr="007C3060" w:rsidRDefault="000A2A2B" w:rsidP="007C3060"/>
        </w:tc>
      </w:tr>
      <w:tr w:rsidR="004B729E" w:rsidRPr="007C3060" w14:paraId="488AE39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C426A5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AF5AD7F"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0DB595"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FBE3CD" w14:textId="77777777" w:rsidR="000A2A2B" w:rsidRPr="007C3060" w:rsidRDefault="000A2A2B" w:rsidP="007C3060">
            <w:r w:rsidRPr="007C3060">
              <w:t>39 150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5F250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1CA3E2" w14:textId="77777777" w:rsidR="000A2A2B" w:rsidRPr="007C3060" w:rsidRDefault="000A2A2B" w:rsidP="007C3060">
            <w:r w:rsidRPr="007C3060">
              <w:t>2 250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C7F83C" w14:textId="77777777" w:rsidR="000A2A2B" w:rsidRPr="007C3060" w:rsidRDefault="000A2A2B" w:rsidP="007C3060">
            <w:r w:rsidRPr="007C3060">
              <w:t>41 400</w:t>
            </w:r>
          </w:p>
        </w:tc>
      </w:tr>
      <w:tr w:rsidR="004B729E" w:rsidRPr="007C3060" w14:paraId="087C53D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34946B6" w14:textId="77777777" w:rsidR="000A2A2B" w:rsidRPr="007C3060" w:rsidRDefault="000A2A2B" w:rsidP="007C3060">
            <w:r w:rsidRPr="007C3060">
              <w:t>916</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D2A7274"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75D123" w14:textId="77777777" w:rsidR="000A2A2B" w:rsidRPr="007C3060" w:rsidRDefault="000A2A2B" w:rsidP="007C3060">
            <w:r w:rsidRPr="007C3060">
              <w:t>Kystverket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E5157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744ED7"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01703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39B25C" w14:textId="77777777" w:rsidR="000A2A2B" w:rsidRPr="007C3060" w:rsidRDefault="000A2A2B" w:rsidP="007C3060"/>
        </w:tc>
      </w:tr>
      <w:tr w:rsidR="004B729E" w:rsidRPr="007C3060" w14:paraId="7EA4C1A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4A9C9A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0A913DC"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6BA7C1" w14:textId="77777777" w:rsidR="000A2A2B" w:rsidRPr="007C3060" w:rsidRDefault="000A2A2B" w:rsidP="007C3060">
            <w:r w:rsidRPr="007C3060">
              <w:t xml:space="preserve">Driftsutgifter, </w:t>
            </w:r>
            <w:r w:rsidRPr="007C3060">
              <w:rPr>
                <w:rStyle w:val="kursiv"/>
              </w:rPr>
              <w:t>kan nyttes under post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0F5FDE" w14:textId="77777777" w:rsidR="000A2A2B" w:rsidRPr="007C3060" w:rsidRDefault="000A2A2B" w:rsidP="007C3060">
            <w:r w:rsidRPr="007C3060">
              <w:t>1 295 560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DDAFC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AE1161" w14:textId="77777777" w:rsidR="000A2A2B" w:rsidRPr="007C3060" w:rsidRDefault="000A2A2B" w:rsidP="007C3060">
            <w:r w:rsidRPr="007C3060">
              <w:t>99 100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DDA237" w14:textId="77777777" w:rsidR="000A2A2B" w:rsidRPr="007C3060" w:rsidRDefault="000A2A2B" w:rsidP="007C3060">
            <w:r w:rsidRPr="007C3060">
              <w:t>1 394 660</w:t>
            </w:r>
          </w:p>
        </w:tc>
      </w:tr>
      <w:tr w:rsidR="004B729E" w:rsidRPr="007C3060" w14:paraId="099199A6"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1A58A1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6B07D23"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BD7232" w14:textId="77777777" w:rsidR="000A2A2B" w:rsidRPr="007C3060" w:rsidRDefault="000A2A2B" w:rsidP="007C3060">
            <w:r w:rsidRPr="007C3060">
              <w:t xml:space="preserve">Driftsutgifter brukerfinansierte tjenester, </w:t>
            </w:r>
            <w:r w:rsidRPr="007C3060">
              <w:rPr>
                <w:rStyle w:val="kursiv"/>
              </w:rPr>
              <w:t>kan overføres</w:t>
            </w:r>
            <w:r w:rsidRPr="007C3060">
              <w:t>,</w:t>
            </w:r>
            <w:r w:rsidRPr="007C3060">
              <w:rPr>
                <w:rStyle w:val="kursiv"/>
              </w:rPr>
              <w:t xml:space="preserve"> kan nyttes under post 46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D2B0C4" w14:textId="77777777" w:rsidR="000A2A2B" w:rsidRPr="007C3060" w:rsidRDefault="000A2A2B" w:rsidP="007C3060">
            <w:r w:rsidRPr="007C3060">
              <w:t>1 090 350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D44FC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0579CE" w14:textId="77777777" w:rsidR="000A2A2B" w:rsidRPr="007C3060" w:rsidRDefault="000A2A2B" w:rsidP="007C3060">
            <w:r w:rsidRPr="007C3060">
              <w:t>156 800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1EBEFB" w14:textId="77777777" w:rsidR="000A2A2B" w:rsidRPr="007C3060" w:rsidRDefault="000A2A2B" w:rsidP="007C3060">
            <w:r w:rsidRPr="007C3060">
              <w:t>1 247 150</w:t>
            </w:r>
          </w:p>
        </w:tc>
      </w:tr>
      <w:tr w:rsidR="004B729E" w:rsidRPr="007C3060" w14:paraId="0ACC08F8"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31C02F8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4EC06B1" w14:textId="77777777" w:rsidR="000A2A2B" w:rsidRPr="007C3060" w:rsidRDefault="000A2A2B" w:rsidP="007C3060">
            <w:r w:rsidRPr="007C3060">
              <w:t>46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C97410" w14:textId="4EA97E50" w:rsidR="000A2A2B" w:rsidRPr="007C3060" w:rsidRDefault="000A2A2B" w:rsidP="007C3060">
            <w:r w:rsidRPr="007C3060">
              <w:t>Større utstyrsanskaffelser og bruker-finansierte tjenester,</w:t>
            </w:r>
            <w:r w:rsidRPr="007C3060">
              <w:rPr>
                <w:rStyle w:val="kursiv"/>
              </w:rPr>
              <w:t xml:space="preserve"> kan overføres, kan nyttes under post 22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7679C2" w14:textId="77777777" w:rsidR="000A2A2B" w:rsidRPr="007C3060" w:rsidRDefault="000A2A2B" w:rsidP="007C3060">
            <w:r w:rsidRPr="007C3060">
              <w:t>22 289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29C93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181BBD" w14:textId="77777777" w:rsidR="000A2A2B" w:rsidRPr="007C3060" w:rsidRDefault="000A2A2B" w:rsidP="007C3060">
            <w:r w:rsidRPr="007C3060">
              <w:t>-12 600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ED11AD" w14:textId="77777777" w:rsidR="000A2A2B" w:rsidRPr="007C3060" w:rsidRDefault="000A2A2B" w:rsidP="007C3060">
            <w:r w:rsidRPr="007C3060">
              <w:t>9 689</w:t>
            </w:r>
          </w:p>
        </w:tc>
      </w:tr>
      <w:tr w:rsidR="004B729E" w:rsidRPr="007C3060" w14:paraId="2EDAF8F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080D3F4" w14:textId="77777777" w:rsidR="000A2A2B" w:rsidRPr="007C3060" w:rsidRDefault="000A2A2B" w:rsidP="007C3060">
            <w:r w:rsidRPr="007C3060">
              <w:t>917</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9502AE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89E184" w14:textId="77777777" w:rsidR="000A2A2B" w:rsidRPr="007C3060" w:rsidRDefault="000A2A2B" w:rsidP="007C3060">
            <w:r w:rsidRPr="007C3060">
              <w:t>Fiskeridirektoratet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9D4E76"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D7BF9C"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DEAD1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A3615C" w14:textId="77777777" w:rsidR="000A2A2B" w:rsidRPr="007C3060" w:rsidRDefault="000A2A2B" w:rsidP="007C3060"/>
        </w:tc>
      </w:tr>
      <w:tr w:rsidR="004B729E" w:rsidRPr="007C3060" w14:paraId="3D32E7E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18ED16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F047844"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86C1B6"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C24A71" w14:textId="77777777" w:rsidR="000A2A2B" w:rsidRPr="007C3060" w:rsidRDefault="000A2A2B" w:rsidP="007C3060">
            <w:r w:rsidRPr="007C3060">
              <w:t>518 050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AEBD6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4BEB4" w14:textId="77777777" w:rsidR="000A2A2B" w:rsidRPr="007C3060" w:rsidRDefault="000A2A2B" w:rsidP="007C3060">
            <w:r w:rsidRPr="007C3060">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34F8A0" w14:textId="77777777" w:rsidR="000A2A2B" w:rsidRPr="007C3060" w:rsidRDefault="000A2A2B" w:rsidP="007C3060">
            <w:r w:rsidRPr="007C3060">
              <w:t>522 050</w:t>
            </w:r>
          </w:p>
        </w:tc>
      </w:tr>
      <w:tr w:rsidR="004B729E" w:rsidRPr="007C3060" w14:paraId="307019D5"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4F7FB6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873D6B7"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00E47A" w14:textId="575F9781" w:rsidR="000A2A2B" w:rsidRPr="007C3060" w:rsidRDefault="000A2A2B" w:rsidP="007C3060">
            <w:r w:rsidRPr="007C3060">
              <w:t xml:space="preserve">Fiskeriforskning og -overvåking,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49E66C" w14:textId="77777777" w:rsidR="000A2A2B" w:rsidRPr="007C3060" w:rsidRDefault="000A2A2B" w:rsidP="007C3060">
            <w:r w:rsidRPr="007C3060">
              <w:t>119 300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19AFB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773B06" w14:textId="77777777" w:rsidR="000A2A2B" w:rsidRPr="007C3060" w:rsidRDefault="000A2A2B" w:rsidP="007C3060">
            <w:r w:rsidRPr="007C3060">
              <w:t>14 900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2047D2" w14:textId="77777777" w:rsidR="000A2A2B" w:rsidRPr="007C3060" w:rsidRDefault="000A2A2B" w:rsidP="007C3060">
            <w:r w:rsidRPr="007C3060">
              <w:t>134 200</w:t>
            </w:r>
          </w:p>
        </w:tc>
      </w:tr>
      <w:tr w:rsidR="004B729E" w:rsidRPr="007C3060" w14:paraId="492F42D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79BD25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FE19599" w14:textId="77777777" w:rsidR="000A2A2B" w:rsidRPr="007C3060" w:rsidRDefault="000A2A2B" w:rsidP="007C3060">
            <w:r w:rsidRPr="007C3060">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34CC52" w14:textId="77777777" w:rsidR="000A2A2B" w:rsidRPr="007C3060" w:rsidRDefault="000A2A2B" w:rsidP="007C3060">
            <w:r w:rsidRPr="007C3060">
              <w:t xml:space="preserve">Prisråd for havbruk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8F5967" w14:textId="77777777" w:rsidR="000A2A2B" w:rsidRPr="007C3060" w:rsidRDefault="000A2A2B" w:rsidP="007C3060">
            <w:r w:rsidRPr="007C3060">
              <w:t>12 400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65A8A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04A9D2" w14:textId="77777777" w:rsidR="000A2A2B" w:rsidRPr="007C3060" w:rsidRDefault="000A2A2B" w:rsidP="007C3060">
            <w:r w:rsidRPr="007C3060">
              <w:t>6 900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F3C73C" w14:textId="77777777" w:rsidR="000A2A2B" w:rsidRPr="007C3060" w:rsidRDefault="000A2A2B" w:rsidP="007C3060">
            <w:r w:rsidRPr="007C3060">
              <w:t>19 300</w:t>
            </w:r>
          </w:p>
        </w:tc>
      </w:tr>
      <w:tr w:rsidR="004B729E" w:rsidRPr="007C3060" w14:paraId="6D9E120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524A147" w14:textId="77777777" w:rsidR="000A2A2B" w:rsidRPr="007C3060" w:rsidRDefault="000A2A2B" w:rsidP="007C3060">
            <w:r w:rsidRPr="007C3060">
              <w:t>919</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94BF2D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AFF7F9" w14:textId="77777777" w:rsidR="000A2A2B" w:rsidRPr="007C3060" w:rsidRDefault="000A2A2B" w:rsidP="007C3060">
            <w:r w:rsidRPr="007C3060">
              <w:t>Diverse fiskeriformål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C8EB7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FD1BAD"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1B9C9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52C6B6" w14:textId="77777777" w:rsidR="000A2A2B" w:rsidRPr="007C3060" w:rsidRDefault="000A2A2B" w:rsidP="007C3060"/>
        </w:tc>
      </w:tr>
      <w:tr w:rsidR="004B729E" w:rsidRPr="007C3060" w14:paraId="62FDBC96"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4257AB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CE0B956" w14:textId="77777777" w:rsidR="000A2A2B" w:rsidRPr="007C3060" w:rsidRDefault="000A2A2B" w:rsidP="007C3060">
            <w:r w:rsidRPr="007C306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32D456" w14:textId="77777777" w:rsidR="000A2A2B" w:rsidRPr="007C3060" w:rsidRDefault="000A2A2B" w:rsidP="007C3060">
            <w:r w:rsidRPr="007C3060">
              <w:t xml:space="preserve">Tilskudd til kommuner og fylkes-kommuner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08B4A5" w14:textId="77777777" w:rsidR="000A2A2B" w:rsidRPr="007C3060" w:rsidRDefault="000A2A2B" w:rsidP="007C3060">
            <w:r w:rsidRPr="007C3060">
              <w:t>1 244 000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06E9C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42FD83" w14:textId="77777777" w:rsidR="000A2A2B" w:rsidRPr="007C3060" w:rsidRDefault="000A2A2B" w:rsidP="007C3060">
            <w:r w:rsidRPr="007C3060">
              <w:t>171 349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04675A" w14:textId="77777777" w:rsidR="000A2A2B" w:rsidRPr="007C3060" w:rsidRDefault="000A2A2B" w:rsidP="007C3060">
            <w:r w:rsidRPr="007C3060">
              <w:t>1 415 349</w:t>
            </w:r>
          </w:p>
        </w:tc>
      </w:tr>
      <w:tr w:rsidR="004B729E" w:rsidRPr="007C3060" w14:paraId="629AD4E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B38BEF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B0359A9" w14:textId="77777777" w:rsidR="000A2A2B" w:rsidRPr="007C3060" w:rsidRDefault="000A2A2B" w:rsidP="007C3060">
            <w:r w:rsidRPr="007C306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935DE5" w14:textId="77777777" w:rsidR="000A2A2B" w:rsidRPr="007C3060" w:rsidRDefault="000A2A2B" w:rsidP="007C3060">
            <w:r w:rsidRPr="007C3060">
              <w:t xml:space="preserve">Tilskudd til fiskeriforskning,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85E832" w14:textId="77777777" w:rsidR="000A2A2B" w:rsidRPr="007C3060" w:rsidRDefault="000A2A2B" w:rsidP="007C3060">
            <w:r w:rsidRPr="007C3060">
              <w:t>6 800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297D0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ADB46F" w14:textId="77777777" w:rsidR="000A2A2B" w:rsidRPr="007C3060" w:rsidRDefault="000A2A2B" w:rsidP="007C3060">
            <w:r w:rsidRPr="007C3060">
              <w:t>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EFBFB9" w14:textId="77777777" w:rsidR="000A2A2B" w:rsidRPr="007C3060" w:rsidRDefault="000A2A2B" w:rsidP="007C3060">
            <w:r w:rsidRPr="007C3060">
              <w:t>7 600</w:t>
            </w:r>
          </w:p>
        </w:tc>
      </w:tr>
      <w:tr w:rsidR="004B729E" w:rsidRPr="007C3060" w14:paraId="1185F8C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8E780B1" w14:textId="77777777" w:rsidR="000A2A2B" w:rsidRPr="007C3060" w:rsidRDefault="000A2A2B" w:rsidP="007C3060">
            <w:r w:rsidRPr="007C3060">
              <w:t>920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44100B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C5FE7F" w14:textId="77777777" w:rsidR="000A2A2B" w:rsidRPr="007C3060" w:rsidRDefault="000A2A2B" w:rsidP="007C3060">
            <w:r w:rsidRPr="007C3060">
              <w:t>Norges forskningsråd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C10B93"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E60481"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47BDA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447695" w14:textId="77777777" w:rsidR="000A2A2B" w:rsidRPr="007C3060" w:rsidRDefault="000A2A2B" w:rsidP="007C3060"/>
        </w:tc>
      </w:tr>
      <w:tr w:rsidR="004B729E" w:rsidRPr="007C3060" w14:paraId="3E5092EE"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BA61BD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E882696"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3D038A" w14:textId="77777777" w:rsidR="000A2A2B" w:rsidRPr="007C3060" w:rsidRDefault="000A2A2B" w:rsidP="007C3060">
            <w:r w:rsidRPr="007C3060">
              <w:t xml:space="preserve">Tilskudd til marin og maritim forskning,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BD7DB3" w14:textId="77777777" w:rsidR="000A2A2B" w:rsidRPr="007C3060" w:rsidRDefault="000A2A2B" w:rsidP="007C3060">
            <w:r w:rsidRPr="007C3060">
              <w:t>439 320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8C418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BB8C14" w14:textId="77777777" w:rsidR="000A2A2B" w:rsidRPr="007C3060" w:rsidRDefault="000A2A2B" w:rsidP="007C3060">
            <w:r w:rsidRPr="007C3060">
              <w:t>1 400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F9842D" w14:textId="77777777" w:rsidR="000A2A2B" w:rsidRPr="007C3060" w:rsidRDefault="000A2A2B" w:rsidP="007C3060">
            <w:r w:rsidRPr="007C3060">
              <w:t>440 720</w:t>
            </w:r>
          </w:p>
        </w:tc>
      </w:tr>
      <w:tr w:rsidR="004B729E" w:rsidRPr="007C3060" w14:paraId="35A0889F"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34219379" w14:textId="77777777" w:rsidR="000A2A2B" w:rsidRPr="007C3060" w:rsidRDefault="000A2A2B" w:rsidP="007C3060">
            <w:r w:rsidRPr="007C3060">
              <w:lastRenderedPageBreak/>
              <w:t>922</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072348BA"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FA9AAC9" w14:textId="77777777" w:rsidR="000A2A2B" w:rsidRPr="007C3060" w:rsidRDefault="000A2A2B" w:rsidP="007C3060">
            <w:r w:rsidRPr="007C3060">
              <w:t>Romvirksomhet</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B09C918"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1748319"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DD626B5"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B97B250" w14:textId="77777777" w:rsidR="000A2A2B" w:rsidRPr="007C3060" w:rsidRDefault="000A2A2B" w:rsidP="007C3060"/>
        </w:tc>
      </w:tr>
      <w:tr w:rsidR="004B729E" w:rsidRPr="007C3060" w14:paraId="482E6418"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AA6026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DB7A7B9"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AA50C8" w14:textId="77777777" w:rsidR="000A2A2B" w:rsidRPr="007C3060" w:rsidRDefault="000A2A2B" w:rsidP="007C3060">
            <w:r w:rsidRPr="007C3060">
              <w:t xml:space="preserve">Kontingent i European Space </w:t>
            </w:r>
            <w:proofErr w:type="spellStart"/>
            <w:r w:rsidRPr="007C3060">
              <w:t>Agency</w:t>
            </w:r>
            <w:proofErr w:type="spellEnd"/>
            <w:r w:rsidRPr="007C3060">
              <w:t xml:space="preserve"> (ESA)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E9C3C6" w14:textId="77777777" w:rsidR="000A2A2B" w:rsidRPr="007C3060" w:rsidRDefault="000A2A2B" w:rsidP="007C3060">
            <w:r w:rsidRPr="007C3060">
              <w:t>276 212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0868D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AA8E6A" w14:textId="77777777" w:rsidR="000A2A2B" w:rsidRPr="007C3060" w:rsidRDefault="000A2A2B" w:rsidP="007C3060">
            <w:r w:rsidRPr="007C3060">
              <w:t>9 100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266CF2" w14:textId="77777777" w:rsidR="000A2A2B" w:rsidRPr="007C3060" w:rsidRDefault="000A2A2B" w:rsidP="007C3060">
            <w:r w:rsidRPr="007C3060">
              <w:t>285 312</w:t>
            </w:r>
          </w:p>
        </w:tc>
      </w:tr>
      <w:tr w:rsidR="004B729E" w:rsidRPr="007C3060" w14:paraId="2418EEE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6C2C0F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8709751"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6A005A" w14:textId="77777777" w:rsidR="000A2A2B" w:rsidRPr="007C3060" w:rsidRDefault="000A2A2B" w:rsidP="007C3060">
            <w:r w:rsidRPr="007C3060">
              <w:t xml:space="preserve">Internasjonal romvirksomhet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9C552F" w14:textId="77777777" w:rsidR="000A2A2B" w:rsidRPr="007C3060" w:rsidRDefault="000A2A2B" w:rsidP="007C3060">
            <w:r w:rsidRPr="007C3060">
              <w:t>499 509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7CD9C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BB3169" w14:textId="77777777" w:rsidR="000A2A2B" w:rsidRPr="007C3060" w:rsidRDefault="000A2A2B" w:rsidP="007C3060">
            <w:r w:rsidRPr="007C3060">
              <w:t>-31 400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6350A0" w14:textId="77777777" w:rsidR="000A2A2B" w:rsidRPr="007C3060" w:rsidRDefault="000A2A2B" w:rsidP="007C3060">
            <w:r w:rsidRPr="007C3060">
              <w:t>468 109</w:t>
            </w:r>
          </w:p>
        </w:tc>
      </w:tr>
      <w:tr w:rsidR="004B729E" w:rsidRPr="007C3060" w14:paraId="794ADC2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B91F98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A1E48D8"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DD651A" w14:textId="77777777" w:rsidR="000A2A2B" w:rsidRPr="007C3060" w:rsidRDefault="000A2A2B" w:rsidP="007C3060">
            <w:r w:rsidRPr="007C3060">
              <w:t xml:space="preserve">EUs romprogrammer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7C8019" w14:textId="77777777" w:rsidR="000A2A2B" w:rsidRPr="007C3060" w:rsidRDefault="000A2A2B" w:rsidP="007C3060">
            <w:r w:rsidRPr="007C3060">
              <w:t>579 699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4AF6E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EEE21E" w14:textId="77777777" w:rsidR="000A2A2B" w:rsidRPr="007C3060" w:rsidRDefault="000A2A2B" w:rsidP="007C3060">
            <w:r w:rsidRPr="007C3060">
              <w:t>22 000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658FCF" w14:textId="77777777" w:rsidR="000A2A2B" w:rsidRPr="007C3060" w:rsidRDefault="000A2A2B" w:rsidP="007C3060">
            <w:r w:rsidRPr="007C3060">
              <w:t>601 699</w:t>
            </w:r>
          </w:p>
        </w:tc>
      </w:tr>
      <w:tr w:rsidR="004B729E" w:rsidRPr="007C3060" w14:paraId="6A298BC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7ECA9D8" w14:textId="77777777" w:rsidR="000A2A2B" w:rsidRPr="007C3060" w:rsidRDefault="000A2A2B" w:rsidP="007C3060">
            <w:r w:rsidRPr="007C3060">
              <w:t>923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D3CB00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3A5109" w14:textId="77777777" w:rsidR="000A2A2B" w:rsidRPr="007C3060" w:rsidRDefault="000A2A2B" w:rsidP="007C3060">
            <w:r w:rsidRPr="007C3060">
              <w:t>Havforskningsinstituttet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43CB9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E558EA"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90B75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D55BA4" w14:textId="77777777" w:rsidR="000A2A2B" w:rsidRPr="007C3060" w:rsidRDefault="000A2A2B" w:rsidP="007C3060"/>
        </w:tc>
      </w:tr>
      <w:tr w:rsidR="004B729E" w:rsidRPr="007C3060" w14:paraId="6BB3504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6E42C0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A7A077A"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7D7B43" w14:textId="77777777" w:rsidR="000A2A2B" w:rsidRPr="007C3060" w:rsidRDefault="000A2A2B" w:rsidP="007C3060">
            <w:r w:rsidRPr="007C3060">
              <w:t xml:space="preserve">Driftsutgifter, </w:t>
            </w:r>
            <w:r w:rsidRPr="007C3060">
              <w:rPr>
                <w:rStyle w:val="kursiv"/>
              </w:rPr>
              <w:t>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EE65B3" w14:textId="77777777" w:rsidR="000A2A2B" w:rsidRPr="007C3060" w:rsidRDefault="000A2A2B" w:rsidP="007C3060">
            <w:r w:rsidRPr="007C3060">
              <w:t>867 050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C04BE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2BFE5C"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C9E06B" w14:textId="77777777" w:rsidR="000A2A2B" w:rsidRPr="007C3060" w:rsidRDefault="000A2A2B" w:rsidP="007C3060">
            <w:r w:rsidRPr="007C3060">
              <w:t>877 050</w:t>
            </w:r>
          </w:p>
        </w:tc>
      </w:tr>
      <w:tr w:rsidR="004B729E" w:rsidRPr="007C3060" w14:paraId="5A1D6251"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91B5A6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9672A10"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C54DBA" w14:textId="094424E8" w:rsidR="000A2A2B" w:rsidRPr="007C3060" w:rsidRDefault="000A2A2B" w:rsidP="007C3060">
            <w:r w:rsidRPr="007C3060">
              <w:t xml:space="preserve">Fiskeriforskning og -overvåking,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43AEF7" w14:textId="77777777" w:rsidR="000A2A2B" w:rsidRPr="007C3060" w:rsidRDefault="000A2A2B" w:rsidP="007C3060">
            <w:r w:rsidRPr="007C3060">
              <w:t>214 800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9BFDC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631F59" w14:textId="77777777" w:rsidR="000A2A2B" w:rsidRPr="007C3060" w:rsidRDefault="000A2A2B" w:rsidP="007C3060">
            <w:r w:rsidRPr="007C3060">
              <w:t>26 800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B65666" w14:textId="77777777" w:rsidR="000A2A2B" w:rsidRPr="007C3060" w:rsidRDefault="000A2A2B" w:rsidP="007C3060">
            <w:r w:rsidRPr="007C3060">
              <w:t>241 600</w:t>
            </w:r>
          </w:p>
        </w:tc>
      </w:tr>
      <w:tr w:rsidR="004B729E" w:rsidRPr="007C3060" w14:paraId="1DC7FA9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451A068" w14:textId="77777777" w:rsidR="000A2A2B" w:rsidRPr="007C3060" w:rsidRDefault="000A2A2B" w:rsidP="007C3060">
            <w:r w:rsidRPr="007C3060">
              <w:t>924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A838D9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DBFBEC" w14:textId="77777777" w:rsidR="000A2A2B" w:rsidRPr="007C3060" w:rsidRDefault="000A2A2B" w:rsidP="007C3060">
            <w:r w:rsidRPr="007C3060">
              <w:t>Internasjonale samarbeidsprogrammer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5C88AB"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F3CC3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EED18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E9A0BC" w14:textId="77777777" w:rsidR="000A2A2B" w:rsidRPr="007C3060" w:rsidRDefault="000A2A2B" w:rsidP="007C3060"/>
        </w:tc>
      </w:tr>
      <w:tr w:rsidR="004B729E" w:rsidRPr="007C3060" w14:paraId="0DAF634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BE5C98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9710E61"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4188A0" w14:textId="77777777" w:rsidR="000A2A2B" w:rsidRPr="007C3060" w:rsidRDefault="000A2A2B" w:rsidP="007C3060">
            <w:r w:rsidRPr="007C3060">
              <w:t xml:space="preserve">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233B24" w14:textId="77777777" w:rsidR="000A2A2B" w:rsidRPr="007C3060" w:rsidRDefault="000A2A2B" w:rsidP="007C3060">
            <w:r w:rsidRPr="007C3060">
              <w:t>387 900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A0A5D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067003" w14:textId="77777777" w:rsidR="000A2A2B" w:rsidRPr="007C3060" w:rsidRDefault="000A2A2B" w:rsidP="007C3060">
            <w:r w:rsidRPr="007C3060">
              <w:t>-27 400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03ED33" w14:textId="77777777" w:rsidR="000A2A2B" w:rsidRPr="007C3060" w:rsidRDefault="000A2A2B" w:rsidP="007C3060">
            <w:r w:rsidRPr="007C3060">
              <w:t>360 500</w:t>
            </w:r>
          </w:p>
        </w:tc>
      </w:tr>
      <w:tr w:rsidR="004B729E" w:rsidRPr="007C3060" w14:paraId="0EAA690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C80FCB4" w14:textId="77777777" w:rsidR="000A2A2B" w:rsidRPr="007C3060" w:rsidRDefault="000A2A2B" w:rsidP="007C3060">
            <w:r w:rsidRPr="007C3060">
              <w:t>928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B6B51A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28E383" w14:textId="77777777" w:rsidR="000A2A2B" w:rsidRPr="007C3060" w:rsidRDefault="000A2A2B" w:rsidP="007C3060">
            <w:r w:rsidRPr="007C3060">
              <w:t>Annen marin forskning og utvikling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AD02FD"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587B0E"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75851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7F2490" w14:textId="77777777" w:rsidR="000A2A2B" w:rsidRPr="007C3060" w:rsidRDefault="000A2A2B" w:rsidP="007C3060"/>
        </w:tc>
      </w:tr>
      <w:tr w:rsidR="004B729E" w:rsidRPr="007C3060" w14:paraId="1C15D0A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A8CEF2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BBFF71F"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784A70"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CC6CEE" w14:textId="77777777" w:rsidR="000A2A2B" w:rsidRPr="007C3060" w:rsidRDefault="000A2A2B" w:rsidP="007C3060">
            <w:r w:rsidRPr="007C3060">
              <w:t>39 550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7B897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54FA50" w14:textId="77777777" w:rsidR="000A2A2B" w:rsidRPr="007C3060" w:rsidRDefault="000A2A2B" w:rsidP="007C3060">
            <w:r w:rsidRPr="007C3060">
              <w:t>10 500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139A5E" w14:textId="77777777" w:rsidR="000A2A2B" w:rsidRPr="007C3060" w:rsidRDefault="000A2A2B" w:rsidP="007C3060">
            <w:r w:rsidRPr="007C3060">
              <w:t>50 050</w:t>
            </w:r>
          </w:p>
        </w:tc>
      </w:tr>
      <w:tr w:rsidR="004B729E" w:rsidRPr="007C3060" w14:paraId="46A2C0F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BF37676" w14:textId="77777777" w:rsidR="000A2A2B" w:rsidRPr="007C3060" w:rsidRDefault="000A2A2B" w:rsidP="007C3060">
            <w:r w:rsidRPr="007C3060">
              <w:t>951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61438C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D2EEB4" w14:textId="77777777" w:rsidR="000A2A2B" w:rsidRPr="007C3060" w:rsidRDefault="000A2A2B" w:rsidP="007C3060">
            <w:r w:rsidRPr="007C3060">
              <w:t>Store Norske Spitsbergen Kulkompani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1C4302"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4398D6"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4B464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D3C113" w14:textId="77777777" w:rsidR="000A2A2B" w:rsidRPr="007C3060" w:rsidRDefault="000A2A2B" w:rsidP="007C3060"/>
        </w:tc>
      </w:tr>
      <w:tr w:rsidR="004B729E" w:rsidRPr="007C3060" w14:paraId="1D5E2E0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CD2372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79B7297"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88025F" w14:textId="77777777" w:rsidR="000A2A2B" w:rsidRPr="007C3060" w:rsidRDefault="000A2A2B" w:rsidP="007C3060">
            <w:r w:rsidRPr="007C3060">
              <w:t xml:space="preserve">Tilskudd til energitiltak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CF9F1F"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18535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41DED5" w14:textId="77777777" w:rsidR="000A2A2B" w:rsidRPr="007C3060" w:rsidRDefault="000A2A2B" w:rsidP="007C3060">
            <w:r w:rsidRPr="007C3060">
              <w:t>12 000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0E945A" w14:textId="77777777" w:rsidR="000A2A2B" w:rsidRPr="007C3060" w:rsidRDefault="000A2A2B" w:rsidP="007C3060">
            <w:r w:rsidRPr="007C3060">
              <w:t>12 000</w:t>
            </w:r>
          </w:p>
        </w:tc>
      </w:tr>
      <w:tr w:rsidR="004B729E" w:rsidRPr="007C3060" w14:paraId="45DF9B3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11829E4" w14:textId="77777777" w:rsidR="000A2A2B" w:rsidRPr="007C3060" w:rsidRDefault="000A2A2B" w:rsidP="007C3060">
            <w:r w:rsidRPr="007C3060">
              <w:t>952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70BF2E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71A6E4" w14:textId="77777777" w:rsidR="000A2A2B" w:rsidRPr="007C3060" w:rsidRDefault="000A2A2B" w:rsidP="007C3060">
            <w:proofErr w:type="spellStart"/>
            <w:r w:rsidRPr="007C3060">
              <w:t>Investinor</w:t>
            </w:r>
            <w:proofErr w:type="spellEnd"/>
            <w:r w:rsidRPr="007C3060">
              <w:t xml:space="preserve">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1C23B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91ECE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39663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123DF4" w14:textId="77777777" w:rsidR="000A2A2B" w:rsidRPr="007C3060" w:rsidRDefault="000A2A2B" w:rsidP="007C3060"/>
        </w:tc>
      </w:tr>
      <w:tr w:rsidR="004B729E" w:rsidRPr="007C3060" w14:paraId="6A802BD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E51BA0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05AC231" w14:textId="77777777" w:rsidR="000A2A2B" w:rsidRPr="007C3060" w:rsidRDefault="000A2A2B" w:rsidP="007C3060">
            <w:r w:rsidRPr="007C3060">
              <w:t>51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D879E4" w14:textId="77777777" w:rsidR="000A2A2B" w:rsidRPr="007C3060" w:rsidRDefault="000A2A2B" w:rsidP="007C3060">
            <w:r w:rsidRPr="007C3060">
              <w:t xml:space="preserve">Tapsfond såkornkapital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C8DA1E"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64BD3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BCAF3E" w14:textId="77777777" w:rsidR="000A2A2B" w:rsidRPr="007C3060" w:rsidRDefault="000A2A2B" w:rsidP="007C3060">
            <w:r w:rsidRPr="007C3060">
              <w:t>166 000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9BAE72" w14:textId="77777777" w:rsidR="000A2A2B" w:rsidRPr="007C3060" w:rsidRDefault="000A2A2B" w:rsidP="007C3060">
            <w:r w:rsidRPr="007C3060">
              <w:t>166 000</w:t>
            </w:r>
          </w:p>
        </w:tc>
      </w:tr>
      <w:tr w:rsidR="004B729E" w:rsidRPr="007C3060" w14:paraId="3A99088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21EF4E7" w14:textId="77777777" w:rsidR="000A2A2B" w:rsidRPr="007C3060" w:rsidRDefault="000A2A2B" w:rsidP="007C3060">
            <w:r w:rsidRPr="007C3060">
              <w:t>954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8A6304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974FB6" w14:textId="77777777" w:rsidR="000A2A2B" w:rsidRPr="007C3060" w:rsidRDefault="000A2A2B" w:rsidP="007C3060">
            <w:proofErr w:type="spellStart"/>
            <w:r w:rsidRPr="007C3060">
              <w:t>Petoro</w:t>
            </w:r>
            <w:proofErr w:type="spellEnd"/>
            <w:r w:rsidRPr="007C3060">
              <w:t xml:space="preserve">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D9E83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AF2DF2"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82893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D5BBF8" w14:textId="77777777" w:rsidR="000A2A2B" w:rsidRPr="007C3060" w:rsidRDefault="000A2A2B" w:rsidP="007C3060"/>
        </w:tc>
      </w:tr>
      <w:tr w:rsidR="004B729E" w:rsidRPr="007C3060" w14:paraId="6EDE676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BE8675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DD0BDE9"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12568F" w14:textId="77777777" w:rsidR="000A2A2B" w:rsidRPr="007C3060" w:rsidRDefault="000A2A2B" w:rsidP="007C3060">
            <w:r w:rsidRPr="007C3060">
              <w:t xml:space="preserve">Tilskudd til administrasjon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8F674B" w14:textId="77777777" w:rsidR="000A2A2B" w:rsidRPr="007C3060" w:rsidRDefault="000A2A2B" w:rsidP="007C3060">
            <w:r w:rsidRPr="007C3060">
              <w:t>434 000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7A7CB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0E60FA" w14:textId="77777777" w:rsidR="000A2A2B" w:rsidRPr="007C3060" w:rsidRDefault="000A2A2B" w:rsidP="007C3060">
            <w:r w:rsidRPr="007C3060">
              <w:t>17 800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AB2606" w14:textId="77777777" w:rsidR="000A2A2B" w:rsidRPr="007C3060" w:rsidRDefault="000A2A2B" w:rsidP="007C3060">
            <w:r w:rsidRPr="007C3060">
              <w:t>451 800</w:t>
            </w:r>
          </w:p>
        </w:tc>
      </w:tr>
      <w:tr w:rsidR="004B729E" w:rsidRPr="007C3060" w14:paraId="036E3E90"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532CA17" w14:textId="77777777" w:rsidR="000A2A2B" w:rsidRPr="007C3060" w:rsidRDefault="000A2A2B" w:rsidP="007C3060">
            <w:r w:rsidRPr="007C3060">
              <w:t>Sum endringer Nærings- og fiskeridepartementet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87FBA2E"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7167126" w14:textId="77777777" w:rsidR="000A2A2B" w:rsidRPr="007C3060" w:rsidRDefault="000A2A2B" w:rsidP="007C3060">
            <w:r w:rsidRPr="007C3060">
              <w:t>454 000</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2FF6AA4" w14:textId="77777777" w:rsidR="000A2A2B" w:rsidRPr="007C3060" w:rsidRDefault="000A2A2B" w:rsidP="007C3060">
            <w:r w:rsidRPr="007C3060">
              <w:t>541 140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BAAD306" w14:textId="77777777" w:rsidR="000A2A2B" w:rsidRPr="007C3060" w:rsidRDefault="000A2A2B" w:rsidP="007C3060"/>
        </w:tc>
      </w:tr>
      <w:tr w:rsidR="004B729E" w:rsidRPr="007C3060" w14:paraId="48FA6B2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762D954" w14:textId="77777777" w:rsidR="000A2A2B" w:rsidRPr="007C3060" w:rsidRDefault="000A2A2B" w:rsidP="007C3060">
            <w:r w:rsidRPr="007C3060">
              <w:t>1100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6383C23"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67F5A4" w14:textId="77777777" w:rsidR="000A2A2B" w:rsidRPr="007C3060" w:rsidRDefault="000A2A2B" w:rsidP="007C3060">
            <w:r w:rsidRPr="007C3060">
              <w:t>Landbruks- og matdepartementet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474FC6"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CC2570"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C5109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1AD8C2" w14:textId="77777777" w:rsidR="000A2A2B" w:rsidRPr="007C3060" w:rsidRDefault="000A2A2B" w:rsidP="007C3060"/>
        </w:tc>
      </w:tr>
      <w:tr w:rsidR="004B729E" w:rsidRPr="007C3060" w14:paraId="7056E2F7"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49ECDD5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EF3C186"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53FBA3" w14:textId="1648811F" w:rsidR="000A2A2B" w:rsidRPr="007C3060" w:rsidRDefault="000A2A2B" w:rsidP="007C3060">
            <w:r w:rsidRPr="007C3060">
              <w:t xml:space="preserve">Større utstyrsanskaffelser og vedlikehold – ordinære forvaltningsorganer, </w:t>
            </w:r>
            <w:r w:rsidRPr="007C3060">
              <w:rPr>
                <w:rStyle w:val="kursiv"/>
              </w:rPr>
              <w:lastRenderedPageBreak/>
              <w:t>kan overføres, kan nyttes under post 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E95A68" w14:textId="77777777" w:rsidR="000A2A2B" w:rsidRPr="007C3060" w:rsidRDefault="000A2A2B" w:rsidP="007C3060">
            <w:r w:rsidRPr="007C3060">
              <w:lastRenderedPageBreak/>
              <w:t>3 026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3E187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3DF237" w14:textId="77777777" w:rsidR="000A2A2B" w:rsidRPr="007C3060" w:rsidRDefault="000A2A2B" w:rsidP="007C3060">
            <w:r w:rsidRPr="007C3060">
              <w:t>4 500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81DF0D" w14:textId="77777777" w:rsidR="000A2A2B" w:rsidRPr="007C3060" w:rsidRDefault="000A2A2B" w:rsidP="007C3060">
            <w:r w:rsidRPr="007C3060">
              <w:t>7 526</w:t>
            </w:r>
          </w:p>
        </w:tc>
      </w:tr>
      <w:tr w:rsidR="004B729E" w:rsidRPr="007C3060" w14:paraId="240565A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04E17A3" w14:textId="77777777" w:rsidR="000A2A2B" w:rsidRPr="007C3060" w:rsidRDefault="000A2A2B" w:rsidP="007C3060">
            <w:r w:rsidRPr="007C3060">
              <w:t>1142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EEDB66F"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7CA194" w14:textId="77777777" w:rsidR="000A2A2B" w:rsidRPr="007C3060" w:rsidRDefault="000A2A2B" w:rsidP="007C3060">
            <w:r w:rsidRPr="007C3060">
              <w:t>Landbruksdirektoratet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4FA22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0B8D07"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2E127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885A84" w14:textId="77777777" w:rsidR="000A2A2B" w:rsidRPr="007C3060" w:rsidRDefault="000A2A2B" w:rsidP="007C3060"/>
        </w:tc>
      </w:tr>
      <w:tr w:rsidR="004B729E" w:rsidRPr="007C3060" w14:paraId="396EA5E2"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7E1885A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DCBA83E" w14:textId="77777777" w:rsidR="000A2A2B" w:rsidRPr="007C3060" w:rsidRDefault="000A2A2B" w:rsidP="007C3060">
            <w:r w:rsidRPr="007C306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0206E6" w14:textId="77777777" w:rsidR="000A2A2B" w:rsidRPr="007C3060" w:rsidRDefault="000A2A2B" w:rsidP="007C3060">
            <w:r w:rsidRPr="007C3060">
              <w:t xml:space="preserve">Stønad til jordbruks- og veksthusnæringen for ekstraordinære strømutgifter, </w:t>
            </w:r>
            <w:r w:rsidRPr="007C3060">
              <w:br/>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CF7E1F" w14:textId="77777777" w:rsidR="000A2A2B" w:rsidRPr="007C3060" w:rsidRDefault="000A2A2B" w:rsidP="007C3060">
            <w:r w:rsidRPr="007C3060">
              <w:t>59 544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26398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7B1C09" w14:textId="77777777" w:rsidR="000A2A2B" w:rsidRPr="007C3060" w:rsidRDefault="000A2A2B" w:rsidP="007C3060">
            <w:r w:rsidRPr="007C3060">
              <w:t>-30 444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EF4D21" w14:textId="77777777" w:rsidR="000A2A2B" w:rsidRPr="007C3060" w:rsidRDefault="000A2A2B" w:rsidP="007C3060">
            <w:r w:rsidRPr="007C3060">
              <w:t>29 100</w:t>
            </w:r>
          </w:p>
        </w:tc>
      </w:tr>
      <w:tr w:rsidR="004B729E" w:rsidRPr="007C3060" w14:paraId="4E9CB340"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4DEA01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BB0C67C" w14:textId="77777777" w:rsidR="000A2A2B" w:rsidRPr="007C3060" w:rsidRDefault="000A2A2B" w:rsidP="007C3060">
            <w:r w:rsidRPr="007C3060">
              <w:t>82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BB4FFF" w14:textId="768E3582" w:rsidR="000A2A2B" w:rsidRPr="007C3060" w:rsidRDefault="000A2A2B" w:rsidP="007C3060">
            <w:r w:rsidRPr="007C3060">
              <w:t xml:space="preserve">Tilleggsareal for vinterbeite for Fosen reinbeitedistrikt,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F8D861"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91ECE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3A8128" w14:textId="77777777" w:rsidR="000A2A2B" w:rsidRPr="007C3060" w:rsidRDefault="000A2A2B" w:rsidP="007C3060">
            <w:r w:rsidRPr="007C3060">
              <w:t>100 000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79C58F" w14:textId="77777777" w:rsidR="000A2A2B" w:rsidRPr="007C3060" w:rsidRDefault="000A2A2B" w:rsidP="007C3060">
            <w:r w:rsidRPr="007C3060">
              <w:t>100 000</w:t>
            </w:r>
          </w:p>
        </w:tc>
      </w:tr>
      <w:tr w:rsidR="004B729E" w:rsidRPr="007C3060" w14:paraId="5C05D2C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C956FD8" w14:textId="77777777" w:rsidR="000A2A2B" w:rsidRPr="007C3060" w:rsidRDefault="000A2A2B" w:rsidP="007C3060">
            <w:r w:rsidRPr="007C3060">
              <w:t>1148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BF0AA4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C051F6" w14:textId="77777777" w:rsidR="000A2A2B" w:rsidRPr="007C3060" w:rsidRDefault="000A2A2B" w:rsidP="007C3060">
            <w:r w:rsidRPr="007C3060">
              <w:t>Naturskade – erstatninger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1515BE"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F00FE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9E469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06E181" w14:textId="77777777" w:rsidR="000A2A2B" w:rsidRPr="007C3060" w:rsidRDefault="000A2A2B" w:rsidP="007C3060"/>
        </w:tc>
      </w:tr>
      <w:tr w:rsidR="004B729E" w:rsidRPr="007C3060" w14:paraId="75A397AB"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6730C1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6A4DFE5"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2E3DD7" w14:textId="48A7C5B8" w:rsidR="000A2A2B" w:rsidRPr="007C3060" w:rsidRDefault="000A2A2B" w:rsidP="007C3060">
            <w:r w:rsidRPr="007C3060">
              <w:t xml:space="preserve">Naturskade – erstatninger,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073F4B" w14:textId="77777777" w:rsidR="000A2A2B" w:rsidRPr="007C3060" w:rsidRDefault="000A2A2B" w:rsidP="007C3060">
            <w:r w:rsidRPr="007C3060">
              <w:t>136 300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13E01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887C8A" w14:textId="77777777" w:rsidR="000A2A2B" w:rsidRPr="007C3060" w:rsidRDefault="000A2A2B" w:rsidP="007C3060">
            <w:r w:rsidRPr="007C3060">
              <w:t>17 000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1E9E17" w14:textId="77777777" w:rsidR="000A2A2B" w:rsidRPr="007C3060" w:rsidRDefault="000A2A2B" w:rsidP="007C3060">
            <w:r w:rsidRPr="007C3060">
              <w:t>153 300</w:t>
            </w:r>
          </w:p>
        </w:tc>
      </w:tr>
      <w:tr w:rsidR="004B729E" w:rsidRPr="007C3060" w14:paraId="4312C3F5" w14:textId="77777777">
        <w:trPr>
          <w:trHeight w:val="64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1FFE679F" w14:textId="77777777" w:rsidR="000A2A2B" w:rsidRPr="007C3060" w:rsidRDefault="000A2A2B" w:rsidP="007C3060">
            <w:r w:rsidRPr="007C3060">
              <w:t>1149</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7DD9F2D5"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D45DECD" w14:textId="675909AB" w:rsidR="000A2A2B" w:rsidRPr="007C3060" w:rsidRDefault="000A2A2B" w:rsidP="007C3060">
            <w:r w:rsidRPr="007C3060">
              <w:t>Verdiskapings- og utviklingstiltak i landbruket</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C81170B"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F5DE028"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F6D2C62"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A4C7AE0" w14:textId="77777777" w:rsidR="000A2A2B" w:rsidRPr="007C3060" w:rsidRDefault="000A2A2B" w:rsidP="007C3060"/>
        </w:tc>
      </w:tr>
      <w:tr w:rsidR="004B729E" w:rsidRPr="007C3060" w14:paraId="718E4605"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1F46D0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906F237"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8717EC" w14:textId="5DD4DF8D" w:rsidR="000A2A2B" w:rsidRPr="007C3060" w:rsidRDefault="000A2A2B" w:rsidP="007C3060">
            <w:r w:rsidRPr="007C3060">
              <w:t xml:space="preserve">Tilskudd til verdiskapingstiltak i skogbruket,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ADA0D0" w14:textId="77777777" w:rsidR="000A2A2B" w:rsidRPr="007C3060" w:rsidRDefault="000A2A2B" w:rsidP="007C3060">
            <w:r w:rsidRPr="007C3060">
              <w:t>53 603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FF0A9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45A063" w14:textId="77777777" w:rsidR="000A2A2B" w:rsidRPr="007C3060" w:rsidRDefault="000A2A2B" w:rsidP="007C3060">
            <w:r w:rsidRPr="007C3060">
              <w:t>-750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26E0E3" w14:textId="77777777" w:rsidR="000A2A2B" w:rsidRPr="007C3060" w:rsidRDefault="000A2A2B" w:rsidP="007C3060">
            <w:r w:rsidRPr="007C3060">
              <w:t>52 853</w:t>
            </w:r>
          </w:p>
        </w:tc>
      </w:tr>
      <w:tr w:rsidR="004B729E" w:rsidRPr="007C3060" w14:paraId="6B22F557"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A211AAF" w14:textId="77777777" w:rsidR="000A2A2B" w:rsidRPr="007C3060" w:rsidRDefault="000A2A2B" w:rsidP="007C3060">
            <w:r w:rsidRPr="007C3060">
              <w:t>Sum endringer Landbruks- og matdepartementet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309A8ED"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4A287F5"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A467F25" w14:textId="77777777" w:rsidR="000A2A2B" w:rsidRPr="007C3060" w:rsidRDefault="000A2A2B" w:rsidP="007C3060">
            <w:r w:rsidRPr="007C3060">
              <w:t>90 306</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8890AD" w14:textId="77777777" w:rsidR="000A2A2B" w:rsidRPr="007C3060" w:rsidRDefault="000A2A2B" w:rsidP="007C3060"/>
        </w:tc>
      </w:tr>
      <w:tr w:rsidR="004B729E" w:rsidRPr="007C3060" w14:paraId="3F09D53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72B0929" w14:textId="77777777" w:rsidR="000A2A2B" w:rsidRPr="007C3060" w:rsidRDefault="000A2A2B" w:rsidP="007C3060">
            <w:r w:rsidRPr="007C3060">
              <w:t>1300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90B3BC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01A2AE" w14:textId="77777777" w:rsidR="000A2A2B" w:rsidRPr="007C3060" w:rsidRDefault="000A2A2B" w:rsidP="007C3060">
            <w:r w:rsidRPr="007C3060">
              <w:t>Samferdselsdepartementet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CAAF13"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AB38C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AE1212"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F805F8" w14:textId="77777777" w:rsidR="000A2A2B" w:rsidRPr="007C3060" w:rsidRDefault="000A2A2B" w:rsidP="007C3060"/>
        </w:tc>
      </w:tr>
      <w:tr w:rsidR="004B729E" w:rsidRPr="007C3060" w14:paraId="3F480D2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74625F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92BD716"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E75D29"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ED8C2B" w14:textId="77777777" w:rsidR="000A2A2B" w:rsidRPr="007C3060" w:rsidRDefault="000A2A2B" w:rsidP="007C3060">
            <w:r w:rsidRPr="007C3060">
              <w:t>189 200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270FC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956B68" w14:textId="77777777" w:rsidR="000A2A2B" w:rsidRPr="007C3060" w:rsidRDefault="000A2A2B" w:rsidP="007C3060">
            <w:r w:rsidRPr="007C3060">
              <w:t>5 800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466973" w14:textId="77777777" w:rsidR="000A2A2B" w:rsidRPr="007C3060" w:rsidRDefault="000A2A2B" w:rsidP="007C3060">
            <w:r w:rsidRPr="007C3060">
              <w:t>195 000</w:t>
            </w:r>
          </w:p>
        </w:tc>
      </w:tr>
      <w:tr w:rsidR="004B729E" w:rsidRPr="007C3060" w14:paraId="047881E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A2CBF9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1BE3C4D"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1C1DE7" w14:textId="77777777" w:rsidR="000A2A2B" w:rsidRPr="007C3060" w:rsidRDefault="000A2A2B" w:rsidP="007C3060">
            <w:r w:rsidRPr="007C306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B40F24" w14:textId="77777777" w:rsidR="000A2A2B" w:rsidRPr="007C3060" w:rsidRDefault="000A2A2B" w:rsidP="007C3060">
            <w:r w:rsidRPr="007C3060">
              <w:t>12 400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B5CB5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45CA35" w14:textId="77777777" w:rsidR="000A2A2B" w:rsidRPr="007C3060" w:rsidRDefault="000A2A2B" w:rsidP="007C3060">
            <w:r w:rsidRPr="007C3060">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6AF652" w14:textId="77777777" w:rsidR="000A2A2B" w:rsidRPr="007C3060" w:rsidRDefault="000A2A2B" w:rsidP="007C3060">
            <w:r w:rsidRPr="007C3060">
              <w:t>8 400</w:t>
            </w:r>
          </w:p>
        </w:tc>
      </w:tr>
      <w:tr w:rsidR="004B729E" w:rsidRPr="007C3060" w14:paraId="4EB38327"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E1D65A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8D15124"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22C8FD" w14:textId="4A911CC8" w:rsidR="000A2A2B" w:rsidRPr="007C3060" w:rsidRDefault="000A2A2B" w:rsidP="007C3060">
            <w:r w:rsidRPr="007C3060">
              <w:t xml:space="preserve">Utgifter ved kjøp av obligasjonsgjeld i Norske tog AS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8575DD"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0784F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84BDF0" w14:textId="77777777" w:rsidR="000A2A2B" w:rsidRPr="007C3060" w:rsidRDefault="000A2A2B" w:rsidP="007C3060">
            <w:r w:rsidRPr="007C3060">
              <w:t>7 100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778198" w14:textId="77777777" w:rsidR="000A2A2B" w:rsidRPr="007C3060" w:rsidRDefault="000A2A2B" w:rsidP="007C3060">
            <w:r w:rsidRPr="007C3060">
              <w:t>7 100</w:t>
            </w:r>
          </w:p>
        </w:tc>
      </w:tr>
      <w:tr w:rsidR="004B729E" w:rsidRPr="007C3060" w14:paraId="7C2DBE1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7BB4E5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7B8BA37" w14:textId="77777777" w:rsidR="000A2A2B" w:rsidRPr="007C3060" w:rsidRDefault="000A2A2B" w:rsidP="007C3060">
            <w:r w:rsidRPr="007C306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CCB7AF" w14:textId="77777777" w:rsidR="000A2A2B" w:rsidRPr="007C3060" w:rsidRDefault="000A2A2B" w:rsidP="007C3060">
            <w:r w:rsidRPr="007C3060">
              <w:t xml:space="preserve">Kjøp av obligasjonsgjeld i Norske tog AS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AF770A"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76728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149236" w14:textId="77777777" w:rsidR="000A2A2B" w:rsidRPr="007C3060" w:rsidRDefault="000A2A2B" w:rsidP="007C3060">
            <w:r w:rsidRPr="007C3060">
              <w:t>2 200 000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3A1469" w14:textId="77777777" w:rsidR="000A2A2B" w:rsidRPr="007C3060" w:rsidRDefault="000A2A2B" w:rsidP="007C3060">
            <w:r w:rsidRPr="007C3060">
              <w:t>2 200 000</w:t>
            </w:r>
          </w:p>
        </w:tc>
      </w:tr>
      <w:tr w:rsidR="004B729E" w:rsidRPr="007C3060" w14:paraId="23D5EA0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1E31A55" w14:textId="77777777" w:rsidR="000A2A2B" w:rsidRPr="007C3060" w:rsidRDefault="000A2A2B" w:rsidP="007C3060">
            <w:r w:rsidRPr="007C3060">
              <w:t>1301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075E09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3491D6" w14:textId="77777777" w:rsidR="000A2A2B" w:rsidRPr="007C3060" w:rsidRDefault="000A2A2B" w:rsidP="007C3060">
            <w:r w:rsidRPr="007C3060">
              <w:t>Forskning og utvikling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CB9EF3"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9D7956"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44C6C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89FDAF" w14:textId="77777777" w:rsidR="000A2A2B" w:rsidRPr="007C3060" w:rsidRDefault="000A2A2B" w:rsidP="007C3060"/>
        </w:tc>
      </w:tr>
      <w:tr w:rsidR="004B729E" w:rsidRPr="007C3060" w14:paraId="4A8A069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080FFD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FE4A6E3"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E337FF" w14:textId="77777777" w:rsidR="000A2A2B" w:rsidRPr="007C3060" w:rsidRDefault="000A2A2B" w:rsidP="007C3060">
            <w:r w:rsidRPr="007C3060">
              <w:t xml:space="preserve">Norges forskningsråd,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E7E9D5" w14:textId="77777777" w:rsidR="000A2A2B" w:rsidRPr="007C3060" w:rsidRDefault="000A2A2B" w:rsidP="007C3060">
            <w:r w:rsidRPr="007C3060">
              <w:t>77 300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02730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04E8C1" w14:textId="77777777" w:rsidR="000A2A2B" w:rsidRPr="007C3060" w:rsidRDefault="000A2A2B" w:rsidP="007C3060">
            <w:r w:rsidRPr="007C3060">
              <w:t>-12 300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6219F1" w14:textId="77777777" w:rsidR="000A2A2B" w:rsidRPr="007C3060" w:rsidRDefault="000A2A2B" w:rsidP="007C3060">
            <w:r w:rsidRPr="007C3060">
              <w:t>65 000</w:t>
            </w:r>
          </w:p>
        </w:tc>
      </w:tr>
      <w:tr w:rsidR="004B729E" w:rsidRPr="007C3060" w14:paraId="6023D0E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C2CD3F6" w14:textId="77777777" w:rsidR="000A2A2B" w:rsidRPr="007C3060" w:rsidRDefault="000A2A2B" w:rsidP="007C3060">
            <w:r w:rsidRPr="007C3060">
              <w:t>1315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ECC41CF"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0579F2" w14:textId="77777777" w:rsidR="000A2A2B" w:rsidRPr="007C3060" w:rsidRDefault="000A2A2B" w:rsidP="007C3060">
            <w:r w:rsidRPr="007C3060">
              <w:t>Tilskudd til Avinor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23E0ED"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78BDC9"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15B21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5F0A88" w14:textId="77777777" w:rsidR="000A2A2B" w:rsidRPr="007C3060" w:rsidRDefault="000A2A2B" w:rsidP="007C3060"/>
        </w:tc>
      </w:tr>
      <w:tr w:rsidR="004B729E" w:rsidRPr="007C3060" w14:paraId="6D963E2A"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91140E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5F38662"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77145F" w14:textId="3C0A0876" w:rsidR="000A2A2B" w:rsidRPr="007C3060" w:rsidRDefault="000A2A2B" w:rsidP="007C3060">
            <w:r w:rsidRPr="007C3060">
              <w:t xml:space="preserve">Tilskudd til pålagte oppgaver,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55783F" w14:textId="77777777" w:rsidR="000A2A2B" w:rsidRPr="007C3060" w:rsidRDefault="000A2A2B" w:rsidP="007C3060">
            <w:r w:rsidRPr="007C3060">
              <w:t>2 516 000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F2ECC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71F9FE" w14:textId="77777777" w:rsidR="000A2A2B" w:rsidRPr="007C3060" w:rsidRDefault="000A2A2B" w:rsidP="007C3060">
            <w:r w:rsidRPr="007C3060">
              <w:t>165 200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903036" w14:textId="77777777" w:rsidR="000A2A2B" w:rsidRPr="007C3060" w:rsidRDefault="000A2A2B" w:rsidP="007C3060">
            <w:r w:rsidRPr="007C3060">
              <w:t>2 681 200</w:t>
            </w:r>
          </w:p>
        </w:tc>
      </w:tr>
      <w:tr w:rsidR="004B729E" w:rsidRPr="007C3060" w14:paraId="653401A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7DBB417" w14:textId="77777777" w:rsidR="000A2A2B" w:rsidRPr="007C3060" w:rsidRDefault="000A2A2B" w:rsidP="007C3060">
            <w:r w:rsidRPr="007C3060">
              <w:t>1320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298A05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4ADB41" w14:textId="77777777" w:rsidR="000A2A2B" w:rsidRPr="007C3060" w:rsidRDefault="000A2A2B" w:rsidP="007C3060">
            <w:r w:rsidRPr="007C3060">
              <w:t>Statens vegvesen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CA1D5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D36899"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60639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D95F91" w14:textId="77777777" w:rsidR="000A2A2B" w:rsidRPr="007C3060" w:rsidRDefault="000A2A2B" w:rsidP="007C3060"/>
        </w:tc>
      </w:tr>
      <w:tr w:rsidR="004B729E" w:rsidRPr="007C3060" w14:paraId="7A738A7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72F3E6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A7A3E3B"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B2091F"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1499C4" w14:textId="77777777" w:rsidR="000A2A2B" w:rsidRPr="007C3060" w:rsidRDefault="000A2A2B" w:rsidP="007C3060">
            <w:r w:rsidRPr="007C3060">
              <w:t>4 915 000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5BD43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E80310" w14:textId="77777777" w:rsidR="000A2A2B" w:rsidRPr="007C3060" w:rsidRDefault="000A2A2B" w:rsidP="007C3060">
            <w:r w:rsidRPr="007C3060">
              <w:t>-120 000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CA5D8B" w14:textId="77777777" w:rsidR="000A2A2B" w:rsidRPr="007C3060" w:rsidRDefault="000A2A2B" w:rsidP="007C3060">
            <w:r w:rsidRPr="007C3060">
              <w:t>4 795 000</w:t>
            </w:r>
          </w:p>
        </w:tc>
      </w:tr>
      <w:tr w:rsidR="004B729E" w:rsidRPr="007C3060" w14:paraId="1D48B22A"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3D92EF1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8EAF755"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1F57A2" w14:textId="12D21176" w:rsidR="000A2A2B" w:rsidRPr="007C3060" w:rsidRDefault="000A2A2B" w:rsidP="007C3060">
            <w:r w:rsidRPr="007C3060">
              <w:t>Drift og vedlikehold av riksveier,</w:t>
            </w:r>
            <w:r w:rsidR="002D296E">
              <w:t xml:space="preserve"> </w:t>
            </w:r>
            <w:r w:rsidRPr="007C3060">
              <w:rPr>
                <w:rStyle w:val="kursiv"/>
              </w:rPr>
              <w:t>kan overføres, kan nyttes under post 29 og post 30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71E74D" w14:textId="77777777" w:rsidR="000A2A2B" w:rsidRPr="007C3060" w:rsidRDefault="000A2A2B" w:rsidP="007C3060">
            <w:r w:rsidRPr="007C3060">
              <w:t>10 791 100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C33BC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D93416" w14:textId="77777777" w:rsidR="000A2A2B" w:rsidRPr="007C3060" w:rsidRDefault="000A2A2B" w:rsidP="007C3060">
            <w:r w:rsidRPr="007C3060">
              <w:t>306 900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AFEDF5" w14:textId="77777777" w:rsidR="000A2A2B" w:rsidRPr="007C3060" w:rsidRDefault="000A2A2B" w:rsidP="007C3060">
            <w:r w:rsidRPr="007C3060">
              <w:t>11 098 000</w:t>
            </w:r>
          </w:p>
        </w:tc>
      </w:tr>
      <w:tr w:rsidR="004B729E" w:rsidRPr="007C3060" w14:paraId="6C6B78D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8E7A6C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9F64955" w14:textId="77777777" w:rsidR="000A2A2B" w:rsidRPr="007C3060" w:rsidRDefault="000A2A2B" w:rsidP="007C3060">
            <w:r w:rsidRPr="007C3060">
              <w:t>28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681354" w14:textId="77777777" w:rsidR="000A2A2B" w:rsidRPr="007C3060" w:rsidRDefault="000A2A2B" w:rsidP="007C3060">
            <w:r w:rsidRPr="007C3060">
              <w:t xml:space="preserve">Trafikant- og kjøretøytilsyn,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BA4201" w14:textId="77777777" w:rsidR="000A2A2B" w:rsidRPr="007C3060" w:rsidRDefault="000A2A2B" w:rsidP="007C3060">
            <w:r w:rsidRPr="007C3060">
              <w:t>2 496 900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82D49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226F7C" w14:textId="77777777" w:rsidR="000A2A2B" w:rsidRPr="007C3060" w:rsidRDefault="000A2A2B" w:rsidP="007C3060">
            <w:r w:rsidRPr="007C3060">
              <w:t>-70 000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1BBE97" w14:textId="77777777" w:rsidR="000A2A2B" w:rsidRPr="007C3060" w:rsidRDefault="000A2A2B" w:rsidP="007C3060">
            <w:r w:rsidRPr="007C3060">
              <w:t>2 426 900</w:t>
            </w:r>
          </w:p>
        </w:tc>
      </w:tr>
      <w:tr w:rsidR="004B729E" w:rsidRPr="007C3060" w14:paraId="4B94EFEE"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2072BE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82C9431"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3DC9BC" w14:textId="1FF4A29A" w:rsidR="000A2A2B" w:rsidRPr="007C3060" w:rsidRDefault="000A2A2B" w:rsidP="007C3060">
            <w:r w:rsidRPr="007C3060">
              <w:t xml:space="preserve">Tilskudd til riksveiferjedriften,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70F209" w14:textId="77777777" w:rsidR="000A2A2B" w:rsidRPr="007C3060" w:rsidRDefault="000A2A2B" w:rsidP="007C3060">
            <w:r w:rsidRPr="007C3060">
              <w:t>3 284 100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021AB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C79C72" w14:textId="77777777" w:rsidR="000A2A2B" w:rsidRPr="007C3060" w:rsidRDefault="000A2A2B" w:rsidP="007C3060">
            <w:r w:rsidRPr="007C3060">
              <w:t>60 000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C9A392" w14:textId="77777777" w:rsidR="000A2A2B" w:rsidRPr="007C3060" w:rsidRDefault="000A2A2B" w:rsidP="007C3060">
            <w:r w:rsidRPr="007C3060">
              <w:t>3 344 100</w:t>
            </w:r>
          </w:p>
        </w:tc>
      </w:tr>
      <w:tr w:rsidR="004B729E" w:rsidRPr="007C3060" w14:paraId="7F96642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BC559C6" w14:textId="77777777" w:rsidR="000A2A2B" w:rsidRPr="007C3060" w:rsidRDefault="000A2A2B" w:rsidP="007C3060">
            <w:r w:rsidRPr="007C3060">
              <w:t>1332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D11D26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C097B9" w14:textId="77777777" w:rsidR="000A2A2B" w:rsidRPr="007C3060" w:rsidRDefault="000A2A2B" w:rsidP="007C3060">
            <w:r w:rsidRPr="007C3060">
              <w:t>Transport i byområder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896ECB"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6C52BC"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AEF33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B4E3DC" w14:textId="77777777" w:rsidR="000A2A2B" w:rsidRPr="007C3060" w:rsidRDefault="000A2A2B" w:rsidP="007C3060"/>
        </w:tc>
      </w:tr>
      <w:tr w:rsidR="004B729E" w:rsidRPr="007C3060" w14:paraId="368E9911"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78E432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7B408F6" w14:textId="77777777" w:rsidR="000A2A2B" w:rsidRPr="007C3060" w:rsidRDefault="000A2A2B" w:rsidP="007C3060">
            <w:r w:rsidRPr="007C3060">
              <w:t>63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C8A9A0" w14:textId="77777777" w:rsidR="000A2A2B" w:rsidRPr="007C3060" w:rsidRDefault="000A2A2B" w:rsidP="007C3060">
            <w:r w:rsidRPr="007C3060">
              <w:t xml:space="preserve">Særskilt tilskudd til store kollektiv-prosjekter,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2013F2" w14:textId="77777777" w:rsidR="000A2A2B" w:rsidRPr="007C3060" w:rsidRDefault="000A2A2B" w:rsidP="007C3060">
            <w:r w:rsidRPr="007C3060">
              <w:t>2 365 000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AA2D4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984BD1" w14:textId="77777777" w:rsidR="000A2A2B" w:rsidRPr="007C3060" w:rsidRDefault="000A2A2B" w:rsidP="007C3060">
            <w:r w:rsidRPr="007C3060">
              <w:t>-330 000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A18C43" w14:textId="77777777" w:rsidR="000A2A2B" w:rsidRPr="007C3060" w:rsidRDefault="000A2A2B" w:rsidP="007C3060">
            <w:r w:rsidRPr="007C3060">
              <w:t>2 035 000</w:t>
            </w:r>
          </w:p>
        </w:tc>
      </w:tr>
      <w:tr w:rsidR="004B729E" w:rsidRPr="007C3060" w14:paraId="753E05E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792F9E5" w14:textId="77777777" w:rsidR="000A2A2B" w:rsidRPr="007C3060" w:rsidRDefault="000A2A2B" w:rsidP="007C3060">
            <w:r w:rsidRPr="007C3060">
              <w:t>1352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C897C1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6962A8" w14:textId="77777777" w:rsidR="000A2A2B" w:rsidRPr="007C3060" w:rsidRDefault="000A2A2B" w:rsidP="007C3060">
            <w:r w:rsidRPr="007C3060">
              <w:t>Jernbanedirektoratet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FA8FCA"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6AFA2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0C2FE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9640BA" w14:textId="77777777" w:rsidR="000A2A2B" w:rsidRPr="007C3060" w:rsidRDefault="000A2A2B" w:rsidP="007C3060"/>
        </w:tc>
      </w:tr>
      <w:tr w:rsidR="004B729E" w:rsidRPr="007C3060" w14:paraId="40A4DFDA"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7760D3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6E5F922"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935463" w14:textId="77777777" w:rsidR="000A2A2B" w:rsidRPr="007C3060" w:rsidRDefault="000A2A2B" w:rsidP="007C3060">
            <w:r w:rsidRPr="007C3060">
              <w:t xml:space="preserve">Kjøp av persontransport med tog, </w:t>
            </w:r>
            <w:r w:rsidRPr="007C3060">
              <w:rPr>
                <w:rStyle w:val="kursiv"/>
              </w:rPr>
              <w:t>kan overføres, kan nyttes under post 71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1914EF" w14:textId="77777777" w:rsidR="000A2A2B" w:rsidRPr="007C3060" w:rsidRDefault="000A2A2B" w:rsidP="007C3060">
            <w:r w:rsidRPr="007C3060">
              <w:t>5 982 100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44ECC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3CE4AB" w14:textId="77777777" w:rsidR="000A2A2B" w:rsidRPr="007C3060" w:rsidRDefault="000A2A2B" w:rsidP="007C3060">
            <w:r w:rsidRPr="007C3060">
              <w:t>-314 500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1D1B15" w14:textId="77777777" w:rsidR="000A2A2B" w:rsidRPr="007C3060" w:rsidRDefault="000A2A2B" w:rsidP="007C3060">
            <w:r w:rsidRPr="007C3060">
              <w:t>5 667 600</w:t>
            </w:r>
          </w:p>
        </w:tc>
      </w:tr>
      <w:tr w:rsidR="004B729E" w:rsidRPr="007C3060" w14:paraId="0B40974A"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02C854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70137BB"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C3B2FD" w14:textId="77777777" w:rsidR="000A2A2B" w:rsidRPr="007C3060" w:rsidRDefault="000A2A2B" w:rsidP="007C3060">
            <w:r w:rsidRPr="007C3060">
              <w:t>Kjøp av infrastrukturtjenester – drift og vedlikehold,</w:t>
            </w:r>
            <w:r w:rsidRPr="007C3060">
              <w:rPr>
                <w:rStyle w:val="kursiv"/>
              </w:rPr>
              <w:t xml:space="preserve">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B65447" w14:textId="77777777" w:rsidR="000A2A2B" w:rsidRPr="007C3060" w:rsidRDefault="000A2A2B" w:rsidP="007C3060">
            <w:r w:rsidRPr="007C3060">
              <w:t>6 596 700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CBDC6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D2D5CD" w14:textId="77777777" w:rsidR="000A2A2B" w:rsidRPr="007C3060" w:rsidRDefault="000A2A2B" w:rsidP="007C3060">
            <w:r w:rsidRPr="007C3060">
              <w:t>300 000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60F269" w14:textId="77777777" w:rsidR="000A2A2B" w:rsidRPr="007C3060" w:rsidRDefault="000A2A2B" w:rsidP="007C3060">
            <w:r w:rsidRPr="007C3060">
              <w:t>6 896 700</w:t>
            </w:r>
          </w:p>
        </w:tc>
      </w:tr>
      <w:tr w:rsidR="004B729E" w:rsidRPr="007C3060" w14:paraId="0D74D0C6"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7F8B02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A8A7979"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62DE5E" w14:textId="77777777" w:rsidR="000A2A2B" w:rsidRPr="007C3060" w:rsidRDefault="000A2A2B" w:rsidP="007C3060">
            <w:r w:rsidRPr="007C3060">
              <w:t xml:space="preserve">Kjøp av infrastrukturtjenester – fornying og mindre investeringer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F97398" w14:textId="77777777" w:rsidR="000A2A2B" w:rsidRPr="007C3060" w:rsidRDefault="000A2A2B" w:rsidP="007C3060">
            <w:r w:rsidRPr="007C3060">
              <w:t>7 445 000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D477F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0A3DC8" w14:textId="77777777" w:rsidR="000A2A2B" w:rsidRPr="007C3060" w:rsidRDefault="000A2A2B" w:rsidP="007C3060">
            <w:r w:rsidRPr="007C3060">
              <w:t>66 800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F0E458" w14:textId="77777777" w:rsidR="000A2A2B" w:rsidRPr="007C3060" w:rsidRDefault="000A2A2B" w:rsidP="007C3060">
            <w:r w:rsidRPr="007C3060">
              <w:t>7 511 800</w:t>
            </w:r>
          </w:p>
        </w:tc>
      </w:tr>
      <w:tr w:rsidR="004B729E" w:rsidRPr="007C3060" w14:paraId="1E83BAF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579F65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2ED8E6D" w14:textId="77777777" w:rsidR="000A2A2B" w:rsidRPr="007C3060" w:rsidRDefault="000A2A2B" w:rsidP="007C3060">
            <w:r w:rsidRPr="007C306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7DC55D" w14:textId="77777777" w:rsidR="000A2A2B" w:rsidRPr="007C3060" w:rsidRDefault="000A2A2B" w:rsidP="007C3060">
            <w:r w:rsidRPr="007C3060">
              <w:t xml:space="preserve">Tilskudd til togmateriell mv.,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094B7E" w14:textId="77777777" w:rsidR="000A2A2B" w:rsidRPr="007C3060" w:rsidRDefault="000A2A2B" w:rsidP="007C3060">
            <w:r w:rsidRPr="007C3060">
              <w:t>154 600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A1D7E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E54695" w14:textId="77777777" w:rsidR="000A2A2B" w:rsidRPr="007C3060" w:rsidRDefault="000A2A2B" w:rsidP="007C3060">
            <w:r w:rsidRPr="007C3060">
              <w:t>-110 500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D1B7C5" w14:textId="77777777" w:rsidR="000A2A2B" w:rsidRPr="007C3060" w:rsidRDefault="000A2A2B" w:rsidP="007C3060">
            <w:r w:rsidRPr="007C3060">
              <w:t>44 100</w:t>
            </w:r>
          </w:p>
        </w:tc>
      </w:tr>
      <w:tr w:rsidR="004B729E" w:rsidRPr="007C3060" w14:paraId="5E9096D6" w14:textId="77777777">
        <w:trPr>
          <w:trHeight w:val="64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3EA74FC5" w14:textId="77777777" w:rsidR="000A2A2B" w:rsidRPr="007C3060" w:rsidRDefault="000A2A2B" w:rsidP="007C3060"/>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33AC1674" w14:textId="77777777" w:rsidR="000A2A2B" w:rsidRPr="007C3060" w:rsidRDefault="000A2A2B" w:rsidP="007C3060">
            <w:r w:rsidRPr="007C3060">
              <w:t>75</w:t>
            </w:r>
          </w:p>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BE62A78" w14:textId="77777777" w:rsidR="000A2A2B" w:rsidRPr="007C3060" w:rsidRDefault="000A2A2B" w:rsidP="007C3060">
            <w:r w:rsidRPr="007C3060">
              <w:t xml:space="preserve">Tilskudd til godsoverføring fra vei til -jernbane </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7F81E9F" w14:textId="77777777" w:rsidR="000A2A2B" w:rsidRPr="007C3060" w:rsidRDefault="000A2A2B" w:rsidP="007C3060">
            <w:r w:rsidRPr="007C3060">
              <w:t>104 800</w:t>
            </w:r>
          </w:p>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4BBC2A9" w14:textId="77777777" w:rsidR="000A2A2B" w:rsidRPr="007C3060" w:rsidRDefault="000A2A2B" w:rsidP="007C3060">
            <w:r w:rsidRPr="007C3060">
              <w:t>-</w:t>
            </w:r>
          </w:p>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2277B7A" w14:textId="77777777" w:rsidR="000A2A2B" w:rsidRPr="007C3060" w:rsidRDefault="000A2A2B" w:rsidP="007C3060">
            <w:r w:rsidRPr="007C3060">
              <w:t>30 000</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FB8C5FF" w14:textId="77777777" w:rsidR="000A2A2B" w:rsidRPr="007C3060" w:rsidRDefault="000A2A2B" w:rsidP="007C3060">
            <w:r w:rsidRPr="007C3060">
              <w:t>134 800</w:t>
            </w:r>
          </w:p>
        </w:tc>
      </w:tr>
      <w:tr w:rsidR="004B729E" w:rsidRPr="007C3060" w14:paraId="1D880DC5"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BF7695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D91AB31" w14:textId="77777777" w:rsidR="000A2A2B" w:rsidRPr="007C3060" w:rsidRDefault="000A2A2B" w:rsidP="007C3060">
            <w:r w:rsidRPr="007C3060">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613644" w14:textId="77777777" w:rsidR="000A2A2B" w:rsidRPr="007C3060" w:rsidRDefault="000A2A2B" w:rsidP="007C3060">
            <w:r w:rsidRPr="007C3060">
              <w:t xml:space="preserve">Kompensasjon til godstogselskaper etter uforutsette hendelser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6BA2C6"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50582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51A76E" w14:textId="77777777" w:rsidR="000A2A2B" w:rsidRPr="007C3060" w:rsidRDefault="000A2A2B" w:rsidP="007C3060">
            <w:r w:rsidRPr="007C3060">
              <w:t>70 000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90FEB3" w14:textId="77777777" w:rsidR="000A2A2B" w:rsidRPr="007C3060" w:rsidRDefault="000A2A2B" w:rsidP="007C3060">
            <w:r w:rsidRPr="007C3060">
              <w:t>70 000</w:t>
            </w:r>
          </w:p>
        </w:tc>
      </w:tr>
      <w:tr w:rsidR="004B729E" w:rsidRPr="007C3060" w14:paraId="30EA2A7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784F1E5" w14:textId="77777777" w:rsidR="000A2A2B" w:rsidRPr="007C3060" w:rsidRDefault="000A2A2B" w:rsidP="007C3060">
            <w:r w:rsidRPr="007C3060">
              <w:t>1353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240A1E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90E2BA" w14:textId="77777777" w:rsidR="000A2A2B" w:rsidRPr="007C3060" w:rsidRDefault="000A2A2B" w:rsidP="007C3060">
            <w:proofErr w:type="spellStart"/>
            <w:r w:rsidRPr="007C3060">
              <w:t>Vygruppen</w:t>
            </w:r>
            <w:proofErr w:type="spellEnd"/>
            <w:r w:rsidRPr="007C3060">
              <w:t xml:space="preserve">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56ED69"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DEA7F2"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DD976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051B03" w14:textId="77777777" w:rsidR="000A2A2B" w:rsidRPr="007C3060" w:rsidRDefault="000A2A2B" w:rsidP="007C3060"/>
        </w:tc>
      </w:tr>
      <w:tr w:rsidR="004B729E" w:rsidRPr="007C3060" w14:paraId="020AF6C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26BF21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2344F67" w14:textId="77777777" w:rsidR="000A2A2B" w:rsidRPr="007C3060" w:rsidRDefault="000A2A2B" w:rsidP="007C3060">
            <w:r w:rsidRPr="007C3060">
              <w:t>96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D6E87A" w14:textId="77777777" w:rsidR="000A2A2B" w:rsidRPr="007C3060" w:rsidRDefault="000A2A2B" w:rsidP="007C3060">
            <w:r w:rsidRPr="007C3060">
              <w:t xml:space="preserve">Aksjer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A163CB"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7E238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27035B" w14:textId="77777777" w:rsidR="000A2A2B" w:rsidRPr="007C3060" w:rsidRDefault="000A2A2B" w:rsidP="007C3060">
            <w:r w:rsidRPr="007C3060">
              <w:t>617 900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B8B52B" w14:textId="77777777" w:rsidR="000A2A2B" w:rsidRPr="007C3060" w:rsidRDefault="000A2A2B" w:rsidP="007C3060">
            <w:r w:rsidRPr="007C3060">
              <w:t>617 900</w:t>
            </w:r>
          </w:p>
        </w:tc>
      </w:tr>
      <w:tr w:rsidR="004B729E" w:rsidRPr="007C3060" w14:paraId="42B03E3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9AB21E9" w14:textId="77777777" w:rsidR="000A2A2B" w:rsidRPr="007C3060" w:rsidRDefault="000A2A2B" w:rsidP="007C3060">
            <w:r w:rsidRPr="007C3060">
              <w:t>1358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540E92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3C3663" w14:textId="77777777" w:rsidR="000A2A2B" w:rsidRPr="007C3060" w:rsidRDefault="000A2A2B" w:rsidP="007C3060">
            <w:r w:rsidRPr="007C3060">
              <w:t>Norske tog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FF2B9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37049C"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B8B19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8183F5" w14:textId="77777777" w:rsidR="000A2A2B" w:rsidRPr="007C3060" w:rsidRDefault="000A2A2B" w:rsidP="007C3060"/>
        </w:tc>
      </w:tr>
      <w:tr w:rsidR="004B729E" w:rsidRPr="007C3060" w14:paraId="7DAE300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E50D47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DF3FAC6"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E86F73" w14:textId="77777777" w:rsidR="000A2A2B" w:rsidRPr="007C3060" w:rsidRDefault="000A2A2B" w:rsidP="007C3060">
            <w:r w:rsidRPr="007C3060">
              <w:t xml:space="preserve">Lån,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084972"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F67CD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214469" w14:textId="77777777" w:rsidR="000A2A2B" w:rsidRPr="007C3060" w:rsidRDefault="000A2A2B" w:rsidP="007C3060">
            <w:r w:rsidRPr="007C3060">
              <w:t>214 125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4A6269" w14:textId="77777777" w:rsidR="000A2A2B" w:rsidRPr="007C3060" w:rsidRDefault="000A2A2B" w:rsidP="007C3060">
            <w:r w:rsidRPr="007C3060">
              <w:t>214 125</w:t>
            </w:r>
          </w:p>
        </w:tc>
      </w:tr>
      <w:tr w:rsidR="004B729E" w:rsidRPr="007C3060" w14:paraId="372137D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E76881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44FAFB3"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143B99" w14:textId="77777777" w:rsidR="000A2A2B" w:rsidRPr="007C3060" w:rsidRDefault="000A2A2B" w:rsidP="007C3060">
            <w:r w:rsidRPr="007C3060">
              <w:t xml:space="preserve">Egenkapitaltilskudd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3F20B1"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D6046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740F61" w14:textId="77777777" w:rsidR="000A2A2B" w:rsidRPr="007C3060" w:rsidRDefault="000A2A2B" w:rsidP="007C3060">
            <w:r w:rsidRPr="007C3060">
              <w:t>14 375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7ED0E8" w14:textId="77777777" w:rsidR="000A2A2B" w:rsidRPr="007C3060" w:rsidRDefault="000A2A2B" w:rsidP="007C3060">
            <w:r w:rsidRPr="007C3060">
              <w:t>14 375</w:t>
            </w:r>
          </w:p>
        </w:tc>
      </w:tr>
      <w:tr w:rsidR="004B729E" w:rsidRPr="007C3060" w14:paraId="4512EFD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068DC2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1D16C01" w14:textId="77777777" w:rsidR="000A2A2B" w:rsidRPr="007C3060" w:rsidRDefault="000A2A2B" w:rsidP="007C3060">
            <w:r w:rsidRPr="007C3060">
              <w:t>86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291490" w14:textId="77777777" w:rsidR="000A2A2B" w:rsidRPr="007C3060" w:rsidRDefault="000A2A2B" w:rsidP="007C3060">
            <w:r w:rsidRPr="007C3060">
              <w:t xml:space="preserve">Driftskreditt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06CCFB"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F2659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312D39" w14:textId="77777777" w:rsidR="000A2A2B" w:rsidRPr="007C3060" w:rsidRDefault="000A2A2B" w:rsidP="007C3060">
            <w:r w:rsidRPr="007C3060">
              <w:t>250 000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A0C0D8" w14:textId="77777777" w:rsidR="000A2A2B" w:rsidRPr="007C3060" w:rsidRDefault="000A2A2B" w:rsidP="007C3060">
            <w:r w:rsidRPr="007C3060">
              <w:t>250 000</w:t>
            </w:r>
          </w:p>
        </w:tc>
      </w:tr>
      <w:tr w:rsidR="004B729E" w:rsidRPr="007C3060" w14:paraId="76D36D3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287EEF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3E81842" w14:textId="77777777" w:rsidR="000A2A2B" w:rsidRPr="007C3060" w:rsidRDefault="000A2A2B" w:rsidP="007C3060">
            <w:r w:rsidRPr="007C306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F7663B" w14:textId="77777777" w:rsidR="000A2A2B" w:rsidRPr="007C3060" w:rsidRDefault="000A2A2B" w:rsidP="007C3060">
            <w:r w:rsidRPr="007C3060">
              <w:t xml:space="preserve">Lån,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19D680"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46CA0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C0A2F1" w14:textId="77777777" w:rsidR="000A2A2B" w:rsidRPr="007C3060" w:rsidRDefault="000A2A2B" w:rsidP="007C3060">
            <w:r w:rsidRPr="007C3060">
              <w:t>642 375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37C6D4" w14:textId="77777777" w:rsidR="000A2A2B" w:rsidRPr="007C3060" w:rsidRDefault="000A2A2B" w:rsidP="007C3060">
            <w:r w:rsidRPr="007C3060">
              <w:t>642 375</w:t>
            </w:r>
          </w:p>
        </w:tc>
      </w:tr>
      <w:tr w:rsidR="004B729E" w:rsidRPr="007C3060" w14:paraId="4B7F714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81275C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73E5459" w14:textId="77777777" w:rsidR="000A2A2B" w:rsidRPr="007C3060" w:rsidRDefault="000A2A2B" w:rsidP="007C3060">
            <w:r w:rsidRPr="007C3060">
              <w:t>91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36C57A" w14:textId="77777777" w:rsidR="000A2A2B" w:rsidRPr="007C3060" w:rsidRDefault="000A2A2B" w:rsidP="007C3060">
            <w:r w:rsidRPr="007C3060">
              <w:t xml:space="preserve">Driftskreditt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42CFC9"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2A0C2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217F4C" w14:textId="77777777" w:rsidR="000A2A2B" w:rsidRPr="007C3060" w:rsidRDefault="000A2A2B" w:rsidP="007C3060">
            <w:r w:rsidRPr="007C3060">
              <w:t>750 000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1D70DB" w14:textId="77777777" w:rsidR="000A2A2B" w:rsidRPr="007C3060" w:rsidRDefault="000A2A2B" w:rsidP="007C3060">
            <w:r w:rsidRPr="007C3060">
              <w:t>750 000</w:t>
            </w:r>
          </w:p>
        </w:tc>
      </w:tr>
      <w:tr w:rsidR="004B729E" w:rsidRPr="007C3060" w14:paraId="24899F5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329840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ABB45E8" w14:textId="77777777" w:rsidR="000A2A2B" w:rsidRPr="007C3060" w:rsidRDefault="000A2A2B" w:rsidP="007C3060">
            <w:r w:rsidRPr="007C3060">
              <w:t>92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7599D8" w14:textId="77777777" w:rsidR="000A2A2B" w:rsidRPr="007C3060" w:rsidRDefault="000A2A2B" w:rsidP="007C3060">
            <w:r w:rsidRPr="007C3060">
              <w:t xml:space="preserve">Refinansiering av eksisterende lån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9BAEAA"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88764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2DE59E" w14:textId="77777777" w:rsidR="000A2A2B" w:rsidRPr="007C3060" w:rsidRDefault="000A2A2B" w:rsidP="007C3060">
            <w:r w:rsidRPr="007C3060">
              <w:t>2 000 000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CED337" w14:textId="77777777" w:rsidR="000A2A2B" w:rsidRPr="007C3060" w:rsidRDefault="000A2A2B" w:rsidP="007C3060">
            <w:r w:rsidRPr="007C3060">
              <w:t>2 000 000</w:t>
            </w:r>
          </w:p>
        </w:tc>
      </w:tr>
      <w:tr w:rsidR="004B729E" w:rsidRPr="007C3060" w14:paraId="4AD2C73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EB3064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504AFAE" w14:textId="77777777" w:rsidR="000A2A2B" w:rsidRPr="007C3060" w:rsidRDefault="000A2A2B" w:rsidP="007C3060">
            <w:r w:rsidRPr="007C3060">
              <w:t>96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D4708A" w14:textId="77777777" w:rsidR="000A2A2B" w:rsidRPr="007C3060" w:rsidRDefault="000A2A2B" w:rsidP="007C3060">
            <w:r w:rsidRPr="007C3060">
              <w:t xml:space="preserve">Aksjer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EE3F29"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FA10B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600A08" w14:textId="77777777" w:rsidR="000A2A2B" w:rsidRPr="007C3060" w:rsidRDefault="000A2A2B" w:rsidP="007C3060">
            <w:r w:rsidRPr="007C3060">
              <w:t>395 225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6DAEAC" w14:textId="77777777" w:rsidR="000A2A2B" w:rsidRPr="007C3060" w:rsidRDefault="000A2A2B" w:rsidP="007C3060">
            <w:r w:rsidRPr="007C3060">
              <w:t>395 225</w:t>
            </w:r>
          </w:p>
        </w:tc>
      </w:tr>
      <w:tr w:rsidR="004B729E" w:rsidRPr="007C3060" w14:paraId="274FA706"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33059F3" w14:textId="77777777" w:rsidR="000A2A2B" w:rsidRPr="007C3060" w:rsidRDefault="000A2A2B" w:rsidP="007C3060">
            <w:r w:rsidRPr="007C3060">
              <w:t>Sum endringer Samferdselsdepartementet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F78D21"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3EDFA42"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BA6BCED" w14:textId="77777777" w:rsidR="000A2A2B" w:rsidRPr="007C3060" w:rsidRDefault="000A2A2B" w:rsidP="007C3060">
            <w:r w:rsidRPr="007C3060">
              <w:t>7 134 500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6AA88D2" w14:textId="77777777" w:rsidR="000A2A2B" w:rsidRPr="007C3060" w:rsidRDefault="000A2A2B" w:rsidP="007C3060"/>
        </w:tc>
      </w:tr>
      <w:tr w:rsidR="004B729E" w:rsidRPr="007C3060" w14:paraId="5C2AC4B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5C756A4" w14:textId="77777777" w:rsidR="000A2A2B" w:rsidRPr="007C3060" w:rsidRDefault="000A2A2B" w:rsidP="007C3060">
            <w:r w:rsidRPr="007C3060">
              <w:t>1400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B5393A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54C28B" w14:textId="77777777" w:rsidR="000A2A2B" w:rsidRPr="007C3060" w:rsidRDefault="000A2A2B" w:rsidP="007C3060">
            <w:r w:rsidRPr="007C3060">
              <w:t>Klima- og miljødepartementet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B8038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6CDC6A"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509E1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CD61B9" w14:textId="77777777" w:rsidR="000A2A2B" w:rsidRPr="007C3060" w:rsidRDefault="000A2A2B" w:rsidP="007C3060"/>
        </w:tc>
      </w:tr>
      <w:tr w:rsidR="004B729E" w:rsidRPr="007C3060" w14:paraId="7EAEB64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FCA218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8764CCE"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6D5D5E"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A3B384" w14:textId="77777777" w:rsidR="000A2A2B" w:rsidRPr="007C3060" w:rsidRDefault="000A2A2B" w:rsidP="007C3060">
            <w:r w:rsidRPr="007C3060">
              <w:t>352 514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2ABD0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A26281" w14:textId="77777777" w:rsidR="000A2A2B" w:rsidRPr="007C3060" w:rsidRDefault="000A2A2B" w:rsidP="007C3060">
            <w:r w:rsidRPr="007C3060">
              <w:t>3 150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A9A1BD" w14:textId="77777777" w:rsidR="000A2A2B" w:rsidRPr="007C3060" w:rsidRDefault="000A2A2B" w:rsidP="007C3060">
            <w:r w:rsidRPr="007C3060">
              <w:t>355 664</w:t>
            </w:r>
          </w:p>
        </w:tc>
      </w:tr>
      <w:tr w:rsidR="004B729E" w:rsidRPr="007C3060" w14:paraId="278C7D6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F94EF0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FA3DDC0"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7EFDA5" w14:textId="77777777" w:rsidR="000A2A2B" w:rsidRPr="007C3060" w:rsidRDefault="000A2A2B" w:rsidP="007C3060">
            <w:r w:rsidRPr="007C306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D57630" w14:textId="77777777" w:rsidR="000A2A2B" w:rsidRPr="007C3060" w:rsidRDefault="000A2A2B" w:rsidP="007C3060">
            <w:r w:rsidRPr="007C3060">
              <w:t>99 693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23E1B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96C787" w14:textId="77777777" w:rsidR="000A2A2B" w:rsidRPr="007C3060" w:rsidRDefault="000A2A2B" w:rsidP="007C3060">
            <w:r w:rsidRPr="007C3060">
              <w:t>-1 150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7159BD" w14:textId="77777777" w:rsidR="000A2A2B" w:rsidRPr="007C3060" w:rsidRDefault="000A2A2B" w:rsidP="007C3060">
            <w:r w:rsidRPr="007C3060">
              <w:t>98 543</w:t>
            </w:r>
          </w:p>
        </w:tc>
      </w:tr>
      <w:tr w:rsidR="004B729E" w:rsidRPr="007C3060" w14:paraId="127D40F0"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3B2C44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C20FA64" w14:textId="77777777" w:rsidR="000A2A2B" w:rsidRPr="007C3060" w:rsidRDefault="000A2A2B" w:rsidP="007C3060">
            <w:r w:rsidRPr="007C306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3287F2" w14:textId="77777777" w:rsidR="000A2A2B" w:rsidRPr="007C3060" w:rsidRDefault="000A2A2B" w:rsidP="007C3060">
            <w:r w:rsidRPr="007C3060">
              <w:t xml:space="preserve">Støtte til nasjonale og internasjonale -miljøtiltak,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9642E6" w14:textId="77777777" w:rsidR="000A2A2B" w:rsidRPr="007C3060" w:rsidRDefault="000A2A2B" w:rsidP="007C3060">
            <w:r w:rsidRPr="007C3060">
              <w:t>111 244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9178A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CE6554" w14:textId="77777777" w:rsidR="000A2A2B" w:rsidRPr="007C3060" w:rsidRDefault="000A2A2B" w:rsidP="007C3060">
            <w:r w:rsidRPr="007C3060">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120602" w14:textId="77777777" w:rsidR="000A2A2B" w:rsidRPr="007C3060" w:rsidRDefault="000A2A2B" w:rsidP="007C3060">
            <w:r w:rsidRPr="007C3060">
              <w:t>109 244</w:t>
            </w:r>
          </w:p>
        </w:tc>
      </w:tr>
      <w:tr w:rsidR="004B729E" w:rsidRPr="007C3060" w14:paraId="61CECB5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A30F23B" w14:textId="77777777" w:rsidR="000A2A2B" w:rsidRPr="007C3060" w:rsidRDefault="000A2A2B" w:rsidP="007C3060">
            <w:r w:rsidRPr="007C3060">
              <w:lastRenderedPageBreak/>
              <w:t>1412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2C9A05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1A154F" w14:textId="77777777" w:rsidR="000A2A2B" w:rsidRPr="007C3060" w:rsidRDefault="000A2A2B" w:rsidP="007C3060">
            <w:r w:rsidRPr="007C3060">
              <w:t>Meteorologiformål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B0458D"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69017F"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6B45B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5E82DA" w14:textId="77777777" w:rsidR="000A2A2B" w:rsidRPr="007C3060" w:rsidRDefault="000A2A2B" w:rsidP="007C3060"/>
        </w:tc>
      </w:tr>
      <w:tr w:rsidR="004B729E" w:rsidRPr="007C3060" w14:paraId="7EE4B7E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55AF8B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E050603"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C46008" w14:textId="77777777" w:rsidR="000A2A2B" w:rsidRPr="007C3060" w:rsidRDefault="000A2A2B" w:rsidP="007C3060">
            <w:r w:rsidRPr="007C3060">
              <w:t xml:space="preserve">Internasjonale samarbeidsprosjekter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A4DC90" w14:textId="77777777" w:rsidR="000A2A2B" w:rsidRPr="007C3060" w:rsidRDefault="000A2A2B" w:rsidP="007C3060">
            <w:r w:rsidRPr="007C3060">
              <w:t>163 000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AE48F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331974" w14:textId="77777777" w:rsidR="000A2A2B" w:rsidRPr="007C3060" w:rsidRDefault="000A2A2B" w:rsidP="007C3060">
            <w:r w:rsidRPr="007C3060">
              <w:t>-13 670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646789" w14:textId="77777777" w:rsidR="000A2A2B" w:rsidRPr="007C3060" w:rsidRDefault="000A2A2B" w:rsidP="007C3060">
            <w:r w:rsidRPr="007C3060">
              <w:t>149 330</w:t>
            </w:r>
          </w:p>
        </w:tc>
      </w:tr>
      <w:tr w:rsidR="004B729E" w:rsidRPr="007C3060" w14:paraId="0629036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770F20A" w14:textId="77777777" w:rsidR="000A2A2B" w:rsidRPr="007C3060" w:rsidRDefault="000A2A2B" w:rsidP="007C3060">
            <w:r w:rsidRPr="007C3060">
              <w:t>1420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30235B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D2626C" w14:textId="77777777" w:rsidR="000A2A2B" w:rsidRPr="007C3060" w:rsidRDefault="000A2A2B" w:rsidP="007C3060">
            <w:r w:rsidRPr="007C3060">
              <w:t>Miljødirektoratet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16C00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D06FBC"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5B277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05A8C9" w14:textId="77777777" w:rsidR="000A2A2B" w:rsidRPr="007C3060" w:rsidRDefault="000A2A2B" w:rsidP="007C3060"/>
        </w:tc>
      </w:tr>
      <w:tr w:rsidR="004B729E" w:rsidRPr="007C3060" w14:paraId="625F573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E74853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726B5E5"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1CC6DD"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0600BA" w14:textId="77777777" w:rsidR="000A2A2B" w:rsidRPr="007C3060" w:rsidRDefault="000A2A2B" w:rsidP="007C3060">
            <w:r w:rsidRPr="007C3060">
              <w:t>934 095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569D8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E672ED" w14:textId="77777777" w:rsidR="000A2A2B" w:rsidRPr="007C3060" w:rsidRDefault="000A2A2B" w:rsidP="007C3060">
            <w:r w:rsidRPr="007C3060">
              <w:t>5 600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D3C5FE" w14:textId="77777777" w:rsidR="000A2A2B" w:rsidRPr="007C3060" w:rsidRDefault="000A2A2B" w:rsidP="007C3060">
            <w:r w:rsidRPr="007C3060">
              <w:t>939 695</w:t>
            </w:r>
          </w:p>
        </w:tc>
      </w:tr>
      <w:tr w:rsidR="004B729E" w:rsidRPr="007C3060" w14:paraId="27073651"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EA1F72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6937E05" w14:textId="77777777" w:rsidR="000A2A2B" w:rsidRPr="007C3060" w:rsidRDefault="000A2A2B" w:rsidP="007C3060">
            <w:r w:rsidRPr="007C3060">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563A32" w14:textId="77777777" w:rsidR="000A2A2B" w:rsidRPr="007C3060" w:rsidRDefault="000A2A2B" w:rsidP="007C3060">
            <w:r w:rsidRPr="007C3060">
              <w:t xml:space="preserve">Statlige erverv, bevaring av viktige -friluftslivsområder,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03425E" w14:textId="77777777" w:rsidR="000A2A2B" w:rsidRPr="007C3060" w:rsidRDefault="000A2A2B" w:rsidP="007C3060">
            <w:r w:rsidRPr="007C3060">
              <w:t>23 054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15DE7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03B480" w14:textId="77777777" w:rsidR="000A2A2B" w:rsidRPr="007C3060" w:rsidRDefault="000A2A2B" w:rsidP="007C3060">
            <w:r w:rsidRPr="007C3060">
              <w:t>4 785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05A5C" w14:textId="77777777" w:rsidR="000A2A2B" w:rsidRPr="007C3060" w:rsidRDefault="000A2A2B" w:rsidP="007C3060">
            <w:r w:rsidRPr="007C3060">
              <w:t>27 839</w:t>
            </w:r>
          </w:p>
        </w:tc>
      </w:tr>
      <w:tr w:rsidR="004B729E" w:rsidRPr="007C3060" w14:paraId="239CD177"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ABB926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8ED20A2" w14:textId="77777777" w:rsidR="000A2A2B" w:rsidRPr="007C3060" w:rsidRDefault="000A2A2B" w:rsidP="007C3060">
            <w:r w:rsidRPr="007C3060">
              <w:t>31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09DA2A" w14:textId="77777777" w:rsidR="000A2A2B" w:rsidRPr="007C3060" w:rsidRDefault="000A2A2B" w:rsidP="007C3060">
            <w:r w:rsidRPr="007C3060">
              <w:t xml:space="preserve">Tiltak i verneområder og natur-restaurering,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036C00" w14:textId="77777777" w:rsidR="000A2A2B" w:rsidRPr="007C3060" w:rsidRDefault="000A2A2B" w:rsidP="007C3060">
            <w:r w:rsidRPr="007C3060">
              <w:t>181 252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5327D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2B8BBE" w14:textId="77777777" w:rsidR="000A2A2B" w:rsidRPr="007C3060" w:rsidRDefault="000A2A2B" w:rsidP="007C3060">
            <w:r w:rsidRPr="007C3060">
              <w:t>-3 200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9CB370" w14:textId="77777777" w:rsidR="000A2A2B" w:rsidRPr="007C3060" w:rsidRDefault="000A2A2B" w:rsidP="007C3060">
            <w:r w:rsidRPr="007C3060">
              <w:t>178 052</w:t>
            </w:r>
          </w:p>
        </w:tc>
      </w:tr>
      <w:tr w:rsidR="004B729E" w:rsidRPr="007C3060" w14:paraId="04F4BC93"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21C8CC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C51CA98" w14:textId="77777777" w:rsidR="000A2A2B" w:rsidRPr="007C3060" w:rsidRDefault="000A2A2B" w:rsidP="007C3060">
            <w:r w:rsidRPr="007C306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D5FF4F" w14:textId="77777777" w:rsidR="000A2A2B" w:rsidRPr="007C3060" w:rsidRDefault="000A2A2B" w:rsidP="007C3060">
            <w:r w:rsidRPr="007C3060">
              <w:t xml:space="preserve">Tilskudd til natursats – tiltak og planlegging for natur i kommunene,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B06E97" w14:textId="77777777" w:rsidR="000A2A2B" w:rsidRPr="007C3060" w:rsidRDefault="000A2A2B" w:rsidP="007C3060">
            <w:r w:rsidRPr="007C3060">
              <w:t>118 226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8F581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3458C1" w14:textId="77777777" w:rsidR="000A2A2B" w:rsidRPr="007C3060" w:rsidRDefault="000A2A2B" w:rsidP="007C3060">
            <w:r w:rsidRPr="007C3060">
              <w:t>-32 400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3DC67E" w14:textId="77777777" w:rsidR="000A2A2B" w:rsidRPr="007C3060" w:rsidRDefault="000A2A2B" w:rsidP="007C3060">
            <w:r w:rsidRPr="007C3060">
              <w:t>85 826</w:t>
            </w:r>
          </w:p>
        </w:tc>
      </w:tr>
      <w:tr w:rsidR="004B729E" w:rsidRPr="007C3060" w14:paraId="13572A97"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BF2FCF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3E0487A" w14:textId="77777777" w:rsidR="000A2A2B" w:rsidRPr="007C3060" w:rsidRDefault="000A2A2B" w:rsidP="007C3060">
            <w:r w:rsidRPr="007C3060">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4976F7" w14:textId="77777777" w:rsidR="000A2A2B" w:rsidRPr="007C3060" w:rsidRDefault="000A2A2B" w:rsidP="007C3060">
            <w:r w:rsidRPr="007C3060">
              <w:t xml:space="preserve">Tilskudd til klimatiltak og klimatilpasning,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65CB4D" w14:textId="77777777" w:rsidR="000A2A2B" w:rsidRPr="007C3060" w:rsidRDefault="000A2A2B" w:rsidP="007C3060">
            <w:r w:rsidRPr="007C3060">
              <w:t>273 300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3546A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E3596B" w14:textId="77777777" w:rsidR="000A2A2B" w:rsidRPr="007C3060" w:rsidRDefault="000A2A2B" w:rsidP="007C3060">
            <w:r w:rsidRPr="007C3060">
              <w:t>-100 000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EA29EC" w14:textId="77777777" w:rsidR="000A2A2B" w:rsidRPr="007C3060" w:rsidRDefault="000A2A2B" w:rsidP="007C3060">
            <w:r w:rsidRPr="007C3060">
              <w:t>173 300</w:t>
            </w:r>
          </w:p>
        </w:tc>
      </w:tr>
      <w:tr w:rsidR="004B729E" w:rsidRPr="007C3060" w14:paraId="0E2D0AF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2098CE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36EDCD9" w14:textId="77777777" w:rsidR="000A2A2B" w:rsidRPr="007C3060" w:rsidRDefault="000A2A2B" w:rsidP="007C3060">
            <w:r w:rsidRPr="007C3060">
              <w:t>62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1B3864" w14:textId="77777777" w:rsidR="000A2A2B" w:rsidRPr="007C3060" w:rsidRDefault="000A2A2B" w:rsidP="007C3060">
            <w:r w:rsidRPr="007C3060">
              <w:t xml:space="preserve">Tilskudd til grønn skipsfart,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4F19B5" w14:textId="77777777" w:rsidR="000A2A2B" w:rsidRPr="007C3060" w:rsidRDefault="000A2A2B" w:rsidP="007C3060">
            <w:r w:rsidRPr="007C3060">
              <w:t>34 027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9A3C9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139F8F" w14:textId="77777777" w:rsidR="000A2A2B" w:rsidRPr="007C3060" w:rsidRDefault="000A2A2B" w:rsidP="007C3060">
            <w:r w:rsidRPr="007C3060">
              <w:t>11 514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DD12F4" w14:textId="77777777" w:rsidR="000A2A2B" w:rsidRPr="007C3060" w:rsidRDefault="000A2A2B" w:rsidP="007C3060">
            <w:r w:rsidRPr="007C3060">
              <w:t>45 541</w:t>
            </w:r>
          </w:p>
        </w:tc>
      </w:tr>
      <w:tr w:rsidR="004B729E" w:rsidRPr="007C3060" w14:paraId="1314CBDE"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10A3DA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0EB4785" w14:textId="77777777" w:rsidR="000A2A2B" w:rsidRPr="007C3060" w:rsidRDefault="000A2A2B" w:rsidP="007C3060">
            <w:r w:rsidRPr="007C306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2380DF" w14:textId="77777777" w:rsidR="000A2A2B" w:rsidRPr="007C3060" w:rsidRDefault="000A2A2B" w:rsidP="007C3060">
            <w:r w:rsidRPr="007C3060">
              <w:t xml:space="preserve">Refusjon ved innlevering av klima- og -miljøskadelige stoffer,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13D6C2" w14:textId="77777777" w:rsidR="000A2A2B" w:rsidRPr="007C3060" w:rsidRDefault="000A2A2B" w:rsidP="007C3060">
            <w:r w:rsidRPr="007C3060">
              <w:t>179 800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22B1F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11E9E8" w14:textId="77777777" w:rsidR="000A2A2B" w:rsidRPr="007C3060" w:rsidRDefault="000A2A2B" w:rsidP="007C3060">
            <w:r w:rsidRPr="007C3060">
              <w:t>70 200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474451" w14:textId="77777777" w:rsidR="000A2A2B" w:rsidRPr="007C3060" w:rsidRDefault="000A2A2B" w:rsidP="007C3060">
            <w:r w:rsidRPr="007C3060">
              <w:t>250 000</w:t>
            </w:r>
          </w:p>
        </w:tc>
      </w:tr>
      <w:tr w:rsidR="004B729E" w:rsidRPr="007C3060" w14:paraId="09164A6C" w14:textId="77777777">
        <w:trPr>
          <w:trHeight w:val="64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1FDDC177" w14:textId="77777777" w:rsidR="000A2A2B" w:rsidRPr="007C3060" w:rsidRDefault="000A2A2B" w:rsidP="007C3060"/>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1953C674" w14:textId="77777777" w:rsidR="000A2A2B" w:rsidRPr="007C3060" w:rsidRDefault="000A2A2B" w:rsidP="007C3060">
            <w:r w:rsidRPr="007C3060">
              <w:t>80</w:t>
            </w:r>
          </w:p>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DF109E9" w14:textId="77777777" w:rsidR="000A2A2B" w:rsidRPr="007C3060" w:rsidRDefault="000A2A2B" w:rsidP="007C3060">
            <w:r w:rsidRPr="007C3060">
              <w:t xml:space="preserve">Tilskudd til tiltak for å ta vare på natur, </w:t>
            </w:r>
            <w:r w:rsidRPr="007C3060">
              <w:rPr>
                <w:rStyle w:val="kursiv"/>
              </w:rPr>
              <w:t>kan overføres</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3160B35" w14:textId="77777777" w:rsidR="000A2A2B" w:rsidRPr="007C3060" w:rsidRDefault="000A2A2B" w:rsidP="007C3060">
            <w:r w:rsidRPr="007C3060">
              <w:t>214 908</w:t>
            </w:r>
          </w:p>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FB8C8BE" w14:textId="77777777" w:rsidR="000A2A2B" w:rsidRPr="007C3060" w:rsidRDefault="000A2A2B" w:rsidP="007C3060">
            <w:r w:rsidRPr="007C3060">
              <w:t>-</w:t>
            </w:r>
          </w:p>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EFA0EB8" w14:textId="77777777" w:rsidR="000A2A2B" w:rsidRPr="007C3060" w:rsidRDefault="000A2A2B" w:rsidP="007C3060">
            <w:r w:rsidRPr="007C3060">
              <w:t>-1 400</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A137FAF" w14:textId="77777777" w:rsidR="000A2A2B" w:rsidRPr="007C3060" w:rsidRDefault="000A2A2B" w:rsidP="007C3060">
            <w:r w:rsidRPr="007C3060">
              <w:t>213 508</w:t>
            </w:r>
          </w:p>
        </w:tc>
      </w:tr>
      <w:tr w:rsidR="004B729E" w:rsidRPr="007C3060" w14:paraId="0CAA191D"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731CFA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CF7F8E9" w14:textId="77777777" w:rsidR="000A2A2B" w:rsidRPr="007C3060" w:rsidRDefault="000A2A2B" w:rsidP="007C3060">
            <w:r w:rsidRPr="007C306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14C1D0" w14:textId="070EB368" w:rsidR="000A2A2B" w:rsidRPr="007C3060" w:rsidRDefault="000A2A2B" w:rsidP="007C3060">
            <w:r w:rsidRPr="007C3060">
              <w:t xml:space="preserve">Tilskudd til besøkssenter for natur og verdensarv,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5C00C2" w14:textId="77777777" w:rsidR="000A2A2B" w:rsidRPr="007C3060" w:rsidRDefault="000A2A2B" w:rsidP="007C3060">
            <w:r w:rsidRPr="007C3060">
              <w:t>103 898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95F52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EAE1D7" w14:textId="77777777" w:rsidR="000A2A2B" w:rsidRPr="007C3060" w:rsidRDefault="000A2A2B" w:rsidP="007C3060">
            <w:r w:rsidRPr="007C3060">
              <w:t>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E6B491" w14:textId="77777777" w:rsidR="000A2A2B" w:rsidRPr="007C3060" w:rsidRDefault="000A2A2B" w:rsidP="007C3060">
            <w:r w:rsidRPr="007C3060">
              <w:t>104 698</w:t>
            </w:r>
          </w:p>
        </w:tc>
      </w:tr>
      <w:tr w:rsidR="004B729E" w:rsidRPr="007C3060" w14:paraId="3D49C92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4921984" w14:textId="77777777" w:rsidR="000A2A2B" w:rsidRPr="007C3060" w:rsidRDefault="000A2A2B" w:rsidP="007C3060">
            <w:r w:rsidRPr="007C3060">
              <w:t>1425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3E9CEB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B5250" w14:textId="77777777" w:rsidR="000A2A2B" w:rsidRPr="007C3060" w:rsidRDefault="000A2A2B" w:rsidP="007C3060">
            <w:r w:rsidRPr="007C3060">
              <w:t>Fisketiltak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81A41F"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822A07"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93368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A050D5" w14:textId="77777777" w:rsidR="000A2A2B" w:rsidRPr="007C3060" w:rsidRDefault="000A2A2B" w:rsidP="007C3060"/>
        </w:tc>
      </w:tr>
      <w:tr w:rsidR="004B729E" w:rsidRPr="007C3060" w14:paraId="4384C05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2B6CBD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9B6B572"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5BB50D" w14:textId="77777777" w:rsidR="000A2A2B" w:rsidRPr="007C3060" w:rsidRDefault="000A2A2B" w:rsidP="007C3060">
            <w:r w:rsidRPr="007C3060">
              <w:t xml:space="preserve">Tilskudd til fiskeformål,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3D7702" w14:textId="77777777" w:rsidR="000A2A2B" w:rsidRPr="007C3060" w:rsidRDefault="000A2A2B" w:rsidP="007C3060">
            <w:r w:rsidRPr="007C3060">
              <w:t>17 553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0B65E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518D50" w14:textId="77777777" w:rsidR="000A2A2B" w:rsidRPr="007C3060" w:rsidRDefault="000A2A2B" w:rsidP="007C3060">
            <w:r w:rsidRPr="007C3060">
              <w:t>-2 374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A6FEAC" w14:textId="77777777" w:rsidR="000A2A2B" w:rsidRPr="007C3060" w:rsidRDefault="000A2A2B" w:rsidP="007C3060">
            <w:r w:rsidRPr="007C3060">
              <w:t>15 179</w:t>
            </w:r>
          </w:p>
        </w:tc>
      </w:tr>
      <w:tr w:rsidR="004B729E" w:rsidRPr="007C3060" w14:paraId="66D58B1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6D37164" w14:textId="77777777" w:rsidR="000A2A2B" w:rsidRPr="007C3060" w:rsidRDefault="000A2A2B" w:rsidP="007C3060">
            <w:r w:rsidRPr="007C3060">
              <w:t>1429</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8B1F47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FCBC6C" w14:textId="77777777" w:rsidR="000A2A2B" w:rsidRPr="007C3060" w:rsidRDefault="000A2A2B" w:rsidP="007C3060">
            <w:r w:rsidRPr="007C3060">
              <w:t>Riksantikvaren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D5356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6DA24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F7680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5F3734" w14:textId="77777777" w:rsidR="000A2A2B" w:rsidRPr="007C3060" w:rsidRDefault="000A2A2B" w:rsidP="007C3060"/>
        </w:tc>
      </w:tr>
      <w:tr w:rsidR="004B729E" w:rsidRPr="007C3060" w14:paraId="5A6226A0"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29471E2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85D45C4"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4A4A7F" w14:textId="1B154C6F" w:rsidR="000A2A2B" w:rsidRPr="007C3060" w:rsidRDefault="000A2A2B" w:rsidP="007C3060">
            <w:r w:rsidRPr="007C3060">
              <w:t xml:space="preserve">Tilskudd til bygninger og anlegg fra middelalderen og brannsikring,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1898E4" w14:textId="77777777" w:rsidR="000A2A2B" w:rsidRPr="007C3060" w:rsidRDefault="000A2A2B" w:rsidP="007C3060">
            <w:r w:rsidRPr="007C3060">
              <w:t>52 850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AE49D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542709" w14:textId="77777777" w:rsidR="000A2A2B" w:rsidRPr="007C3060" w:rsidRDefault="000A2A2B" w:rsidP="007C3060">
            <w:r w:rsidRPr="007C3060">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6A3AE4" w14:textId="77777777" w:rsidR="000A2A2B" w:rsidRPr="007C3060" w:rsidRDefault="000A2A2B" w:rsidP="007C3060">
            <w:r w:rsidRPr="007C3060">
              <w:t>47 850</w:t>
            </w:r>
          </w:p>
        </w:tc>
      </w:tr>
      <w:tr w:rsidR="004B729E" w:rsidRPr="007C3060" w14:paraId="577BC72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270B440" w14:textId="77777777" w:rsidR="000A2A2B" w:rsidRPr="007C3060" w:rsidRDefault="000A2A2B" w:rsidP="007C3060">
            <w:r w:rsidRPr="007C3060">
              <w:t>1432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8BFB2D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3D0022" w14:textId="77777777" w:rsidR="000A2A2B" w:rsidRPr="007C3060" w:rsidRDefault="000A2A2B" w:rsidP="007C3060">
            <w:r w:rsidRPr="007C3060">
              <w:t>Norsk kulturminnefond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3AE5E8"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92A8AF"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5E0C4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09DD4E" w14:textId="77777777" w:rsidR="000A2A2B" w:rsidRPr="007C3060" w:rsidRDefault="000A2A2B" w:rsidP="007C3060"/>
        </w:tc>
      </w:tr>
      <w:tr w:rsidR="004B729E" w:rsidRPr="007C3060" w14:paraId="6D3D9FC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2954BB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48665B2" w14:textId="77777777" w:rsidR="000A2A2B" w:rsidRPr="007C3060" w:rsidRDefault="000A2A2B" w:rsidP="007C3060">
            <w:r w:rsidRPr="007C306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F86309" w14:textId="77777777" w:rsidR="000A2A2B" w:rsidRPr="007C3060" w:rsidRDefault="000A2A2B" w:rsidP="007C3060">
            <w:r w:rsidRPr="007C3060">
              <w:t xml:space="preserve">Til disposisjon for tiltak på kulturmiljøfeltet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FC3665" w14:textId="77777777" w:rsidR="000A2A2B" w:rsidRPr="007C3060" w:rsidRDefault="000A2A2B" w:rsidP="007C3060">
            <w:r w:rsidRPr="007C3060">
              <w:t>137 254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BFB0A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E81F13" w14:textId="77777777" w:rsidR="000A2A2B" w:rsidRPr="007C3060" w:rsidRDefault="000A2A2B" w:rsidP="007C3060">
            <w:r w:rsidRPr="007C3060">
              <w:t>-20 000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FD0F38" w14:textId="77777777" w:rsidR="000A2A2B" w:rsidRPr="007C3060" w:rsidRDefault="000A2A2B" w:rsidP="007C3060">
            <w:r w:rsidRPr="007C3060">
              <w:t>117 254</w:t>
            </w:r>
          </w:p>
        </w:tc>
      </w:tr>
      <w:tr w:rsidR="004B729E" w:rsidRPr="007C3060" w14:paraId="2AA6148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02847BF" w14:textId="77777777" w:rsidR="000A2A2B" w:rsidRPr="007C3060" w:rsidRDefault="000A2A2B" w:rsidP="007C3060">
            <w:r w:rsidRPr="007C3060">
              <w:t>1471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455674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687A4A" w14:textId="77777777" w:rsidR="000A2A2B" w:rsidRPr="007C3060" w:rsidRDefault="000A2A2B" w:rsidP="007C3060">
            <w:r w:rsidRPr="007C3060">
              <w:t>Norsk Polarinstitutt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28651E"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BBE9AC"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0020A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F2B211" w14:textId="77777777" w:rsidR="000A2A2B" w:rsidRPr="007C3060" w:rsidRDefault="000A2A2B" w:rsidP="007C3060"/>
        </w:tc>
      </w:tr>
      <w:tr w:rsidR="004B729E" w:rsidRPr="007C3060" w14:paraId="212812D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06DB35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B86E574"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1D77D9"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8B781B" w14:textId="77777777" w:rsidR="000A2A2B" w:rsidRPr="007C3060" w:rsidRDefault="000A2A2B" w:rsidP="007C3060">
            <w:r w:rsidRPr="007C3060">
              <w:t>265 927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8B671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FEE1E8" w14:textId="77777777" w:rsidR="000A2A2B" w:rsidRPr="007C3060" w:rsidRDefault="000A2A2B" w:rsidP="007C3060">
            <w:r w:rsidRPr="007C3060">
              <w:t>85 034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2D411E" w14:textId="77777777" w:rsidR="000A2A2B" w:rsidRPr="007C3060" w:rsidRDefault="000A2A2B" w:rsidP="007C3060">
            <w:r w:rsidRPr="007C3060">
              <w:t>350 961</w:t>
            </w:r>
          </w:p>
        </w:tc>
      </w:tr>
      <w:tr w:rsidR="004B729E" w:rsidRPr="007C3060" w14:paraId="3E0511D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966732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A5C84D9"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613EF8"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B9642C" w14:textId="77777777" w:rsidR="000A2A2B" w:rsidRPr="007C3060" w:rsidRDefault="000A2A2B" w:rsidP="007C3060">
            <w:r w:rsidRPr="007C3060">
              <w:t>129 623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44A8A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07D3A2" w14:textId="77777777" w:rsidR="000A2A2B" w:rsidRPr="007C3060" w:rsidRDefault="000A2A2B" w:rsidP="007C3060">
            <w:r w:rsidRPr="007C3060">
              <w:t>21 300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4EBF13" w14:textId="77777777" w:rsidR="000A2A2B" w:rsidRPr="007C3060" w:rsidRDefault="000A2A2B" w:rsidP="007C3060">
            <w:r w:rsidRPr="007C3060">
              <w:t>150 923</w:t>
            </w:r>
          </w:p>
        </w:tc>
      </w:tr>
      <w:tr w:rsidR="004B729E" w:rsidRPr="007C3060" w14:paraId="57C5136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38A726B" w14:textId="77777777" w:rsidR="000A2A2B" w:rsidRPr="007C3060" w:rsidRDefault="000A2A2B" w:rsidP="007C3060">
            <w:r w:rsidRPr="007C3060">
              <w:t>1481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15462B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5CCDC5" w14:textId="77777777" w:rsidR="000A2A2B" w:rsidRPr="007C3060" w:rsidRDefault="000A2A2B" w:rsidP="007C3060">
            <w:r w:rsidRPr="007C3060">
              <w:t>Klimakvoter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4EC1A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6706C4"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7B7FC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E177FE" w14:textId="77777777" w:rsidR="000A2A2B" w:rsidRPr="007C3060" w:rsidRDefault="000A2A2B" w:rsidP="007C3060"/>
        </w:tc>
      </w:tr>
      <w:tr w:rsidR="004B729E" w:rsidRPr="007C3060" w14:paraId="70150B93"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E8739B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4BE7B72"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92AD4F" w14:textId="1B21F360" w:rsidR="000A2A2B" w:rsidRPr="007C3060" w:rsidRDefault="000A2A2B" w:rsidP="007C3060">
            <w:r w:rsidRPr="007C3060">
              <w:t xml:space="preserve">Internasjonalt samarbeid under Parisavtalens artikkel 6,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0FBB4A" w14:textId="77777777" w:rsidR="000A2A2B" w:rsidRPr="007C3060" w:rsidRDefault="000A2A2B" w:rsidP="007C3060">
            <w:r w:rsidRPr="007C3060">
              <w:t>300 000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90EF0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2DF37F" w14:textId="77777777" w:rsidR="000A2A2B" w:rsidRPr="007C3060" w:rsidRDefault="000A2A2B" w:rsidP="007C3060">
            <w:r w:rsidRPr="007C3060">
              <w:t>-142 000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E32BD2" w14:textId="77777777" w:rsidR="000A2A2B" w:rsidRPr="007C3060" w:rsidRDefault="000A2A2B" w:rsidP="007C3060">
            <w:r w:rsidRPr="007C3060">
              <w:t>158 000</w:t>
            </w:r>
          </w:p>
        </w:tc>
      </w:tr>
      <w:tr w:rsidR="004B729E" w:rsidRPr="007C3060" w14:paraId="757882A3"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26A0301" w14:textId="77777777" w:rsidR="000A2A2B" w:rsidRPr="007C3060" w:rsidRDefault="000A2A2B" w:rsidP="007C3060">
            <w:r w:rsidRPr="007C3060">
              <w:t>Sum endringer Klima- og miljødepartementet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8024043"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6830C4"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23B4A7" w14:textId="77777777" w:rsidR="000A2A2B" w:rsidRPr="007C3060" w:rsidRDefault="000A2A2B" w:rsidP="007C3060">
            <w:r w:rsidRPr="007C3060">
              <w:t>-120 811</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DD668A0" w14:textId="77777777" w:rsidR="000A2A2B" w:rsidRPr="007C3060" w:rsidRDefault="000A2A2B" w:rsidP="007C3060"/>
        </w:tc>
      </w:tr>
      <w:tr w:rsidR="004B729E" w:rsidRPr="007C3060" w14:paraId="09B4DB40"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B38901E" w14:textId="77777777" w:rsidR="000A2A2B" w:rsidRPr="007C3060" w:rsidRDefault="000A2A2B" w:rsidP="007C3060">
            <w:r w:rsidRPr="007C3060">
              <w:t>1500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3FD8DC4"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345AE4" w14:textId="0082746F" w:rsidR="000A2A2B" w:rsidRPr="007C3060" w:rsidRDefault="000A2A2B" w:rsidP="007C3060">
            <w:r w:rsidRPr="007C3060">
              <w:t>Digitaliserings- og forvaltningsdepartementet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8FA9A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6B664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403F2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C3E1A9" w14:textId="77777777" w:rsidR="000A2A2B" w:rsidRPr="007C3060" w:rsidRDefault="000A2A2B" w:rsidP="007C3060"/>
        </w:tc>
      </w:tr>
      <w:tr w:rsidR="004B729E" w:rsidRPr="007C3060" w14:paraId="21236F9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A4BEB5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D9007DA"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8A064C"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204BC1" w14:textId="77777777" w:rsidR="000A2A2B" w:rsidRPr="007C3060" w:rsidRDefault="000A2A2B" w:rsidP="007C3060">
            <w:r w:rsidRPr="007C3060">
              <w:t>237 765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07032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10D96A" w14:textId="77777777" w:rsidR="000A2A2B" w:rsidRPr="007C3060" w:rsidRDefault="000A2A2B" w:rsidP="007C3060">
            <w:r w:rsidRPr="007C3060">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71A714" w14:textId="77777777" w:rsidR="000A2A2B" w:rsidRPr="007C3060" w:rsidRDefault="000A2A2B" w:rsidP="007C3060">
            <w:r w:rsidRPr="007C3060">
              <w:t>239 765</w:t>
            </w:r>
          </w:p>
        </w:tc>
      </w:tr>
      <w:tr w:rsidR="004B729E" w:rsidRPr="007C3060" w14:paraId="5BCCACCC"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77C34E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306DF09"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A71091" w14:textId="27B96F89" w:rsidR="000A2A2B" w:rsidRPr="007C3060" w:rsidRDefault="000A2A2B" w:rsidP="007C3060">
            <w:r w:rsidRPr="007C3060">
              <w:t xml:space="preserve">Spesielle driftsutgifter, </w:t>
            </w:r>
            <w:r w:rsidRPr="007C3060">
              <w:rPr>
                <w:rStyle w:val="kursiv"/>
              </w:rPr>
              <w:t>kan overføres,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3382A2" w14:textId="77777777" w:rsidR="000A2A2B" w:rsidRPr="007C3060" w:rsidRDefault="000A2A2B" w:rsidP="007C3060">
            <w:r w:rsidRPr="007C3060">
              <w:t>59 099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2779A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723490" w14:textId="77777777" w:rsidR="000A2A2B" w:rsidRPr="007C3060" w:rsidRDefault="000A2A2B" w:rsidP="007C3060">
            <w:r w:rsidRPr="007C3060">
              <w:t>-2 500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5743B2" w14:textId="77777777" w:rsidR="000A2A2B" w:rsidRPr="007C3060" w:rsidRDefault="000A2A2B" w:rsidP="007C3060">
            <w:r w:rsidRPr="007C3060">
              <w:t>56 599</w:t>
            </w:r>
          </w:p>
        </w:tc>
      </w:tr>
      <w:tr w:rsidR="004B729E" w:rsidRPr="007C3060" w14:paraId="5A4E70E7"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60E0399" w14:textId="77777777" w:rsidR="000A2A2B" w:rsidRPr="007C3060" w:rsidRDefault="000A2A2B" w:rsidP="007C3060">
            <w:r w:rsidRPr="007C3060">
              <w:t>1510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2ACD73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C9B352" w14:textId="77777777" w:rsidR="000A2A2B" w:rsidRPr="007C3060" w:rsidRDefault="000A2A2B" w:rsidP="007C3060">
            <w:r w:rsidRPr="007C3060">
              <w:t>Departementenes sikkerhets- og serviceorganisasjon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F1365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BDA00F"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B2491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AB2244" w14:textId="77777777" w:rsidR="000A2A2B" w:rsidRPr="007C3060" w:rsidRDefault="000A2A2B" w:rsidP="007C3060"/>
        </w:tc>
      </w:tr>
      <w:tr w:rsidR="004B729E" w:rsidRPr="007C3060" w14:paraId="62013C0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E4E44D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BB35CF8"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027BC5"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532124" w14:textId="77777777" w:rsidR="000A2A2B" w:rsidRPr="007C3060" w:rsidRDefault="000A2A2B" w:rsidP="007C3060">
            <w:r w:rsidRPr="007C3060">
              <w:t>675 367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2B1D1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090D31" w14:textId="77777777" w:rsidR="000A2A2B" w:rsidRPr="007C3060" w:rsidRDefault="000A2A2B" w:rsidP="007C3060">
            <w:r w:rsidRPr="007C3060">
              <w:t>38 812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4C1652" w14:textId="77777777" w:rsidR="000A2A2B" w:rsidRPr="007C3060" w:rsidRDefault="000A2A2B" w:rsidP="007C3060">
            <w:r w:rsidRPr="007C3060">
              <w:t>714 179</w:t>
            </w:r>
          </w:p>
        </w:tc>
      </w:tr>
      <w:tr w:rsidR="004B729E" w:rsidRPr="007C3060" w14:paraId="38220BB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467C1A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B7C6ACB"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19F31E" w14:textId="77777777" w:rsidR="000A2A2B" w:rsidRPr="007C3060" w:rsidRDefault="000A2A2B" w:rsidP="007C3060">
            <w:r w:rsidRPr="007C3060">
              <w:t xml:space="preserve">Fellesutgifter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90AC06" w14:textId="77777777" w:rsidR="000A2A2B" w:rsidRPr="007C3060" w:rsidRDefault="000A2A2B" w:rsidP="007C3060">
            <w:r w:rsidRPr="007C3060">
              <w:t>146 048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24523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723736" w14:textId="77777777" w:rsidR="000A2A2B" w:rsidRPr="007C3060" w:rsidRDefault="000A2A2B" w:rsidP="007C3060">
            <w:r w:rsidRPr="007C3060">
              <w:t>-29 173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BCCD6F" w14:textId="77777777" w:rsidR="000A2A2B" w:rsidRPr="007C3060" w:rsidRDefault="000A2A2B" w:rsidP="007C3060">
            <w:r w:rsidRPr="007C3060">
              <w:t>116 875</w:t>
            </w:r>
          </w:p>
        </w:tc>
      </w:tr>
      <w:tr w:rsidR="004B729E" w:rsidRPr="007C3060" w14:paraId="591594FC"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0D28570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F9E8DF0"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B82274" w14:textId="77777777" w:rsidR="000A2A2B" w:rsidRPr="007C3060" w:rsidRDefault="000A2A2B" w:rsidP="007C3060">
            <w:r w:rsidRPr="007C3060">
              <w:t xml:space="preserve">Større utstyrsanskaffelser og vedlikehold,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0E960F" w14:textId="77777777" w:rsidR="000A2A2B" w:rsidRPr="007C3060" w:rsidRDefault="000A2A2B" w:rsidP="007C3060">
            <w:r w:rsidRPr="007C3060">
              <w:t>21 578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9F6FB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8E07D7"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CF91B4" w14:textId="77777777" w:rsidR="000A2A2B" w:rsidRPr="007C3060" w:rsidRDefault="000A2A2B" w:rsidP="007C3060">
            <w:r w:rsidRPr="007C3060">
              <w:t>11 578</w:t>
            </w:r>
          </w:p>
        </w:tc>
      </w:tr>
      <w:tr w:rsidR="004B729E" w:rsidRPr="007C3060" w14:paraId="2EC9D78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C016549" w14:textId="77777777" w:rsidR="000A2A2B" w:rsidRPr="007C3060" w:rsidRDefault="000A2A2B" w:rsidP="007C3060">
            <w:r w:rsidRPr="007C3060">
              <w:lastRenderedPageBreak/>
              <w:t>1511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C975DE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FA9CEB" w14:textId="77777777" w:rsidR="000A2A2B" w:rsidRPr="007C3060" w:rsidRDefault="000A2A2B" w:rsidP="007C3060">
            <w:r w:rsidRPr="007C3060">
              <w:t>Prosjekter tilknyttet nytt regjeringskvartal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62C514"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2F64B6"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3768C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BC02F3" w14:textId="77777777" w:rsidR="000A2A2B" w:rsidRPr="007C3060" w:rsidRDefault="000A2A2B" w:rsidP="007C3060"/>
        </w:tc>
      </w:tr>
      <w:tr w:rsidR="004B729E" w:rsidRPr="007C3060" w14:paraId="41089B6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05E392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9C432BE" w14:textId="77777777" w:rsidR="000A2A2B" w:rsidRPr="007C3060" w:rsidRDefault="000A2A2B" w:rsidP="007C3060">
            <w:r w:rsidRPr="007C3060">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DB49C3" w14:textId="77777777" w:rsidR="000A2A2B" w:rsidRPr="007C3060" w:rsidRDefault="000A2A2B" w:rsidP="007C3060">
            <w:r w:rsidRPr="007C3060">
              <w:t xml:space="preserve">Ombygging av Ring 1,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A99428" w14:textId="77777777" w:rsidR="000A2A2B" w:rsidRPr="007C3060" w:rsidRDefault="000A2A2B" w:rsidP="007C3060">
            <w:r w:rsidRPr="007C3060">
              <w:t>750 000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A5A5F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DCA9A2" w14:textId="77777777" w:rsidR="000A2A2B" w:rsidRPr="007C3060" w:rsidRDefault="000A2A2B" w:rsidP="007C3060">
            <w:r w:rsidRPr="007C3060">
              <w:t>153 000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646877" w14:textId="77777777" w:rsidR="000A2A2B" w:rsidRPr="007C3060" w:rsidRDefault="000A2A2B" w:rsidP="007C3060">
            <w:r w:rsidRPr="007C3060">
              <w:t>903 000</w:t>
            </w:r>
          </w:p>
        </w:tc>
      </w:tr>
      <w:tr w:rsidR="004B729E" w:rsidRPr="007C3060" w14:paraId="2A4A88E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23EE07E" w14:textId="77777777" w:rsidR="000A2A2B" w:rsidRPr="007C3060" w:rsidRDefault="000A2A2B" w:rsidP="007C3060">
            <w:r w:rsidRPr="007C3060">
              <w:t>1512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136F0F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C7914B" w14:textId="77777777" w:rsidR="000A2A2B" w:rsidRPr="007C3060" w:rsidRDefault="000A2A2B" w:rsidP="007C3060">
            <w:r w:rsidRPr="007C3060">
              <w:t>Diverse fellestjenester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1DDF5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0EA2A9"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83303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DDB3E0" w14:textId="77777777" w:rsidR="000A2A2B" w:rsidRPr="007C3060" w:rsidRDefault="000A2A2B" w:rsidP="007C3060"/>
        </w:tc>
      </w:tr>
      <w:tr w:rsidR="004B729E" w:rsidRPr="007C3060" w14:paraId="002FE7E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873727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FFB29ED" w14:textId="77777777" w:rsidR="000A2A2B" w:rsidRPr="007C3060" w:rsidRDefault="000A2A2B" w:rsidP="007C3060">
            <w:r w:rsidRPr="007C3060">
              <w:t>27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845C1C" w14:textId="77777777" w:rsidR="000A2A2B" w:rsidRPr="007C3060" w:rsidRDefault="000A2A2B" w:rsidP="007C3060">
            <w:r w:rsidRPr="007C3060">
              <w:t xml:space="preserve">Sak- og arkivløsning,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CE9767" w14:textId="77777777" w:rsidR="000A2A2B" w:rsidRPr="007C3060" w:rsidRDefault="000A2A2B" w:rsidP="007C3060">
            <w:r w:rsidRPr="007C3060">
              <w:t>44 312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9346B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0D0E3C" w14:textId="77777777" w:rsidR="000A2A2B" w:rsidRPr="007C3060" w:rsidRDefault="000A2A2B" w:rsidP="007C3060">
            <w:r w:rsidRPr="007C3060">
              <w:t>-13 900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E7E458" w14:textId="77777777" w:rsidR="000A2A2B" w:rsidRPr="007C3060" w:rsidRDefault="000A2A2B" w:rsidP="007C3060">
            <w:r w:rsidRPr="007C3060">
              <w:t>30 412</w:t>
            </w:r>
          </w:p>
        </w:tc>
      </w:tr>
      <w:tr w:rsidR="004B729E" w:rsidRPr="007C3060" w14:paraId="3AC2C6CE" w14:textId="77777777">
        <w:trPr>
          <w:trHeight w:val="64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48E12E69" w14:textId="77777777" w:rsidR="000A2A2B" w:rsidRPr="007C3060" w:rsidRDefault="000A2A2B" w:rsidP="007C3060">
            <w:r w:rsidRPr="007C3060">
              <w:t>1515</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01BE5EA5"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F41A266" w14:textId="0FF8B0DE" w:rsidR="000A2A2B" w:rsidRPr="007C3060" w:rsidRDefault="000A2A2B" w:rsidP="007C3060">
            <w:r w:rsidRPr="007C3060">
              <w:t>Departementenes digitaliseringsorganisasjon</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40027AF"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4FF1C18"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9E5B56A"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C6D5E2D" w14:textId="77777777" w:rsidR="000A2A2B" w:rsidRPr="007C3060" w:rsidRDefault="000A2A2B" w:rsidP="007C3060"/>
        </w:tc>
      </w:tr>
      <w:tr w:rsidR="004B729E" w:rsidRPr="007C3060" w14:paraId="2987753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D519A6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E9CA1BB"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F54DA2"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B043B9" w14:textId="77777777" w:rsidR="000A2A2B" w:rsidRPr="007C3060" w:rsidRDefault="000A2A2B" w:rsidP="007C3060">
            <w:r w:rsidRPr="007C3060">
              <w:t>374 691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23046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6D7283" w14:textId="77777777" w:rsidR="000A2A2B" w:rsidRPr="007C3060" w:rsidRDefault="000A2A2B" w:rsidP="007C3060">
            <w:r w:rsidRPr="007C3060">
              <w:t>13 861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CEC5CF" w14:textId="77777777" w:rsidR="000A2A2B" w:rsidRPr="007C3060" w:rsidRDefault="000A2A2B" w:rsidP="007C3060">
            <w:r w:rsidRPr="007C3060">
              <w:t>388 552</w:t>
            </w:r>
          </w:p>
        </w:tc>
      </w:tr>
      <w:tr w:rsidR="004B729E" w:rsidRPr="007C3060" w14:paraId="13E8520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CA8586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153712E"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29D9CA" w14:textId="77777777" w:rsidR="000A2A2B" w:rsidRPr="007C3060" w:rsidRDefault="000A2A2B" w:rsidP="007C3060">
            <w:r w:rsidRPr="007C3060">
              <w:t xml:space="preserve">Større utstyrsanskaffelser og vedlikehold,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94D966" w14:textId="77777777" w:rsidR="000A2A2B" w:rsidRPr="007C3060" w:rsidRDefault="000A2A2B" w:rsidP="007C3060">
            <w:r w:rsidRPr="007C3060">
              <w:t>316 600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64EEA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254DC6" w14:textId="77777777" w:rsidR="000A2A2B" w:rsidRPr="007C3060" w:rsidRDefault="000A2A2B" w:rsidP="007C3060">
            <w:r w:rsidRPr="007C3060">
              <w:t>403 200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256032" w14:textId="77777777" w:rsidR="000A2A2B" w:rsidRPr="007C3060" w:rsidRDefault="000A2A2B" w:rsidP="007C3060">
            <w:r w:rsidRPr="007C3060">
              <w:t>719 800</w:t>
            </w:r>
          </w:p>
        </w:tc>
      </w:tr>
      <w:tr w:rsidR="004B729E" w:rsidRPr="007C3060" w14:paraId="15BAAAC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29EC34F" w14:textId="77777777" w:rsidR="000A2A2B" w:rsidRPr="007C3060" w:rsidRDefault="000A2A2B" w:rsidP="007C3060">
            <w:r w:rsidRPr="007C3060">
              <w:t>1530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FB78A76"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47A5C3" w14:textId="77777777" w:rsidR="000A2A2B" w:rsidRPr="007C3060" w:rsidRDefault="000A2A2B" w:rsidP="007C3060">
            <w:r w:rsidRPr="007C3060">
              <w:t>Byggeprosjekter utenfor husleieordningen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AEFBF5"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04E934"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734BC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2DF91E" w14:textId="77777777" w:rsidR="000A2A2B" w:rsidRPr="007C3060" w:rsidRDefault="000A2A2B" w:rsidP="007C3060"/>
        </w:tc>
      </w:tr>
      <w:tr w:rsidR="004B729E" w:rsidRPr="007C3060" w14:paraId="24CAB00E"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53539B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5F48B55" w14:textId="77777777" w:rsidR="000A2A2B" w:rsidRPr="007C3060" w:rsidRDefault="000A2A2B" w:rsidP="007C3060">
            <w:r w:rsidRPr="007C3060">
              <w:t>33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9211E6" w14:textId="52A5E850" w:rsidR="000A2A2B" w:rsidRPr="007C3060" w:rsidRDefault="000A2A2B" w:rsidP="007C3060">
            <w:r w:rsidRPr="007C3060">
              <w:t xml:space="preserve">Videreføring av byggeprosjekter,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C56C1C" w14:textId="77777777" w:rsidR="000A2A2B" w:rsidRPr="007C3060" w:rsidRDefault="000A2A2B" w:rsidP="007C3060">
            <w:r w:rsidRPr="007C3060">
              <w:t>5 246 500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D159E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736E00" w14:textId="77777777" w:rsidR="000A2A2B" w:rsidRPr="007C3060" w:rsidRDefault="000A2A2B" w:rsidP="007C3060">
            <w:r w:rsidRPr="007C3060">
              <w:t>-200 000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4FE9D7" w14:textId="77777777" w:rsidR="000A2A2B" w:rsidRPr="007C3060" w:rsidRDefault="000A2A2B" w:rsidP="007C3060">
            <w:r w:rsidRPr="007C3060">
              <w:t>5 046 500</w:t>
            </w:r>
          </w:p>
        </w:tc>
      </w:tr>
      <w:tr w:rsidR="004B729E" w:rsidRPr="007C3060" w14:paraId="42A36D3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ED0BF7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94ECCF0" w14:textId="77777777" w:rsidR="000A2A2B" w:rsidRPr="007C3060" w:rsidRDefault="000A2A2B" w:rsidP="007C3060">
            <w:r w:rsidRPr="007C3060">
              <w:t>36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190BAC" w14:textId="77777777" w:rsidR="000A2A2B" w:rsidRPr="007C3060" w:rsidRDefault="000A2A2B" w:rsidP="007C3060">
            <w:r w:rsidRPr="007C3060">
              <w:t xml:space="preserve">Kunstnerisk utsmykking,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E1A252" w14:textId="77777777" w:rsidR="000A2A2B" w:rsidRPr="007C3060" w:rsidRDefault="000A2A2B" w:rsidP="007C3060">
            <w:r w:rsidRPr="007C3060">
              <w:t>56 181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1CFFA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8877AC" w14:textId="77777777" w:rsidR="000A2A2B" w:rsidRPr="007C3060" w:rsidRDefault="000A2A2B" w:rsidP="007C3060">
            <w:r w:rsidRPr="007C3060">
              <w:t>46 500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63B855" w14:textId="77777777" w:rsidR="000A2A2B" w:rsidRPr="007C3060" w:rsidRDefault="000A2A2B" w:rsidP="007C3060">
            <w:r w:rsidRPr="007C3060">
              <w:t>102 681</w:t>
            </w:r>
          </w:p>
        </w:tc>
      </w:tr>
      <w:tr w:rsidR="004B729E" w:rsidRPr="007C3060" w14:paraId="1E410277"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2A1DD1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6AC0D87"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8FE123" w14:textId="77777777" w:rsidR="000A2A2B" w:rsidRPr="007C3060" w:rsidRDefault="000A2A2B" w:rsidP="007C3060">
            <w:r w:rsidRPr="007C3060">
              <w:t xml:space="preserve">Større utstyrsanskaffelser og vedlikehold,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BCE78A" w14:textId="77777777" w:rsidR="000A2A2B" w:rsidRPr="007C3060" w:rsidRDefault="000A2A2B" w:rsidP="007C3060">
            <w:r w:rsidRPr="007C3060">
              <w:t>1 859 300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0B5B4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BA34FE" w14:textId="77777777" w:rsidR="000A2A2B" w:rsidRPr="007C3060" w:rsidRDefault="000A2A2B" w:rsidP="007C3060">
            <w:r w:rsidRPr="007C3060">
              <w:t>-400 000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8FF1EE" w14:textId="77777777" w:rsidR="000A2A2B" w:rsidRPr="007C3060" w:rsidRDefault="000A2A2B" w:rsidP="007C3060">
            <w:r w:rsidRPr="007C3060">
              <w:t>1 459 300</w:t>
            </w:r>
          </w:p>
        </w:tc>
      </w:tr>
      <w:tr w:rsidR="004B729E" w:rsidRPr="007C3060" w14:paraId="5A7DC1C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F086240" w14:textId="77777777" w:rsidR="000A2A2B" w:rsidRPr="007C3060" w:rsidRDefault="000A2A2B" w:rsidP="007C3060">
            <w:r w:rsidRPr="007C3060">
              <w:t>1540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FAE14F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67B1F6" w14:textId="77777777" w:rsidR="000A2A2B" w:rsidRPr="007C3060" w:rsidRDefault="000A2A2B" w:rsidP="007C3060">
            <w:r w:rsidRPr="007C3060">
              <w:t>Digitaliseringsdirektoratet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22D67F"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8BC5D0"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30AA2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FD9D06" w14:textId="77777777" w:rsidR="000A2A2B" w:rsidRPr="007C3060" w:rsidRDefault="000A2A2B" w:rsidP="007C3060"/>
        </w:tc>
      </w:tr>
      <w:tr w:rsidR="004B729E" w:rsidRPr="007C3060" w14:paraId="3B4C5641"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57EC30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B0CF369" w14:textId="77777777" w:rsidR="000A2A2B" w:rsidRPr="007C3060" w:rsidRDefault="000A2A2B" w:rsidP="007C3060">
            <w:r w:rsidRPr="007C3060">
              <w:t>25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E2AD08" w14:textId="77777777" w:rsidR="000A2A2B" w:rsidRPr="007C3060" w:rsidRDefault="000A2A2B" w:rsidP="007C3060">
            <w:r w:rsidRPr="007C3060">
              <w:t xml:space="preserve">Medfinansieringsordning for digitaliseringsprosjekter,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14D3FD" w14:textId="77777777" w:rsidR="000A2A2B" w:rsidRPr="007C3060" w:rsidRDefault="000A2A2B" w:rsidP="007C3060">
            <w:r w:rsidRPr="007C3060">
              <w:t>150 741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1560B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2BEABF" w14:textId="77777777" w:rsidR="000A2A2B" w:rsidRPr="007C3060" w:rsidRDefault="000A2A2B" w:rsidP="007C3060">
            <w:r w:rsidRPr="007C3060">
              <w:t>-500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D9B046" w14:textId="77777777" w:rsidR="000A2A2B" w:rsidRPr="007C3060" w:rsidRDefault="000A2A2B" w:rsidP="007C3060">
            <w:r w:rsidRPr="007C3060">
              <w:t>150 241</w:t>
            </w:r>
          </w:p>
        </w:tc>
      </w:tr>
      <w:tr w:rsidR="004B729E" w:rsidRPr="007C3060" w14:paraId="09D8F30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A95D9F2" w14:textId="77777777" w:rsidR="000A2A2B" w:rsidRPr="007C3060" w:rsidRDefault="000A2A2B" w:rsidP="007C3060">
            <w:r w:rsidRPr="007C3060">
              <w:t>1541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1D70D0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1C9A8B" w14:textId="77777777" w:rsidR="000A2A2B" w:rsidRPr="007C3060" w:rsidRDefault="000A2A2B" w:rsidP="007C3060">
            <w:r w:rsidRPr="007C3060">
              <w:t xml:space="preserve">IT- og </w:t>
            </w:r>
            <w:proofErr w:type="spellStart"/>
            <w:r w:rsidRPr="007C3060">
              <w:t>ekompolitikk</w:t>
            </w:r>
            <w:proofErr w:type="spellEnd"/>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6192C5"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488C5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3C104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48B874" w14:textId="77777777" w:rsidR="000A2A2B" w:rsidRPr="007C3060" w:rsidRDefault="000A2A2B" w:rsidP="007C3060"/>
        </w:tc>
      </w:tr>
      <w:tr w:rsidR="004B729E" w:rsidRPr="007C3060" w14:paraId="4004263C"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62EF8EC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B448C0F"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BDDE49" w14:textId="77777777" w:rsidR="000A2A2B" w:rsidRPr="007C3060" w:rsidRDefault="000A2A2B" w:rsidP="007C3060">
            <w:r w:rsidRPr="007C3060">
              <w:t xml:space="preserve">Utvikling, gjennomføring og samordning av IT- og </w:t>
            </w:r>
            <w:proofErr w:type="spellStart"/>
            <w:r w:rsidRPr="007C3060">
              <w:t>ekompolitikken</w:t>
            </w:r>
            <w:proofErr w:type="spellEnd"/>
            <w:r w:rsidRPr="007C3060">
              <w:t xml:space="preserve">, </w:t>
            </w:r>
            <w:r w:rsidRPr="007C3060">
              <w:rPr>
                <w:rStyle w:val="kursiv"/>
              </w:rPr>
              <w:t>kan overføres,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057143" w14:textId="77777777" w:rsidR="000A2A2B" w:rsidRPr="007C3060" w:rsidRDefault="000A2A2B" w:rsidP="007C3060">
            <w:r w:rsidRPr="007C3060">
              <w:t>136 029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D6C98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FEA7CB" w14:textId="77777777" w:rsidR="000A2A2B" w:rsidRPr="007C3060" w:rsidRDefault="000A2A2B" w:rsidP="007C3060">
            <w:r w:rsidRPr="007C3060">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780FD4" w14:textId="77777777" w:rsidR="000A2A2B" w:rsidRPr="007C3060" w:rsidRDefault="000A2A2B" w:rsidP="007C3060">
            <w:r w:rsidRPr="007C3060">
              <w:t>132 029</w:t>
            </w:r>
          </w:p>
        </w:tc>
      </w:tr>
      <w:tr w:rsidR="004B729E" w:rsidRPr="007C3060" w14:paraId="04E8331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A3BAD0D" w14:textId="77777777" w:rsidR="000A2A2B" w:rsidRPr="007C3060" w:rsidRDefault="000A2A2B" w:rsidP="007C3060">
            <w:r w:rsidRPr="007C3060">
              <w:lastRenderedPageBreak/>
              <w:t>1543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E6AC315"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CAE41B" w14:textId="77777777" w:rsidR="000A2A2B" w:rsidRPr="007C3060" w:rsidRDefault="000A2A2B" w:rsidP="007C3060">
            <w:r w:rsidRPr="007C3060">
              <w:t>Nasjonal kommunikasjonsmyndighet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9DB3BA"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04D132"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DA30D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90CBD3" w14:textId="77777777" w:rsidR="000A2A2B" w:rsidRPr="007C3060" w:rsidRDefault="000A2A2B" w:rsidP="007C3060"/>
        </w:tc>
      </w:tr>
      <w:tr w:rsidR="004B729E" w:rsidRPr="007C3060" w14:paraId="6252C45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AFC161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3E7BD42"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544519"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EBABCC" w14:textId="77777777" w:rsidR="000A2A2B" w:rsidRPr="007C3060" w:rsidRDefault="000A2A2B" w:rsidP="007C3060">
            <w:r w:rsidRPr="007C3060">
              <w:t>273 781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2A712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448A70" w14:textId="77777777" w:rsidR="000A2A2B" w:rsidRPr="007C3060" w:rsidRDefault="000A2A2B" w:rsidP="007C3060">
            <w:r w:rsidRPr="007C3060">
              <w:t>2 600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7FC26F" w14:textId="77777777" w:rsidR="000A2A2B" w:rsidRPr="007C3060" w:rsidRDefault="000A2A2B" w:rsidP="007C3060">
            <w:r w:rsidRPr="007C3060">
              <w:t>276 381</w:t>
            </w:r>
          </w:p>
        </w:tc>
      </w:tr>
      <w:tr w:rsidR="004B729E" w:rsidRPr="007C3060" w14:paraId="2534154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C42F0E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F21C48F"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7E8394" w14:textId="77777777" w:rsidR="000A2A2B" w:rsidRPr="007C3060" w:rsidRDefault="000A2A2B" w:rsidP="007C3060">
            <w:r w:rsidRPr="007C3060">
              <w:t xml:space="preserve">Telesikkerhet og -beredskap,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8AB89B" w14:textId="77777777" w:rsidR="000A2A2B" w:rsidRPr="007C3060" w:rsidRDefault="000A2A2B" w:rsidP="007C3060">
            <w:r w:rsidRPr="007C3060">
              <w:t>195 136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D8E51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DA0BA2" w14:textId="77777777" w:rsidR="000A2A2B" w:rsidRPr="007C3060" w:rsidRDefault="000A2A2B" w:rsidP="007C3060">
            <w:r w:rsidRPr="007C3060">
              <w:t>8 085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FD22FC" w14:textId="77777777" w:rsidR="000A2A2B" w:rsidRPr="007C3060" w:rsidRDefault="000A2A2B" w:rsidP="007C3060">
            <w:r w:rsidRPr="007C3060">
              <w:t>203 221</w:t>
            </w:r>
          </w:p>
        </w:tc>
      </w:tr>
      <w:tr w:rsidR="004B729E" w:rsidRPr="007C3060" w14:paraId="23AA0B0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A214F09" w14:textId="77777777" w:rsidR="000A2A2B" w:rsidRPr="007C3060" w:rsidRDefault="000A2A2B" w:rsidP="007C3060">
            <w:r w:rsidRPr="007C3060">
              <w:t>1560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AE1EAF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006970" w14:textId="77777777" w:rsidR="000A2A2B" w:rsidRPr="007C3060" w:rsidRDefault="000A2A2B" w:rsidP="007C3060">
            <w:proofErr w:type="spellStart"/>
            <w:r w:rsidRPr="007C3060">
              <w:t>Tariffavtalte</w:t>
            </w:r>
            <w:proofErr w:type="spellEnd"/>
            <w:r w:rsidRPr="007C3060">
              <w:t xml:space="preserve"> avsetninger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D9C7C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D0F754"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AD1E8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7989D8" w14:textId="77777777" w:rsidR="000A2A2B" w:rsidRPr="007C3060" w:rsidRDefault="000A2A2B" w:rsidP="007C3060"/>
        </w:tc>
      </w:tr>
      <w:tr w:rsidR="004B729E" w:rsidRPr="007C3060" w14:paraId="6BAC59F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D7599D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39C34A3"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9C0F09" w14:textId="41CE14F9" w:rsidR="000A2A2B" w:rsidRPr="007C3060" w:rsidRDefault="000A2A2B" w:rsidP="007C3060">
            <w:r w:rsidRPr="007C3060">
              <w:t xml:space="preserve">Spesielle driftsutgifter, </w:t>
            </w:r>
            <w:r w:rsidRPr="007C3060">
              <w:rPr>
                <w:rStyle w:val="kursiv"/>
              </w:rPr>
              <w:t>kan </w:t>
            </w:r>
            <w:proofErr w:type="spellStart"/>
            <w:proofErr w:type="gramStart"/>
            <w:r w:rsidRPr="007C3060">
              <w:rPr>
                <w:rStyle w:val="kursiv"/>
              </w:rPr>
              <w:t>overføres,kan</w:t>
            </w:r>
            <w:proofErr w:type="spellEnd"/>
            <w:proofErr w:type="gramEnd"/>
            <w:r w:rsidRPr="007C3060">
              <w:rPr>
                <w:rStyle w:val="kursiv"/>
              </w:rPr>
              <w:t xml:space="preserve">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F97A21"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CEFDC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E9D70A" w14:textId="77777777" w:rsidR="000A2A2B" w:rsidRPr="007C3060" w:rsidRDefault="000A2A2B" w:rsidP="007C3060">
            <w:r w:rsidRPr="007C3060">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EB7320" w14:textId="77777777" w:rsidR="000A2A2B" w:rsidRPr="007C3060" w:rsidRDefault="000A2A2B" w:rsidP="007C3060">
            <w:r w:rsidRPr="007C3060">
              <w:t>2 000</w:t>
            </w:r>
          </w:p>
        </w:tc>
      </w:tr>
      <w:tr w:rsidR="004B729E" w:rsidRPr="007C3060" w14:paraId="3C1DBB8F"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E03E2D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6226664"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BECFB6" w14:textId="77777777" w:rsidR="000A2A2B" w:rsidRPr="007C3060" w:rsidRDefault="000A2A2B" w:rsidP="007C3060">
            <w:r w:rsidRPr="007C3060">
              <w:t xml:space="preserve">Kompetanseutvikling mv., </w:t>
            </w:r>
            <w:r w:rsidRPr="007C3060">
              <w:rPr>
                <w:rStyle w:val="kursiv"/>
              </w:rPr>
              <w:t>kan overføres,</w:t>
            </w:r>
            <w:r w:rsidRPr="007C3060">
              <w:rPr>
                <w:rStyle w:val="kursiv"/>
              </w:rPr>
              <w:br/>
              <w:t>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335A99"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27858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3BA0F5" w14:textId="77777777" w:rsidR="000A2A2B" w:rsidRPr="007C3060" w:rsidRDefault="000A2A2B" w:rsidP="007C3060">
            <w:r w:rsidRPr="007C3060">
              <w:t>33 000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9AA0F4" w14:textId="77777777" w:rsidR="000A2A2B" w:rsidRPr="007C3060" w:rsidRDefault="000A2A2B" w:rsidP="007C3060">
            <w:r w:rsidRPr="007C3060">
              <w:t>33 000</w:t>
            </w:r>
          </w:p>
        </w:tc>
      </w:tr>
      <w:tr w:rsidR="004B729E" w:rsidRPr="007C3060" w14:paraId="1F08F34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BB12DC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736C493"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201098" w14:textId="77777777" w:rsidR="000A2A2B" w:rsidRPr="007C3060" w:rsidRDefault="000A2A2B" w:rsidP="007C3060">
            <w:r w:rsidRPr="007C3060">
              <w:t xml:space="preserve">Opplæring og utvikling av tillitsvalgte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298537" w14:textId="77777777" w:rsidR="000A2A2B" w:rsidRPr="007C3060" w:rsidRDefault="000A2A2B" w:rsidP="007C3060">
            <w:r w:rsidRPr="007C3060">
              <w:t>233 100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E85B5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04A93C" w14:textId="77777777" w:rsidR="000A2A2B" w:rsidRPr="007C3060" w:rsidRDefault="000A2A2B" w:rsidP="007C3060">
            <w:r w:rsidRPr="007C3060">
              <w:t>14 200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DD6F70" w14:textId="77777777" w:rsidR="000A2A2B" w:rsidRPr="007C3060" w:rsidRDefault="000A2A2B" w:rsidP="007C3060">
            <w:r w:rsidRPr="007C3060">
              <w:t>247 300</w:t>
            </w:r>
          </w:p>
        </w:tc>
      </w:tr>
      <w:tr w:rsidR="004B729E" w:rsidRPr="007C3060" w14:paraId="5BE3286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569D19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79A9627"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7F1927" w14:textId="77777777" w:rsidR="000A2A2B" w:rsidRPr="007C3060" w:rsidRDefault="000A2A2B" w:rsidP="007C3060">
            <w:r w:rsidRPr="007C3060">
              <w:t xml:space="preserve">Pensjonskostnader tjenestemanns-organisasjonene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F4D5D7" w14:textId="77777777" w:rsidR="000A2A2B" w:rsidRPr="007C3060" w:rsidRDefault="000A2A2B" w:rsidP="007C3060">
            <w:r w:rsidRPr="007C3060">
              <w:t>43 500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BC8FC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E52DCC" w14:textId="77777777" w:rsidR="000A2A2B" w:rsidRPr="007C3060" w:rsidRDefault="000A2A2B" w:rsidP="007C3060">
            <w:r w:rsidRPr="007C3060">
              <w:t>16 000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1AB6CA" w14:textId="77777777" w:rsidR="000A2A2B" w:rsidRPr="007C3060" w:rsidRDefault="000A2A2B" w:rsidP="007C3060">
            <w:r w:rsidRPr="007C3060">
              <w:t>59 500</w:t>
            </w:r>
          </w:p>
        </w:tc>
      </w:tr>
      <w:tr w:rsidR="004B729E" w:rsidRPr="007C3060" w14:paraId="2E8BD17A"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4916955" w14:textId="77777777" w:rsidR="000A2A2B" w:rsidRPr="007C3060" w:rsidRDefault="000A2A2B" w:rsidP="007C3060">
            <w:r w:rsidRPr="007C3060">
              <w:t>1565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982B606"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8DDD58" w14:textId="77777777" w:rsidR="000A2A2B" w:rsidRPr="007C3060" w:rsidRDefault="000A2A2B" w:rsidP="007C3060">
            <w:r w:rsidRPr="007C3060">
              <w:t>Boliglånsordningen i Statens pensjonskasse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7158A6"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62D6C9"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D6A7D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F30176" w14:textId="77777777" w:rsidR="000A2A2B" w:rsidRPr="007C3060" w:rsidRDefault="000A2A2B" w:rsidP="007C3060"/>
        </w:tc>
      </w:tr>
      <w:tr w:rsidR="004B729E" w:rsidRPr="007C3060" w14:paraId="52CC75B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4F0055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709DA82"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108963"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7384D6" w14:textId="77777777" w:rsidR="000A2A2B" w:rsidRPr="007C3060" w:rsidRDefault="000A2A2B" w:rsidP="007C3060">
            <w:r w:rsidRPr="007C3060">
              <w:t>61 000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BBF8D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45DD38" w14:textId="77777777" w:rsidR="000A2A2B" w:rsidRPr="007C3060" w:rsidRDefault="000A2A2B" w:rsidP="007C3060">
            <w:r w:rsidRPr="007C3060">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447F18" w14:textId="77777777" w:rsidR="000A2A2B" w:rsidRPr="007C3060" w:rsidRDefault="000A2A2B" w:rsidP="007C3060">
            <w:r w:rsidRPr="007C3060">
              <w:t>56 000</w:t>
            </w:r>
          </w:p>
        </w:tc>
      </w:tr>
      <w:tr w:rsidR="004B729E" w:rsidRPr="007C3060" w14:paraId="7C62FB4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8CCB79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0ABC19F" w14:textId="77777777" w:rsidR="000A2A2B" w:rsidRPr="007C3060" w:rsidRDefault="000A2A2B" w:rsidP="007C3060">
            <w:r w:rsidRPr="007C306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2FB938" w14:textId="77777777" w:rsidR="000A2A2B" w:rsidRPr="007C3060" w:rsidRDefault="000A2A2B" w:rsidP="007C3060">
            <w:r w:rsidRPr="007C3060">
              <w:t xml:space="preserve">Utlån,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E1659E" w14:textId="77777777" w:rsidR="000A2A2B" w:rsidRPr="007C3060" w:rsidRDefault="000A2A2B" w:rsidP="007C3060">
            <w:r w:rsidRPr="007C3060">
              <w:t>7 600 000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045B2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29D191" w14:textId="77777777" w:rsidR="000A2A2B" w:rsidRPr="007C3060" w:rsidRDefault="000A2A2B" w:rsidP="007C3060">
            <w:r w:rsidRPr="007C3060">
              <w:t>1 500 000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597ED1" w14:textId="77777777" w:rsidR="000A2A2B" w:rsidRPr="007C3060" w:rsidRDefault="000A2A2B" w:rsidP="007C3060">
            <w:r w:rsidRPr="007C3060">
              <w:t>9 100 000</w:t>
            </w:r>
          </w:p>
        </w:tc>
      </w:tr>
      <w:tr w:rsidR="004B729E" w:rsidRPr="007C3060" w14:paraId="220A828B" w14:textId="77777777">
        <w:trPr>
          <w:trHeight w:val="380"/>
        </w:trPr>
        <w:tc>
          <w:tcPr>
            <w:tcW w:w="628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C4ECD72" w14:textId="77777777" w:rsidR="000A2A2B" w:rsidRPr="007C3060" w:rsidRDefault="000A2A2B" w:rsidP="007C3060">
            <w:r w:rsidRPr="007C3060">
              <w:t>Sum endringer Digitaliserings- og forvaltningsdepartementet</w:t>
            </w: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62C9BF3"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867BE21" w14:textId="77777777" w:rsidR="000A2A2B" w:rsidRPr="007C3060" w:rsidRDefault="000A2A2B" w:rsidP="007C3060">
            <w:r w:rsidRPr="007C3060">
              <w:t>1 568 185</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EF5AD6A" w14:textId="77777777" w:rsidR="000A2A2B" w:rsidRPr="007C3060" w:rsidRDefault="000A2A2B" w:rsidP="007C3060"/>
        </w:tc>
      </w:tr>
      <w:tr w:rsidR="004B729E" w:rsidRPr="007C3060" w14:paraId="1B32518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83EC978" w14:textId="77777777" w:rsidR="000A2A2B" w:rsidRPr="007C3060" w:rsidRDefault="000A2A2B" w:rsidP="007C3060">
            <w:r w:rsidRPr="007C3060">
              <w:t>1600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BC3B23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980B72" w14:textId="77777777" w:rsidR="000A2A2B" w:rsidRPr="007C3060" w:rsidRDefault="000A2A2B" w:rsidP="007C3060">
            <w:r w:rsidRPr="007C3060">
              <w:t>Finansdepartementet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FBE1D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12DAC1"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5EF10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52A936" w14:textId="77777777" w:rsidR="000A2A2B" w:rsidRPr="007C3060" w:rsidRDefault="000A2A2B" w:rsidP="007C3060"/>
        </w:tc>
      </w:tr>
      <w:tr w:rsidR="004B729E" w:rsidRPr="007C3060" w14:paraId="3BC5E04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46DE0B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65282F4"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76A695" w14:textId="77777777" w:rsidR="000A2A2B" w:rsidRPr="007C3060" w:rsidRDefault="000A2A2B" w:rsidP="007C3060">
            <w:r w:rsidRPr="007C3060">
              <w:t xml:space="preserve">Spesielle 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E150BC" w14:textId="77777777" w:rsidR="000A2A2B" w:rsidRPr="007C3060" w:rsidRDefault="000A2A2B" w:rsidP="007C3060">
            <w:r w:rsidRPr="007C3060">
              <w:t>67 874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E3156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B84FAF" w14:textId="77777777" w:rsidR="000A2A2B" w:rsidRPr="007C3060" w:rsidRDefault="000A2A2B" w:rsidP="007C3060">
            <w:r w:rsidRPr="007C3060">
              <w:t>-9 000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D5A273" w14:textId="77777777" w:rsidR="000A2A2B" w:rsidRPr="007C3060" w:rsidRDefault="000A2A2B" w:rsidP="007C3060">
            <w:r w:rsidRPr="007C3060">
              <w:t>58 874</w:t>
            </w:r>
          </w:p>
        </w:tc>
      </w:tr>
      <w:tr w:rsidR="004B729E" w:rsidRPr="007C3060" w14:paraId="7BDE999A"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31390C95" w14:textId="77777777" w:rsidR="000A2A2B" w:rsidRPr="007C3060" w:rsidRDefault="000A2A2B" w:rsidP="007C3060">
            <w:r w:rsidRPr="007C3060">
              <w:t>1610</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74A48A57"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75C201E" w14:textId="77777777" w:rsidR="000A2A2B" w:rsidRPr="007C3060" w:rsidRDefault="000A2A2B" w:rsidP="007C3060">
            <w:r w:rsidRPr="007C3060">
              <w:t>Tolletaten</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4490A1F"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1161E55"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89658E8"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ADD6E55" w14:textId="77777777" w:rsidR="000A2A2B" w:rsidRPr="007C3060" w:rsidRDefault="000A2A2B" w:rsidP="007C3060"/>
        </w:tc>
      </w:tr>
      <w:tr w:rsidR="004B729E" w:rsidRPr="007C3060" w14:paraId="2794D0E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5B7AA4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20C06B1"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695DCF"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40C02A" w14:textId="77777777" w:rsidR="000A2A2B" w:rsidRPr="007C3060" w:rsidRDefault="000A2A2B" w:rsidP="007C3060">
            <w:r w:rsidRPr="007C3060">
              <w:t>2 042 566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18EFB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B1EF65" w14:textId="77777777" w:rsidR="000A2A2B" w:rsidRPr="007C3060" w:rsidRDefault="000A2A2B" w:rsidP="007C3060">
            <w:r w:rsidRPr="007C3060">
              <w:t>-443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399EFA" w14:textId="77777777" w:rsidR="000A2A2B" w:rsidRPr="007C3060" w:rsidRDefault="000A2A2B" w:rsidP="007C3060">
            <w:r w:rsidRPr="007C3060">
              <w:t>2 042 123</w:t>
            </w:r>
          </w:p>
        </w:tc>
      </w:tr>
      <w:tr w:rsidR="004B729E" w:rsidRPr="007C3060" w14:paraId="5E8316F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31E55E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DD1622C"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AFE5C3" w14:textId="77777777" w:rsidR="000A2A2B" w:rsidRPr="007C3060" w:rsidRDefault="000A2A2B" w:rsidP="007C3060">
            <w:r w:rsidRPr="007C3060">
              <w:t xml:space="preserve">Større utstyrsanskaffelser og vedlikehold,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0E3105" w14:textId="77777777" w:rsidR="000A2A2B" w:rsidRPr="007C3060" w:rsidRDefault="000A2A2B" w:rsidP="007C3060">
            <w:r w:rsidRPr="007C3060">
              <w:t>321 854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7B7C1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5427B6" w14:textId="77777777" w:rsidR="000A2A2B" w:rsidRPr="007C3060" w:rsidRDefault="000A2A2B" w:rsidP="007C3060">
            <w:r w:rsidRPr="007C3060">
              <w:t>-78 000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847B82" w14:textId="77777777" w:rsidR="000A2A2B" w:rsidRPr="007C3060" w:rsidRDefault="000A2A2B" w:rsidP="007C3060">
            <w:r w:rsidRPr="007C3060">
              <w:t>243 854</w:t>
            </w:r>
          </w:p>
        </w:tc>
      </w:tr>
      <w:tr w:rsidR="004B729E" w:rsidRPr="007C3060" w14:paraId="294F4CE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6143155" w14:textId="77777777" w:rsidR="000A2A2B" w:rsidRPr="007C3060" w:rsidRDefault="000A2A2B" w:rsidP="007C3060">
            <w:r w:rsidRPr="007C3060">
              <w:lastRenderedPageBreak/>
              <w:t>1618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FB5678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51F4EB" w14:textId="77777777" w:rsidR="000A2A2B" w:rsidRPr="007C3060" w:rsidRDefault="000A2A2B" w:rsidP="007C3060">
            <w:r w:rsidRPr="007C3060">
              <w:t>Skatteetaten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2DC8C5"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7BE88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94A7B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F3BABA" w14:textId="77777777" w:rsidR="000A2A2B" w:rsidRPr="007C3060" w:rsidRDefault="000A2A2B" w:rsidP="007C3060"/>
        </w:tc>
      </w:tr>
      <w:tr w:rsidR="004B729E" w:rsidRPr="007C3060" w14:paraId="29990D9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2464A3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D9A8D21"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2500B4"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98F1CD" w14:textId="77777777" w:rsidR="000A2A2B" w:rsidRPr="007C3060" w:rsidRDefault="000A2A2B" w:rsidP="007C3060">
            <w:r w:rsidRPr="007C3060">
              <w:t>8 152 802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811B6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059876" w14:textId="77777777" w:rsidR="000A2A2B" w:rsidRPr="007C3060" w:rsidRDefault="000A2A2B" w:rsidP="007C3060">
            <w:r w:rsidRPr="007C3060">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B6B060" w14:textId="77777777" w:rsidR="000A2A2B" w:rsidRPr="007C3060" w:rsidRDefault="000A2A2B" w:rsidP="007C3060">
            <w:r w:rsidRPr="007C3060">
              <w:t>8 156 802</w:t>
            </w:r>
          </w:p>
        </w:tc>
      </w:tr>
      <w:tr w:rsidR="004B729E" w:rsidRPr="007C3060" w14:paraId="1BED4B3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FAC4FD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07F1AEF"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390F2D" w14:textId="77777777" w:rsidR="000A2A2B" w:rsidRPr="007C3060" w:rsidRDefault="000A2A2B" w:rsidP="007C3060">
            <w:r w:rsidRPr="007C3060">
              <w:t xml:space="preserve">Større IT-prosjekter,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080EB6" w14:textId="77777777" w:rsidR="000A2A2B" w:rsidRPr="007C3060" w:rsidRDefault="000A2A2B" w:rsidP="007C3060">
            <w:r w:rsidRPr="007C3060">
              <w:t>557 631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291C0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25366C" w14:textId="77777777" w:rsidR="000A2A2B" w:rsidRPr="007C3060" w:rsidRDefault="000A2A2B" w:rsidP="007C3060">
            <w:r w:rsidRPr="007C3060">
              <w:t>40 000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A5AD12" w14:textId="77777777" w:rsidR="000A2A2B" w:rsidRPr="007C3060" w:rsidRDefault="000A2A2B" w:rsidP="007C3060">
            <w:r w:rsidRPr="007C3060">
              <w:t>597 631</w:t>
            </w:r>
          </w:p>
        </w:tc>
      </w:tr>
      <w:tr w:rsidR="004B729E" w:rsidRPr="007C3060" w14:paraId="198DB77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96BD90B" w14:textId="77777777" w:rsidR="000A2A2B" w:rsidRPr="007C3060" w:rsidRDefault="000A2A2B" w:rsidP="007C3060">
            <w:r w:rsidRPr="007C3060">
              <w:t>1619</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972673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EDA7BA" w14:textId="77777777" w:rsidR="000A2A2B" w:rsidRPr="007C3060" w:rsidRDefault="000A2A2B" w:rsidP="007C3060">
            <w:r w:rsidRPr="007C3060">
              <w:t>Skatteklagenemnda</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487E1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1AD59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81888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6082FC" w14:textId="77777777" w:rsidR="000A2A2B" w:rsidRPr="007C3060" w:rsidRDefault="000A2A2B" w:rsidP="007C3060"/>
        </w:tc>
      </w:tr>
      <w:tr w:rsidR="004B729E" w:rsidRPr="007C3060" w14:paraId="387C089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CC439B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EE78B2F"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D3523B"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067833" w14:textId="77777777" w:rsidR="000A2A2B" w:rsidRPr="007C3060" w:rsidRDefault="000A2A2B" w:rsidP="007C3060">
            <w:r w:rsidRPr="007C3060">
              <w:t>80 238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3E236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E10F64" w14:textId="77777777" w:rsidR="000A2A2B" w:rsidRPr="007C3060" w:rsidRDefault="000A2A2B" w:rsidP="007C3060">
            <w:r w:rsidRPr="007C3060">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185B86" w14:textId="77777777" w:rsidR="000A2A2B" w:rsidRPr="007C3060" w:rsidRDefault="000A2A2B" w:rsidP="007C3060">
            <w:r w:rsidRPr="007C3060">
              <w:t>83 238</w:t>
            </w:r>
          </w:p>
        </w:tc>
      </w:tr>
      <w:tr w:rsidR="004B729E" w:rsidRPr="007C3060" w14:paraId="65DF472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96315DA" w14:textId="77777777" w:rsidR="000A2A2B" w:rsidRPr="007C3060" w:rsidRDefault="000A2A2B" w:rsidP="007C3060">
            <w:r w:rsidRPr="007C3060">
              <w:t>1620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94A031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667535" w14:textId="77777777" w:rsidR="000A2A2B" w:rsidRPr="007C3060" w:rsidRDefault="000A2A2B" w:rsidP="007C3060">
            <w:r w:rsidRPr="007C3060">
              <w:t>Statistisk sentralbyrå</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AB4DE4"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D8034A"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02F11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E7FCF0" w14:textId="77777777" w:rsidR="000A2A2B" w:rsidRPr="007C3060" w:rsidRDefault="000A2A2B" w:rsidP="007C3060"/>
        </w:tc>
      </w:tr>
      <w:tr w:rsidR="004B729E" w:rsidRPr="007C3060" w14:paraId="5C7B10D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1B94CF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CCAFA4B"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F10988"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076AAA" w14:textId="77777777" w:rsidR="000A2A2B" w:rsidRPr="007C3060" w:rsidRDefault="000A2A2B" w:rsidP="007C3060">
            <w:r w:rsidRPr="007C3060">
              <w:t>783 068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93E7C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30A0D4"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96BA70" w14:textId="77777777" w:rsidR="000A2A2B" w:rsidRPr="007C3060" w:rsidRDefault="000A2A2B" w:rsidP="007C3060">
            <w:r w:rsidRPr="007C3060">
              <w:t>793 068</w:t>
            </w:r>
          </w:p>
        </w:tc>
      </w:tr>
      <w:tr w:rsidR="004B729E" w:rsidRPr="007C3060" w14:paraId="2372B07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842AE45" w14:textId="77777777" w:rsidR="000A2A2B" w:rsidRPr="007C3060" w:rsidRDefault="000A2A2B" w:rsidP="007C3060">
            <w:r w:rsidRPr="007C3060">
              <w:t>1650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12491E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FE99CB" w14:textId="77777777" w:rsidR="000A2A2B" w:rsidRPr="007C3060" w:rsidRDefault="000A2A2B" w:rsidP="007C3060">
            <w:r w:rsidRPr="007C3060">
              <w:t>Statsgjeld, renter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5EEE24"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E2BC69"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62E01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3C7574" w14:textId="77777777" w:rsidR="000A2A2B" w:rsidRPr="007C3060" w:rsidRDefault="000A2A2B" w:rsidP="007C3060"/>
        </w:tc>
      </w:tr>
      <w:tr w:rsidR="004B729E" w:rsidRPr="007C3060" w14:paraId="2F32C45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01E8B07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6C62935" w14:textId="77777777" w:rsidR="000A2A2B" w:rsidRPr="007C3060" w:rsidRDefault="000A2A2B" w:rsidP="007C3060">
            <w:r w:rsidRPr="007C3060">
              <w:t>89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27B2A5" w14:textId="77777777" w:rsidR="000A2A2B" w:rsidRPr="007C3060" w:rsidRDefault="000A2A2B" w:rsidP="007C3060">
            <w:r w:rsidRPr="007C3060">
              <w:t xml:space="preserve">Renter og provisjon mv. på innenlandsk statsgjeld,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FD2D00" w14:textId="77777777" w:rsidR="000A2A2B" w:rsidRPr="007C3060" w:rsidRDefault="000A2A2B" w:rsidP="007C3060">
            <w:r w:rsidRPr="007C3060">
              <w:t>16 426 200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B4104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E20F67" w14:textId="77777777" w:rsidR="000A2A2B" w:rsidRPr="007C3060" w:rsidRDefault="000A2A2B" w:rsidP="007C3060">
            <w:r w:rsidRPr="007C3060">
              <w:t>574 000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758316" w14:textId="77777777" w:rsidR="000A2A2B" w:rsidRPr="007C3060" w:rsidRDefault="000A2A2B" w:rsidP="007C3060">
            <w:r w:rsidRPr="007C3060">
              <w:t>17 000 200</w:t>
            </w:r>
          </w:p>
        </w:tc>
      </w:tr>
      <w:tr w:rsidR="004B729E" w:rsidRPr="007C3060" w14:paraId="6C0E18C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9A2931F" w14:textId="77777777" w:rsidR="000A2A2B" w:rsidRPr="007C3060" w:rsidRDefault="000A2A2B" w:rsidP="007C3060">
            <w:r w:rsidRPr="007C3060">
              <w:t>1651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CF2E67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80A479" w14:textId="77777777" w:rsidR="000A2A2B" w:rsidRPr="007C3060" w:rsidRDefault="000A2A2B" w:rsidP="007C3060">
            <w:r w:rsidRPr="007C3060">
              <w:t>Statsgjeld, avdrag og innløsning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327AD2"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9E7AFD"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E13EA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2DB1E2" w14:textId="77777777" w:rsidR="000A2A2B" w:rsidRPr="007C3060" w:rsidRDefault="000A2A2B" w:rsidP="007C3060"/>
        </w:tc>
      </w:tr>
      <w:tr w:rsidR="004B729E" w:rsidRPr="007C3060" w14:paraId="07BB855F"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3DA20F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22EF833" w14:textId="77777777" w:rsidR="000A2A2B" w:rsidRPr="007C3060" w:rsidRDefault="000A2A2B" w:rsidP="007C3060">
            <w:r w:rsidRPr="007C3060">
              <w:t>98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F481FD" w14:textId="1A0776C4" w:rsidR="000A2A2B" w:rsidRPr="007C3060" w:rsidRDefault="000A2A2B" w:rsidP="007C3060">
            <w:r w:rsidRPr="007C3060">
              <w:t xml:space="preserve">Avdrag på innenlandsk statsgjeld,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2B88FE" w14:textId="77777777" w:rsidR="000A2A2B" w:rsidRPr="007C3060" w:rsidRDefault="000A2A2B" w:rsidP="007C3060">
            <w:r w:rsidRPr="007C3060">
              <w:t>63 817 000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33806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D2645C" w14:textId="77777777" w:rsidR="000A2A2B" w:rsidRPr="007C3060" w:rsidRDefault="000A2A2B" w:rsidP="007C3060">
            <w:r w:rsidRPr="007C3060">
              <w:t>-1 970 000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60EEF2" w14:textId="77777777" w:rsidR="000A2A2B" w:rsidRPr="007C3060" w:rsidRDefault="000A2A2B" w:rsidP="007C3060">
            <w:r w:rsidRPr="007C3060">
              <w:t>61 847 000</w:t>
            </w:r>
          </w:p>
        </w:tc>
      </w:tr>
      <w:tr w:rsidR="004B729E" w:rsidRPr="007C3060" w14:paraId="14E62871"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FF83D9E" w14:textId="77777777" w:rsidR="000A2A2B" w:rsidRPr="007C3060" w:rsidRDefault="000A2A2B" w:rsidP="007C3060">
            <w:r w:rsidRPr="007C3060">
              <w:t>Sum endringer Finansdepartementet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160A167"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31CBF70"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0E90F6A" w14:textId="77777777" w:rsidR="000A2A2B" w:rsidRPr="007C3060" w:rsidRDefault="000A2A2B" w:rsidP="007C3060">
            <w:r w:rsidRPr="007C3060">
              <w:t>-1 426 443</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8014CA4" w14:textId="77777777" w:rsidR="000A2A2B" w:rsidRPr="007C3060" w:rsidRDefault="000A2A2B" w:rsidP="007C3060"/>
        </w:tc>
      </w:tr>
      <w:tr w:rsidR="004B729E" w:rsidRPr="007C3060" w14:paraId="4C17990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CAA2A00" w14:textId="77777777" w:rsidR="000A2A2B" w:rsidRPr="007C3060" w:rsidRDefault="000A2A2B" w:rsidP="007C3060">
            <w:r w:rsidRPr="007C3060">
              <w:t>1700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71A2FA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A1B6A3" w14:textId="77777777" w:rsidR="000A2A2B" w:rsidRPr="007C3060" w:rsidRDefault="000A2A2B" w:rsidP="007C3060">
            <w:r w:rsidRPr="007C3060">
              <w:t>Forsvarsdepartementet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E856D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577454"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16A3A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909E59" w14:textId="77777777" w:rsidR="000A2A2B" w:rsidRPr="007C3060" w:rsidRDefault="000A2A2B" w:rsidP="007C3060"/>
        </w:tc>
      </w:tr>
      <w:tr w:rsidR="004B729E" w:rsidRPr="007C3060" w14:paraId="56AB726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05622B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37FA944"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8D722B"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6194A4" w14:textId="77777777" w:rsidR="000A2A2B" w:rsidRPr="007C3060" w:rsidRDefault="000A2A2B" w:rsidP="007C3060">
            <w:r w:rsidRPr="007C3060">
              <w:t>903 556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903A3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14F86A" w14:textId="77777777" w:rsidR="000A2A2B" w:rsidRPr="007C3060" w:rsidRDefault="000A2A2B" w:rsidP="007C3060">
            <w:r w:rsidRPr="007C3060">
              <w:t>60 251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8ABE18" w14:textId="77777777" w:rsidR="000A2A2B" w:rsidRPr="007C3060" w:rsidRDefault="000A2A2B" w:rsidP="007C3060">
            <w:r w:rsidRPr="007C3060">
              <w:t>963 807</w:t>
            </w:r>
          </w:p>
        </w:tc>
      </w:tr>
      <w:tr w:rsidR="004B729E" w:rsidRPr="007C3060" w14:paraId="2655A8D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A51223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59ADD1D" w14:textId="77777777" w:rsidR="000A2A2B" w:rsidRPr="007C3060" w:rsidRDefault="000A2A2B" w:rsidP="007C3060">
            <w:r w:rsidRPr="007C306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219DC5" w14:textId="77777777" w:rsidR="000A2A2B" w:rsidRPr="007C3060" w:rsidRDefault="000A2A2B" w:rsidP="007C3060">
            <w:r w:rsidRPr="007C3060">
              <w:t xml:space="preserve">IKT-virksomhet,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AE4831" w14:textId="77777777" w:rsidR="000A2A2B" w:rsidRPr="007C3060" w:rsidRDefault="000A2A2B" w:rsidP="007C3060">
            <w:r w:rsidRPr="007C3060">
              <w:t>472 879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14271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2B7D0C" w14:textId="77777777" w:rsidR="000A2A2B" w:rsidRPr="007C3060" w:rsidRDefault="000A2A2B" w:rsidP="007C3060">
            <w:r w:rsidRPr="007C3060">
              <w:t>-360 000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68F397" w14:textId="77777777" w:rsidR="000A2A2B" w:rsidRPr="007C3060" w:rsidRDefault="000A2A2B" w:rsidP="007C3060">
            <w:r w:rsidRPr="007C3060">
              <w:t>112 879</w:t>
            </w:r>
          </w:p>
        </w:tc>
      </w:tr>
      <w:tr w:rsidR="004B729E" w:rsidRPr="007C3060" w14:paraId="270CC0AD"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F3BB63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0C9ECE0" w14:textId="77777777" w:rsidR="000A2A2B" w:rsidRPr="007C3060" w:rsidRDefault="000A2A2B" w:rsidP="007C3060">
            <w:r w:rsidRPr="007C3060">
              <w:t>43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9138D3" w14:textId="77777777" w:rsidR="000A2A2B" w:rsidRPr="007C3060" w:rsidRDefault="000A2A2B" w:rsidP="007C3060">
            <w:r w:rsidRPr="007C3060">
              <w:t xml:space="preserve">Til disposisjon for Forsvars-departementet,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3DBC6A" w14:textId="77777777" w:rsidR="000A2A2B" w:rsidRPr="007C3060" w:rsidRDefault="000A2A2B" w:rsidP="007C3060">
            <w:r w:rsidRPr="007C3060">
              <w:t>6 620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71E61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956B1B" w14:textId="77777777" w:rsidR="000A2A2B" w:rsidRPr="007C3060" w:rsidRDefault="000A2A2B" w:rsidP="007C3060">
            <w:r w:rsidRPr="007C3060">
              <w:t>-1 500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3AC7B8" w14:textId="77777777" w:rsidR="000A2A2B" w:rsidRPr="007C3060" w:rsidRDefault="000A2A2B" w:rsidP="007C3060">
            <w:r w:rsidRPr="007C3060">
              <w:t>5 120</w:t>
            </w:r>
          </w:p>
        </w:tc>
      </w:tr>
      <w:tr w:rsidR="004B729E" w:rsidRPr="007C3060" w14:paraId="0CF57D0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F4876B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9FF9B29"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F0225A" w14:textId="77777777" w:rsidR="000A2A2B" w:rsidRPr="007C3060" w:rsidRDefault="000A2A2B" w:rsidP="007C3060">
            <w:r w:rsidRPr="007C3060">
              <w:t xml:space="preserve">Overføringer til andre,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62A1D9" w14:textId="77777777" w:rsidR="000A2A2B" w:rsidRPr="007C3060" w:rsidRDefault="000A2A2B" w:rsidP="007C3060">
            <w:r w:rsidRPr="007C3060">
              <w:t>94 995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E7E2C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F43B05" w14:textId="77777777" w:rsidR="000A2A2B" w:rsidRPr="007C3060" w:rsidRDefault="000A2A2B" w:rsidP="007C3060">
            <w:r w:rsidRPr="007C3060">
              <w:t>1 650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890E47" w14:textId="77777777" w:rsidR="000A2A2B" w:rsidRPr="007C3060" w:rsidRDefault="000A2A2B" w:rsidP="007C3060">
            <w:r w:rsidRPr="007C3060">
              <w:t>96 645</w:t>
            </w:r>
          </w:p>
        </w:tc>
      </w:tr>
      <w:tr w:rsidR="004B729E" w:rsidRPr="007C3060" w14:paraId="7CC8365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0C9669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9712618"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CF1087" w14:textId="77777777" w:rsidR="000A2A2B" w:rsidRPr="007C3060" w:rsidRDefault="000A2A2B" w:rsidP="007C3060">
            <w:r w:rsidRPr="007C3060">
              <w:t xml:space="preserve">Forskning og utvikling,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B9F285" w14:textId="77777777" w:rsidR="000A2A2B" w:rsidRPr="007C3060" w:rsidRDefault="000A2A2B" w:rsidP="007C3060">
            <w:r w:rsidRPr="007C3060">
              <w:t>160 744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99AC3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71646C" w14:textId="77777777" w:rsidR="000A2A2B" w:rsidRPr="007C3060" w:rsidRDefault="000A2A2B" w:rsidP="007C3060">
            <w:r w:rsidRPr="007C3060">
              <w:t>3 796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2648EA" w14:textId="77777777" w:rsidR="000A2A2B" w:rsidRPr="007C3060" w:rsidRDefault="000A2A2B" w:rsidP="007C3060">
            <w:r w:rsidRPr="007C3060">
              <w:t>164 540</w:t>
            </w:r>
          </w:p>
        </w:tc>
      </w:tr>
      <w:tr w:rsidR="004B729E" w:rsidRPr="007C3060" w14:paraId="21745A00"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27DA633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01C9E6E" w14:textId="77777777" w:rsidR="000A2A2B" w:rsidRPr="007C3060" w:rsidRDefault="000A2A2B" w:rsidP="007C3060">
            <w:r w:rsidRPr="007C3060">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F6A1F3" w14:textId="35E10031" w:rsidR="000A2A2B" w:rsidRPr="007C3060" w:rsidRDefault="000A2A2B" w:rsidP="007C3060">
            <w:r w:rsidRPr="007C3060">
              <w:t xml:space="preserve">Norges tilskudd til NATOs og internasjonale driftsbudsjetter,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AFC5C3" w14:textId="77777777" w:rsidR="000A2A2B" w:rsidRPr="007C3060" w:rsidRDefault="000A2A2B" w:rsidP="007C3060">
            <w:r w:rsidRPr="007C3060">
              <w:t>1 943 649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42B3F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FDDFD3" w14:textId="77777777" w:rsidR="000A2A2B" w:rsidRPr="007C3060" w:rsidRDefault="000A2A2B" w:rsidP="007C3060">
            <w:r w:rsidRPr="007C3060">
              <w:t>-118 600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8048C4" w14:textId="77777777" w:rsidR="000A2A2B" w:rsidRPr="007C3060" w:rsidRDefault="000A2A2B" w:rsidP="007C3060">
            <w:r w:rsidRPr="007C3060">
              <w:t>1 825 049</w:t>
            </w:r>
          </w:p>
        </w:tc>
      </w:tr>
      <w:tr w:rsidR="004B729E" w:rsidRPr="007C3060" w14:paraId="4D462BB8"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07AD80D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633FBCA" w14:textId="77777777" w:rsidR="000A2A2B" w:rsidRPr="007C3060" w:rsidRDefault="000A2A2B" w:rsidP="007C3060">
            <w:r w:rsidRPr="007C3060">
              <w:t>79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4F45C2" w14:textId="77777777" w:rsidR="000A2A2B" w:rsidRPr="007C3060" w:rsidRDefault="000A2A2B" w:rsidP="007C3060">
            <w:r w:rsidRPr="007C3060">
              <w:t xml:space="preserve">Militær støtte til Ukraina, </w:t>
            </w:r>
            <w:r w:rsidRPr="007C3060">
              <w:rPr>
                <w:rStyle w:val="kursiv"/>
              </w:rPr>
              <w:t>kan overføres</w:t>
            </w:r>
            <w:r w:rsidRPr="007C3060">
              <w:t xml:space="preserve">, </w:t>
            </w:r>
            <w:r w:rsidRPr="007C3060">
              <w:br/>
            </w:r>
            <w:r w:rsidRPr="007C3060">
              <w:rPr>
                <w:rStyle w:val="kursiv"/>
              </w:rPr>
              <w:t>kan nyttes under kap. 1710, post 1 og 47, kap. 1720, post 1 og kap. 1760, post 1 og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33E0FF" w14:textId="77777777" w:rsidR="000A2A2B" w:rsidRPr="007C3060" w:rsidRDefault="000A2A2B" w:rsidP="007C3060">
            <w:r w:rsidRPr="007C3060">
              <w:t>17 006 150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4B4EFB" w14:textId="77777777" w:rsidR="000A2A2B" w:rsidRPr="007C3060" w:rsidRDefault="000A2A2B" w:rsidP="007C3060">
            <w:r w:rsidRPr="007C3060">
              <w:t>30 000 000</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21E3CD" w14:textId="77777777" w:rsidR="000A2A2B" w:rsidRPr="007C3060" w:rsidRDefault="000A2A2B" w:rsidP="007C3060">
            <w:r w:rsidRPr="007C3060">
              <w:t>-7 623 200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2D208A" w14:textId="77777777" w:rsidR="000A2A2B" w:rsidRPr="007C3060" w:rsidRDefault="000A2A2B" w:rsidP="007C3060">
            <w:r w:rsidRPr="007C3060">
              <w:t>39 382 950</w:t>
            </w:r>
          </w:p>
        </w:tc>
      </w:tr>
      <w:tr w:rsidR="004B729E" w:rsidRPr="007C3060" w14:paraId="0AE6323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80806AA" w14:textId="77777777" w:rsidR="000A2A2B" w:rsidRPr="007C3060" w:rsidRDefault="000A2A2B" w:rsidP="007C3060">
            <w:r w:rsidRPr="007C3060">
              <w:t>1710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6F472E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E93599" w14:textId="77777777" w:rsidR="000A2A2B" w:rsidRPr="007C3060" w:rsidRDefault="000A2A2B" w:rsidP="007C3060">
            <w:r w:rsidRPr="007C3060">
              <w:t>Forsvarsbygg og nybygg og nyanlegg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BA307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E0E3EB"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94A72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DD7BE1" w14:textId="77777777" w:rsidR="000A2A2B" w:rsidRPr="007C3060" w:rsidRDefault="000A2A2B" w:rsidP="007C3060"/>
        </w:tc>
      </w:tr>
      <w:tr w:rsidR="004B729E" w:rsidRPr="007C3060" w14:paraId="05AABC4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C20584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FE71A12"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DFF790" w14:textId="77777777" w:rsidR="000A2A2B" w:rsidRPr="007C3060" w:rsidRDefault="000A2A2B" w:rsidP="007C3060">
            <w:r w:rsidRPr="007C3060">
              <w:t xml:space="preserve">Driftsutgifter,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290CAD" w14:textId="77777777" w:rsidR="000A2A2B" w:rsidRPr="007C3060" w:rsidRDefault="000A2A2B" w:rsidP="007C3060">
            <w:r w:rsidRPr="007C3060">
              <w:t>7 400 174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D83FF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1B7930" w14:textId="77777777" w:rsidR="000A2A2B" w:rsidRPr="007C3060" w:rsidRDefault="000A2A2B" w:rsidP="007C3060">
            <w:r w:rsidRPr="007C3060">
              <w:t>621 000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05340C" w14:textId="77777777" w:rsidR="000A2A2B" w:rsidRPr="007C3060" w:rsidRDefault="000A2A2B" w:rsidP="007C3060">
            <w:r w:rsidRPr="007C3060">
              <w:t>8 021 174</w:t>
            </w:r>
          </w:p>
        </w:tc>
      </w:tr>
      <w:tr w:rsidR="004B729E" w:rsidRPr="007C3060" w14:paraId="18EFFCF9"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0204C1E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B8EE4C1" w14:textId="77777777" w:rsidR="000A2A2B" w:rsidRPr="007C3060" w:rsidRDefault="000A2A2B" w:rsidP="007C3060">
            <w:r w:rsidRPr="007C3060">
              <w:t>47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EA77F1" w14:textId="13D12A00" w:rsidR="000A2A2B" w:rsidRPr="007C3060" w:rsidRDefault="000A2A2B" w:rsidP="007C3060">
            <w:r w:rsidRPr="007C3060">
              <w:t xml:space="preserve">Nybygg og nyanlegg, </w:t>
            </w:r>
            <w:r w:rsidRPr="007C3060">
              <w:rPr>
                <w:rStyle w:val="kursiv"/>
              </w:rPr>
              <w:t>kan </w:t>
            </w:r>
            <w:proofErr w:type="spellStart"/>
            <w:proofErr w:type="gramStart"/>
            <w:r w:rsidRPr="007C3060">
              <w:rPr>
                <w:rStyle w:val="kursiv"/>
              </w:rPr>
              <w:t>overføres,kan</w:t>
            </w:r>
            <w:proofErr w:type="spellEnd"/>
            <w:proofErr w:type="gramEnd"/>
            <w:r w:rsidRPr="007C3060">
              <w:rPr>
                <w:rStyle w:val="kursiv"/>
              </w:rPr>
              <w:t xml:space="preserve"> nyttes under kap. 1760, post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080905" w14:textId="77777777" w:rsidR="000A2A2B" w:rsidRPr="007C3060" w:rsidRDefault="000A2A2B" w:rsidP="007C3060">
            <w:r w:rsidRPr="007C3060">
              <w:t>5 892 441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4EE36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76D084" w14:textId="77777777" w:rsidR="000A2A2B" w:rsidRPr="007C3060" w:rsidRDefault="000A2A2B" w:rsidP="007C3060">
            <w:r w:rsidRPr="007C3060">
              <w:t>368 000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2A3996" w14:textId="77777777" w:rsidR="000A2A2B" w:rsidRPr="007C3060" w:rsidRDefault="000A2A2B" w:rsidP="007C3060">
            <w:r w:rsidRPr="007C3060">
              <w:t>6 260 441</w:t>
            </w:r>
          </w:p>
        </w:tc>
      </w:tr>
      <w:tr w:rsidR="004B729E" w:rsidRPr="007C3060" w14:paraId="7A8D3E3D"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49C888E4" w14:textId="77777777" w:rsidR="000A2A2B" w:rsidRPr="007C3060" w:rsidRDefault="000A2A2B" w:rsidP="007C3060">
            <w:r w:rsidRPr="007C3060">
              <w:t>1720</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2D3861A7"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70720CD" w14:textId="77777777" w:rsidR="000A2A2B" w:rsidRPr="007C3060" w:rsidRDefault="000A2A2B" w:rsidP="007C3060">
            <w:r w:rsidRPr="007C3060">
              <w:t>Forsvaret</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7825036"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D4BE521"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3A2280F"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EE7B811" w14:textId="77777777" w:rsidR="000A2A2B" w:rsidRPr="007C3060" w:rsidRDefault="000A2A2B" w:rsidP="007C3060"/>
        </w:tc>
      </w:tr>
      <w:tr w:rsidR="004B729E" w:rsidRPr="007C3060" w14:paraId="7CC1967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79990B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9526FC2"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966228"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407BF7" w14:textId="77777777" w:rsidR="000A2A2B" w:rsidRPr="007C3060" w:rsidRDefault="000A2A2B" w:rsidP="007C3060">
            <w:r w:rsidRPr="007C3060">
              <w:t>46 539 225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E067A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F46E78" w14:textId="77777777" w:rsidR="000A2A2B" w:rsidRPr="007C3060" w:rsidRDefault="000A2A2B" w:rsidP="007C3060">
            <w:r w:rsidRPr="007C3060">
              <w:t>3 318 978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3EC969" w14:textId="77777777" w:rsidR="000A2A2B" w:rsidRPr="007C3060" w:rsidRDefault="000A2A2B" w:rsidP="007C3060">
            <w:r w:rsidRPr="007C3060">
              <w:t>49 858 203</w:t>
            </w:r>
          </w:p>
        </w:tc>
      </w:tr>
      <w:tr w:rsidR="004B729E" w:rsidRPr="007C3060" w14:paraId="71D60FF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9B70EF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EC67771"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E11619" w14:textId="77777777" w:rsidR="000A2A2B" w:rsidRPr="007C3060" w:rsidRDefault="000A2A2B" w:rsidP="007C3060">
            <w:r w:rsidRPr="007C3060">
              <w:t xml:space="preserve">Overføringer til andre,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19943A" w14:textId="77777777" w:rsidR="000A2A2B" w:rsidRPr="007C3060" w:rsidRDefault="000A2A2B" w:rsidP="007C3060">
            <w:r w:rsidRPr="007C3060">
              <w:t>49 500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58320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85641C" w14:textId="77777777" w:rsidR="000A2A2B" w:rsidRPr="007C3060" w:rsidRDefault="000A2A2B" w:rsidP="007C3060">
            <w:r w:rsidRPr="007C3060">
              <w:t>-2 251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5E46FC" w14:textId="77777777" w:rsidR="000A2A2B" w:rsidRPr="007C3060" w:rsidRDefault="000A2A2B" w:rsidP="007C3060">
            <w:r w:rsidRPr="007C3060">
              <w:t>47 249</w:t>
            </w:r>
          </w:p>
        </w:tc>
      </w:tr>
      <w:tr w:rsidR="004B729E" w:rsidRPr="007C3060" w14:paraId="6827A63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C2EFEC0" w14:textId="77777777" w:rsidR="000A2A2B" w:rsidRPr="007C3060" w:rsidRDefault="000A2A2B" w:rsidP="007C3060">
            <w:r w:rsidRPr="007C3060">
              <w:t>1735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1EFD00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0BC8C7" w14:textId="77777777" w:rsidR="000A2A2B" w:rsidRPr="007C3060" w:rsidRDefault="000A2A2B" w:rsidP="007C3060">
            <w:r w:rsidRPr="007C3060">
              <w:t>Etterretningstjenesten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222B13"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DB34E6"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89097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3DC125" w14:textId="77777777" w:rsidR="000A2A2B" w:rsidRPr="007C3060" w:rsidRDefault="000A2A2B" w:rsidP="007C3060"/>
        </w:tc>
      </w:tr>
      <w:tr w:rsidR="004B729E" w:rsidRPr="007C3060" w14:paraId="4116FF9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42197D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7CA6ACC"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6FD23A" w14:textId="77777777" w:rsidR="000A2A2B" w:rsidRPr="007C3060" w:rsidRDefault="000A2A2B" w:rsidP="007C3060">
            <w:r w:rsidRPr="007C306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E0C4CD" w14:textId="77777777" w:rsidR="000A2A2B" w:rsidRPr="007C3060" w:rsidRDefault="000A2A2B" w:rsidP="007C3060">
            <w:r w:rsidRPr="007C3060">
              <w:t>4 299 296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EABC1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3FCE53" w14:textId="77777777" w:rsidR="000A2A2B" w:rsidRPr="007C3060" w:rsidRDefault="000A2A2B" w:rsidP="007C3060">
            <w:r w:rsidRPr="007C3060">
              <w:t>27 640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DB108E" w14:textId="77777777" w:rsidR="000A2A2B" w:rsidRPr="007C3060" w:rsidRDefault="000A2A2B" w:rsidP="007C3060">
            <w:r w:rsidRPr="007C3060">
              <w:t>4 326 936</w:t>
            </w:r>
          </w:p>
        </w:tc>
      </w:tr>
      <w:tr w:rsidR="004B729E" w:rsidRPr="007C3060" w14:paraId="59B2623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A57FBD4" w14:textId="77777777" w:rsidR="000A2A2B" w:rsidRPr="007C3060" w:rsidRDefault="000A2A2B" w:rsidP="007C3060">
            <w:r w:rsidRPr="007C3060">
              <w:t>1740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C64C1C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6B510E" w14:textId="77777777" w:rsidR="000A2A2B" w:rsidRPr="007C3060" w:rsidRDefault="000A2A2B" w:rsidP="007C3060">
            <w:r w:rsidRPr="007C3060">
              <w:t>Statens graderte plattformtjenester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11446E"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7AE83C"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2C091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655673" w14:textId="77777777" w:rsidR="000A2A2B" w:rsidRPr="007C3060" w:rsidRDefault="000A2A2B" w:rsidP="007C3060"/>
        </w:tc>
      </w:tr>
      <w:tr w:rsidR="004B729E" w:rsidRPr="007C3060" w14:paraId="106FB57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B6F2CD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318829B"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57653A" w14:textId="5A44FF71" w:rsidR="000A2A2B" w:rsidRPr="007C3060" w:rsidRDefault="000A2A2B" w:rsidP="007C3060">
            <w:r w:rsidRPr="007C3060">
              <w:t xml:space="preserve">Driftsutgifter, </w:t>
            </w:r>
            <w:r w:rsidRPr="007C3060">
              <w:rPr>
                <w:rStyle w:val="kursiv"/>
              </w:rPr>
              <w:t>kan overføres, kan nyttes under kap. 1740, post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D331A5" w14:textId="77777777" w:rsidR="000A2A2B" w:rsidRPr="007C3060" w:rsidRDefault="000A2A2B" w:rsidP="007C3060">
            <w:r w:rsidRPr="007C3060">
              <w:t>608 387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245D0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11F0CB" w14:textId="77777777" w:rsidR="000A2A2B" w:rsidRPr="007C3060" w:rsidRDefault="000A2A2B" w:rsidP="007C3060">
            <w:r w:rsidRPr="007C3060">
              <w:t>-104 230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4F8360" w14:textId="77777777" w:rsidR="000A2A2B" w:rsidRPr="007C3060" w:rsidRDefault="000A2A2B" w:rsidP="007C3060">
            <w:r w:rsidRPr="007C3060">
              <w:t>504 157</w:t>
            </w:r>
          </w:p>
        </w:tc>
      </w:tr>
      <w:tr w:rsidR="004B729E" w:rsidRPr="007C3060" w14:paraId="7005AC30"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890996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E59C6BB"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29C441" w14:textId="77777777" w:rsidR="000A2A2B" w:rsidRPr="007C3060" w:rsidRDefault="000A2A2B" w:rsidP="007C3060">
            <w:r w:rsidRPr="007C3060">
              <w:t xml:space="preserve">Større utstyrsanskaffelser og vedlikehold,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5AE707"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5DC33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1726B8" w14:textId="77777777" w:rsidR="000A2A2B" w:rsidRPr="007C3060" w:rsidRDefault="000A2A2B" w:rsidP="007C3060">
            <w:r w:rsidRPr="007C3060">
              <w:t>120 000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351F7B" w14:textId="77777777" w:rsidR="000A2A2B" w:rsidRPr="007C3060" w:rsidRDefault="000A2A2B" w:rsidP="007C3060">
            <w:r w:rsidRPr="007C3060">
              <w:t>120 000</w:t>
            </w:r>
          </w:p>
        </w:tc>
      </w:tr>
      <w:tr w:rsidR="004B729E" w:rsidRPr="007C3060" w14:paraId="0F3260A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4ABAD0B" w14:textId="77777777" w:rsidR="000A2A2B" w:rsidRPr="007C3060" w:rsidRDefault="000A2A2B" w:rsidP="007C3060">
            <w:r w:rsidRPr="007C3060">
              <w:t>1760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91A3F5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FD8763" w14:textId="77777777" w:rsidR="000A2A2B" w:rsidRPr="007C3060" w:rsidRDefault="000A2A2B" w:rsidP="007C3060">
            <w:r w:rsidRPr="007C3060">
              <w:t>Forsvarsmateriell og større anskaffelser og vedlikehold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3FA812"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1FA2D7"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B6E5F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A07EEF" w14:textId="77777777" w:rsidR="000A2A2B" w:rsidRPr="007C3060" w:rsidRDefault="000A2A2B" w:rsidP="007C3060"/>
        </w:tc>
      </w:tr>
      <w:tr w:rsidR="004B729E" w:rsidRPr="007C3060" w14:paraId="6F44F69A"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AB1D71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395FFC0"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C813388" w14:textId="240869CB" w:rsidR="000A2A2B" w:rsidRPr="007C3060" w:rsidRDefault="000A2A2B" w:rsidP="007C3060">
            <w:r w:rsidRPr="007C3060">
              <w:t xml:space="preserve">Driftsutgifter, </w:t>
            </w:r>
            <w:r w:rsidRPr="007C3060">
              <w:rPr>
                <w:rStyle w:val="kursiv"/>
              </w:rPr>
              <w:t>kan nyttes under kap. 1760, post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A2A686" w14:textId="77777777" w:rsidR="000A2A2B" w:rsidRPr="007C3060" w:rsidRDefault="000A2A2B" w:rsidP="007C3060">
            <w:r w:rsidRPr="007C3060">
              <w:t>2 549 575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DB2C6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4387CB" w14:textId="77777777" w:rsidR="000A2A2B" w:rsidRPr="007C3060" w:rsidRDefault="000A2A2B" w:rsidP="007C3060">
            <w:r w:rsidRPr="007C3060">
              <w:t>157 957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BD53CE" w14:textId="77777777" w:rsidR="000A2A2B" w:rsidRPr="007C3060" w:rsidRDefault="000A2A2B" w:rsidP="007C3060">
            <w:r w:rsidRPr="007C3060">
              <w:t>2 707 532</w:t>
            </w:r>
          </w:p>
        </w:tc>
      </w:tr>
      <w:tr w:rsidR="004B729E" w:rsidRPr="007C3060" w14:paraId="206C6363"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3B55A0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F4B5732" w14:textId="77777777" w:rsidR="000A2A2B" w:rsidRPr="007C3060" w:rsidRDefault="000A2A2B" w:rsidP="007C3060">
            <w:r w:rsidRPr="007C3060">
              <w:t>44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5CE9CA" w14:textId="77777777" w:rsidR="000A2A2B" w:rsidRPr="007C3060" w:rsidRDefault="000A2A2B" w:rsidP="007C3060">
            <w:r w:rsidRPr="007C3060">
              <w:t xml:space="preserve">Fellesfinansierte investeringer, nasjonal-finansiert andel,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81AEF2" w14:textId="77777777" w:rsidR="000A2A2B" w:rsidRPr="007C3060" w:rsidRDefault="000A2A2B" w:rsidP="007C3060">
            <w:r w:rsidRPr="007C3060">
              <w:t>256 733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21351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FF39AD" w14:textId="77777777" w:rsidR="000A2A2B" w:rsidRPr="007C3060" w:rsidRDefault="000A2A2B" w:rsidP="007C3060">
            <w:r w:rsidRPr="007C3060">
              <w:t>-15 000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549F34" w14:textId="77777777" w:rsidR="000A2A2B" w:rsidRPr="007C3060" w:rsidRDefault="000A2A2B" w:rsidP="007C3060">
            <w:r w:rsidRPr="007C3060">
              <w:t>241 733</w:t>
            </w:r>
          </w:p>
        </w:tc>
      </w:tr>
      <w:tr w:rsidR="004B729E" w:rsidRPr="007C3060" w14:paraId="421B0747" w14:textId="77777777">
        <w:trPr>
          <w:trHeight w:val="880"/>
        </w:trPr>
        <w:tc>
          <w:tcPr>
            <w:tcW w:w="580" w:type="dxa"/>
            <w:tcBorders>
              <w:top w:val="nil"/>
              <w:left w:val="single" w:sz="4" w:space="0" w:color="000000"/>
              <w:bottom w:val="nil"/>
              <w:right w:val="nil"/>
            </w:tcBorders>
            <w:tcMar>
              <w:top w:w="128" w:type="dxa"/>
              <w:left w:w="43" w:type="dxa"/>
              <w:bottom w:w="43" w:type="dxa"/>
              <w:right w:w="43" w:type="dxa"/>
            </w:tcMar>
          </w:tcPr>
          <w:p w14:paraId="792D8A1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318100A"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2C2E92" w14:textId="77777777" w:rsidR="000A2A2B" w:rsidRPr="007C3060" w:rsidRDefault="000A2A2B" w:rsidP="007C3060">
            <w:r w:rsidRPr="007C3060">
              <w:t xml:space="preserve">Større utstyrsanskaffelser og vedlikehold, </w:t>
            </w:r>
            <w:r w:rsidRPr="007C3060">
              <w:rPr>
                <w:rStyle w:val="kursiv"/>
              </w:rPr>
              <w:t>kan overføres, kan nyttes under kap. 1700, post 79 og kap. 1710, post 47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034FD6" w14:textId="77777777" w:rsidR="000A2A2B" w:rsidRPr="007C3060" w:rsidRDefault="000A2A2B" w:rsidP="007C3060">
            <w:r w:rsidRPr="007C3060">
              <w:t>34 476 213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1A9272" w14:textId="77777777" w:rsidR="000A2A2B" w:rsidRPr="007C3060" w:rsidRDefault="000A2A2B" w:rsidP="007C3060">
            <w:r w:rsidRPr="007C3060">
              <w:t>19 773 000</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70E0C0" w14:textId="77777777" w:rsidR="000A2A2B" w:rsidRPr="007C3060" w:rsidRDefault="000A2A2B" w:rsidP="007C3060">
            <w:r w:rsidRPr="007C3060">
              <w:t>525 575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6B0E93" w14:textId="77777777" w:rsidR="000A2A2B" w:rsidRPr="007C3060" w:rsidRDefault="000A2A2B" w:rsidP="007C3060">
            <w:r w:rsidRPr="007C3060">
              <w:t>54 774 788</w:t>
            </w:r>
          </w:p>
        </w:tc>
      </w:tr>
      <w:tr w:rsidR="004B729E" w:rsidRPr="007C3060" w14:paraId="18F18D55"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1F2FB8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1A7F729" w14:textId="77777777" w:rsidR="000A2A2B" w:rsidRPr="007C3060" w:rsidRDefault="000A2A2B" w:rsidP="007C3060">
            <w:r w:rsidRPr="007C3060">
              <w:t>48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C18B35" w14:textId="71CF5F1E" w:rsidR="000A2A2B" w:rsidRPr="007C3060" w:rsidRDefault="000A2A2B" w:rsidP="007C3060">
            <w:r w:rsidRPr="007C3060">
              <w:t xml:space="preserve">Fellesfinansierte investeringer, fellesfinansiert andel,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062348" w14:textId="77777777" w:rsidR="000A2A2B" w:rsidRPr="007C3060" w:rsidRDefault="000A2A2B" w:rsidP="007C3060">
            <w:r w:rsidRPr="007C3060">
              <w:t>650 000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845AE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9F6A77" w14:textId="77777777" w:rsidR="000A2A2B" w:rsidRPr="007C3060" w:rsidRDefault="000A2A2B" w:rsidP="007C3060">
            <w:r w:rsidRPr="007C3060">
              <w:t>-160 000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C43352" w14:textId="77777777" w:rsidR="000A2A2B" w:rsidRPr="007C3060" w:rsidRDefault="000A2A2B" w:rsidP="007C3060">
            <w:r w:rsidRPr="007C3060">
              <w:t>490 000</w:t>
            </w:r>
          </w:p>
        </w:tc>
      </w:tr>
      <w:tr w:rsidR="004B729E" w:rsidRPr="007C3060" w14:paraId="2114F0C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5C7C6BB" w14:textId="77777777" w:rsidR="000A2A2B" w:rsidRPr="007C3060" w:rsidRDefault="000A2A2B" w:rsidP="007C3060">
            <w:r w:rsidRPr="007C3060">
              <w:t>1791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C1FA70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57D977" w14:textId="77777777" w:rsidR="000A2A2B" w:rsidRPr="007C3060" w:rsidRDefault="000A2A2B" w:rsidP="007C3060">
            <w:r w:rsidRPr="007C3060">
              <w:t>Redningshelikoptertjenesten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3E71D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A2F7A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03059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F9BEAD" w14:textId="77777777" w:rsidR="000A2A2B" w:rsidRPr="007C3060" w:rsidRDefault="000A2A2B" w:rsidP="007C3060"/>
        </w:tc>
      </w:tr>
      <w:tr w:rsidR="004B729E" w:rsidRPr="007C3060" w14:paraId="4F2A01B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B66CF5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22D723B"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8426A9"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CC0A84" w14:textId="77777777" w:rsidR="000A2A2B" w:rsidRPr="007C3060" w:rsidRDefault="000A2A2B" w:rsidP="007C3060">
            <w:r w:rsidRPr="007C3060">
              <w:t>607 429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BC641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587CD4" w14:textId="77777777" w:rsidR="000A2A2B" w:rsidRPr="007C3060" w:rsidRDefault="000A2A2B" w:rsidP="007C3060">
            <w:r w:rsidRPr="007C3060">
              <w:t>-42 799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B9ACE0" w14:textId="77777777" w:rsidR="000A2A2B" w:rsidRPr="007C3060" w:rsidRDefault="000A2A2B" w:rsidP="007C3060">
            <w:r w:rsidRPr="007C3060">
              <w:t>564 630</w:t>
            </w:r>
          </w:p>
        </w:tc>
      </w:tr>
      <w:tr w:rsidR="004B729E" w:rsidRPr="007C3060" w14:paraId="7598D739"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9918CE0" w14:textId="77777777" w:rsidR="000A2A2B" w:rsidRPr="007C3060" w:rsidRDefault="000A2A2B" w:rsidP="007C3060">
            <w:r w:rsidRPr="007C3060">
              <w:t>Sum endringer Forsvarsdepartementet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FD61F59"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47D9F74" w14:textId="77777777" w:rsidR="000A2A2B" w:rsidRPr="007C3060" w:rsidRDefault="000A2A2B" w:rsidP="007C3060">
            <w:r w:rsidRPr="007C3060">
              <w:t>49 773 000</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25B045F" w14:textId="77777777" w:rsidR="000A2A2B" w:rsidRPr="007C3060" w:rsidRDefault="000A2A2B" w:rsidP="007C3060">
            <w:r w:rsidRPr="007C3060">
              <w:t>-3 222 733</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8C3AB8C" w14:textId="77777777" w:rsidR="000A2A2B" w:rsidRPr="007C3060" w:rsidRDefault="000A2A2B" w:rsidP="007C3060"/>
        </w:tc>
      </w:tr>
      <w:tr w:rsidR="004B729E" w:rsidRPr="007C3060" w14:paraId="26A6C55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3859CD9" w14:textId="77777777" w:rsidR="000A2A2B" w:rsidRPr="007C3060" w:rsidRDefault="000A2A2B" w:rsidP="007C3060">
            <w:r w:rsidRPr="007C3060">
              <w:t>1800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7DEDD1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D588C8" w14:textId="77777777" w:rsidR="000A2A2B" w:rsidRPr="007C3060" w:rsidRDefault="000A2A2B" w:rsidP="007C3060">
            <w:r w:rsidRPr="007C3060">
              <w:t>Energidepartementet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ED6C66"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6455C1"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3A98A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FEA903" w14:textId="77777777" w:rsidR="000A2A2B" w:rsidRPr="007C3060" w:rsidRDefault="000A2A2B" w:rsidP="007C3060"/>
        </w:tc>
      </w:tr>
      <w:tr w:rsidR="004B729E" w:rsidRPr="007C3060" w14:paraId="2B9B030A"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6ED47A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7E2186C" w14:textId="77777777" w:rsidR="000A2A2B" w:rsidRPr="007C3060" w:rsidRDefault="000A2A2B" w:rsidP="007C3060">
            <w:r w:rsidRPr="007C306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CFC9C3" w14:textId="5F34B173" w:rsidR="000A2A2B" w:rsidRPr="007C3060" w:rsidRDefault="000A2A2B" w:rsidP="007C3060">
            <w:r w:rsidRPr="007C3060">
              <w:t xml:space="preserve">Spesielle driftsutgifter, </w:t>
            </w:r>
            <w:r w:rsidRPr="007C3060">
              <w:rPr>
                <w:rStyle w:val="kursiv"/>
              </w:rPr>
              <w:t>kan overføres,</w:t>
            </w:r>
            <w:r w:rsidR="002D296E">
              <w:rPr>
                <w:rStyle w:val="kursiv"/>
              </w:rPr>
              <w:t xml:space="preserve"> </w:t>
            </w:r>
            <w:r w:rsidRPr="007C3060">
              <w:rPr>
                <w:rStyle w:val="kursiv"/>
              </w:rPr>
              <w:t>kan nyttes under postene 50, 71 og 72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7C3892" w14:textId="77777777" w:rsidR="000A2A2B" w:rsidRPr="007C3060" w:rsidRDefault="000A2A2B" w:rsidP="007C3060">
            <w:r w:rsidRPr="007C3060">
              <w:t>39 300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93274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55F050" w14:textId="77777777" w:rsidR="000A2A2B" w:rsidRPr="007C3060" w:rsidRDefault="000A2A2B" w:rsidP="007C3060">
            <w:r w:rsidRPr="007C3060">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F0DEAA" w14:textId="77777777" w:rsidR="000A2A2B" w:rsidRPr="007C3060" w:rsidRDefault="000A2A2B" w:rsidP="007C3060">
            <w:r w:rsidRPr="007C3060">
              <w:t>37 300</w:t>
            </w:r>
          </w:p>
        </w:tc>
      </w:tr>
      <w:tr w:rsidR="004B729E" w:rsidRPr="007C3060" w14:paraId="4B0420C7"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4D06F6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B4F6570"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F36669" w14:textId="03887162" w:rsidR="000A2A2B" w:rsidRPr="007C3060" w:rsidRDefault="000A2A2B" w:rsidP="007C3060">
            <w:r w:rsidRPr="007C3060">
              <w:t xml:space="preserve">Tilskudd til internasjonale organisasjoner mv.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AC9334" w14:textId="77777777" w:rsidR="000A2A2B" w:rsidRPr="007C3060" w:rsidRDefault="000A2A2B" w:rsidP="007C3060">
            <w:r w:rsidRPr="007C3060">
              <w:t>10 500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97E93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D9B23A" w14:textId="77777777" w:rsidR="000A2A2B" w:rsidRPr="007C3060" w:rsidRDefault="000A2A2B" w:rsidP="007C3060">
            <w:r w:rsidRPr="007C3060">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97221B" w14:textId="77777777" w:rsidR="000A2A2B" w:rsidRPr="007C3060" w:rsidRDefault="000A2A2B" w:rsidP="007C3060">
            <w:r w:rsidRPr="007C3060">
              <w:t>14 500</w:t>
            </w:r>
          </w:p>
        </w:tc>
      </w:tr>
      <w:tr w:rsidR="004B729E" w:rsidRPr="007C3060" w14:paraId="7F054A0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86A4A41" w14:textId="77777777" w:rsidR="000A2A2B" w:rsidRPr="007C3060" w:rsidRDefault="000A2A2B" w:rsidP="007C3060">
            <w:r w:rsidRPr="007C3060">
              <w:t>1820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0AFA94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FD1662" w14:textId="77777777" w:rsidR="000A2A2B" w:rsidRPr="007C3060" w:rsidRDefault="000A2A2B" w:rsidP="007C3060">
            <w:r w:rsidRPr="007C3060">
              <w:t>Norges vassdrags- og energidirektorat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50531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8F861F"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19300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542B12" w14:textId="77777777" w:rsidR="000A2A2B" w:rsidRPr="007C3060" w:rsidRDefault="000A2A2B" w:rsidP="007C3060"/>
        </w:tc>
      </w:tr>
      <w:tr w:rsidR="004B729E" w:rsidRPr="007C3060" w14:paraId="6B6A181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8F5A50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2C86664"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0CDF4B"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DF3FB4" w14:textId="77777777" w:rsidR="000A2A2B" w:rsidRPr="007C3060" w:rsidRDefault="000A2A2B" w:rsidP="007C3060">
            <w:r w:rsidRPr="007C3060">
              <w:t>928 000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9B8ED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C2CB21" w14:textId="77777777" w:rsidR="000A2A2B" w:rsidRPr="007C3060" w:rsidRDefault="000A2A2B" w:rsidP="007C3060">
            <w:r w:rsidRPr="007C3060">
              <w:t>6 000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F79DB6" w14:textId="77777777" w:rsidR="000A2A2B" w:rsidRPr="007C3060" w:rsidRDefault="000A2A2B" w:rsidP="007C3060">
            <w:r w:rsidRPr="007C3060">
              <w:t>934 000</w:t>
            </w:r>
          </w:p>
        </w:tc>
      </w:tr>
      <w:tr w:rsidR="004B729E" w:rsidRPr="007C3060" w14:paraId="07F9062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02B4DC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85384E9" w14:textId="77777777" w:rsidR="000A2A2B" w:rsidRPr="007C3060" w:rsidRDefault="000A2A2B" w:rsidP="007C3060">
            <w:r w:rsidRPr="007C3060">
              <w:t>26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1ED2A2" w14:textId="77777777" w:rsidR="000A2A2B" w:rsidRPr="007C3060" w:rsidRDefault="000A2A2B" w:rsidP="007C3060">
            <w:r w:rsidRPr="007C3060">
              <w:t xml:space="preserve">Reguleringsmyndigheten for energi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837196" w14:textId="77777777" w:rsidR="000A2A2B" w:rsidRPr="007C3060" w:rsidRDefault="000A2A2B" w:rsidP="007C3060">
            <w:r w:rsidRPr="007C3060">
              <w:t>83 500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A94E1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250CCA" w14:textId="77777777" w:rsidR="000A2A2B" w:rsidRPr="007C3060" w:rsidRDefault="000A2A2B" w:rsidP="007C3060">
            <w:r w:rsidRPr="007C3060">
              <w:t>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686BB5" w14:textId="77777777" w:rsidR="000A2A2B" w:rsidRPr="007C3060" w:rsidRDefault="000A2A2B" w:rsidP="007C3060">
            <w:r w:rsidRPr="007C3060">
              <w:t>90 500</w:t>
            </w:r>
          </w:p>
        </w:tc>
      </w:tr>
      <w:tr w:rsidR="004B729E" w:rsidRPr="007C3060" w14:paraId="55A133D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76DC25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8C5319C" w14:textId="77777777" w:rsidR="000A2A2B" w:rsidRPr="007C3060" w:rsidRDefault="000A2A2B" w:rsidP="007C3060">
            <w:r w:rsidRPr="007C3060">
              <w:t>62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0D1BE4" w14:textId="77777777" w:rsidR="000A2A2B" w:rsidRPr="007C3060" w:rsidRDefault="000A2A2B" w:rsidP="007C3060">
            <w:r w:rsidRPr="007C3060">
              <w:t xml:space="preserve">Fordeling av inntekt fra avgift på vindkraft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F3DB16" w14:textId="77777777" w:rsidR="000A2A2B" w:rsidRPr="007C3060" w:rsidRDefault="000A2A2B" w:rsidP="007C3060">
            <w:r w:rsidRPr="007C3060">
              <w:t>371 000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28ABF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5AF04F" w14:textId="77777777" w:rsidR="000A2A2B" w:rsidRPr="007C3060" w:rsidRDefault="000A2A2B" w:rsidP="007C3060">
            <w:r w:rsidRPr="007C3060">
              <w:t>-38 100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C1FA04" w14:textId="77777777" w:rsidR="000A2A2B" w:rsidRPr="007C3060" w:rsidRDefault="000A2A2B" w:rsidP="007C3060">
            <w:r w:rsidRPr="007C3060">
              <w:t>332 900</w:t>
            </w:r>
          </w:p>
        </w:tc>
      </w:tr>
      <w:tr w:rsidR="004B729E" w:rsidRPr="007C3060" w14:paraId="6115511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44E5E0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D7AF33C" w14:textId="77777777" w:rsidR="000A2A2B" w:rsidRPr="007C3060" w:rsidRDefault="000A2A2B" w:rsidP="007C3060">
            <w:r w:rsidRPr="007C306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D22ED3" w14:textId="77777777" w:rsidR="000A2A2B" w:rsidRPr="007C3060" w:rsidRDefault="000A2A2B" w:rsidP="007C3060">
            <w:r w:rsidRPr="007C3060">
              <w:t xml:space="preserve">Strømstønadsordning,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5B0907" w14:textId="77777777" w:rsidR="000A2A2B" w:rsidRPr="007C3060" w:rsidRDefault="000A2A2B" w:rsidP="007C3060">
            <w:r w:rsidRPr="007C3060">
              <w:t>4 800 000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762A1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3A4279" w14:textId="77777777" w:rsidR="000A2A2B" w:rsidRPr="007C3060" w:rsidRDefault="000A2A2B" w:rsidP="007C3060">
            <w:r w:rsidRPr="007C3060">
              <w:t>-1 400 000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14EEAD" w14:textId="77777777" w:rsidR="000A2A2B" w:rsidRPr="007C3060" w:rsidRDefault="000A2A2B" w:rsidP="007C3060">
            <w:r w:rsidRPr="007C3060">
              <w:t>3 400 000</w:t>
            </w:r>
          </w:p>
        </w:tc>
      </w:tr>
      <w:tr w:rsidR="004B729E" w:rsidRPr="007C3060" w14:paraId="7E8E450A"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09D3DA83" w14:textId="77777777" w:rsidR="000A2A2B" w:rsidRPr="007C3060" w:rsidRDefault="000A2A2B" w:rsidP="007C3060"/>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1F728532" w14:textId="77777777" w:rsidR="000A2A2B" w:rsidRPr="007C3060" w:rsidRDefault="000A2A2B" w:rsidP="007C3060">
            <w:r w:rsidRPr="007C3060">
              <w:t>77</w:t>
            </w:r>
          </w:p>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76C8C16" w14:textId="77777777" w:rsidR="000A2A2B" w:rsidRPr="007C3060" w:rsidRDefault="000A2A2B" w:rsidP="007C3060">
            <w:r w:rsidRPr="007C3060">
              <w:t xml:space="preserve">Norgespris for strøm, </w:t>
            </w:r>
            <w:r w:rsidRPr="007C3060">
              <w:rPr>
                <w:rStyle w:val="kursiv"/>
              </w:rPr>
              <w:t>overslagsbevilgning</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A46CEF4" w14:textId="77777777" w:rsidR="000A2A2B" w:rsidRPr="007C3060" w:rsidRDefault="000A2A2B" w:rsidP="007C3060">
            <w:r w:rsidRPr="007C3060">
              <w:t>-</w:t>
            </w:r>
          </w:p>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97E51DD" w14:textId="77777777" w:rsidR="000A2A2B" w:rsidRPr="007C3060" w:rsidRDefault="000A2A2B" w:rsidP="007C3060">
            <w:r w:rsidRPr="007C3060">
              <w:t>-</w:t>
            </w:r>
          </w:p>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E17625A" w14:textId="77777777" w:rsidR="000A2A2B" w:rsidRPr="007C3060" w:rsidRDefault="000A2A2B" w:rsidP="007C3060">
            <w:r w:rsidRPr="007C3060">
              <w:t>1 200 000</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224F316" w14:textId="77777777" w:rsidR="000A2A2B" w:rsidRPr="007C3060" w:rsidRDefault="000A2A2B" w:rsidP="007C3060">
            <w:r w:rsidRPr="007C3060">
              <w:t>1 200 000</w:t>
            </w:r>
          </w:p>
        </w:tc>
      </w:tr>
      <w:tr w:rsidR="004B729E" w:rsidRPr="007C3060" w14:paraId="43B670B8"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2FB9DB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9DE9D3E" w14:textId="77777777" w:rsidR="000A2A2B" w:rsidRPr="007C3060" w:rsidRDefault="000A2A2B" w:rsidP="007C3060">
            <w:r w:rsidRPr="007C3060">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4347F6" w14:textId="52CA1D63" w:rsidR="000A2A2B" w:rsidRPr="007C3060" w:rsidRDefault="000A2A2B" w:rsidP="007C3060">
            <w:r w:rsidRPr="007C3060">
              <w:t xml:space="preserve">Norgespris for fjernvarme,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2C8CB2"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1E6AE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F7B221" w14:textId="77777777" w:rsidR="000A2A2B" w:rsidRPr="007C3060" w:rsidRDefault="000A2A2B" w:rsidP="007C3060">
            <w:r w:rsidRPr="007C3060">
              <w:t>65 000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7954C9" w14:textId="77777777" w:rsidR="000A2A2B" w:rsidRPr="007C3060" w:rsidRDefault="000A2A2B" w:rsidP="007C3060">
            <w:r w:rsidRPr="007C3060">
              <w:t>65 000</w:t>
            </w:r>
          </w:p>
        </w:tc>
      </w:tr>
      <w:tr w:rsidR="004B729E" w:rsidRPr="007C3060" w14:paraId="1EDE5F6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90F2A8B" w14:textId="77777777" w:rsidR="000A2A2B" w:rsidRPr="007C3060" w:rsidRDefault="000A2A2B" w:rsidP="007C3060">
            <w:r w:rsidRPr="007C3060">
              <w:t>1850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5DFFF5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52CB0C" w14:textId="77777777" w:rsidR="000A2A2B" w:rsidRPr="007C3060" w:rsidRDefault="000A2A2B" w:rsidP="007C3060">
            <w:r w:rsidRPr="007C3060">
              <w:t>Klima, industri og teknologi</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447888"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D0C5D4"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4260B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84E1FC" w14:textId="77777777" w:rsidR="000A2A2B" w:rsidRPr="007C3060" w:rsidRDefault="000A2A2B" w:rsidP="007C3060"/>
        </w:tc>
      </w:tr>
      <w:tr w:rsidR="004B729E" w:rsidRPr="007C3060" w14:paraId="4481208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3FEF0F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66F5247"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B4551F" w14:textId="77777777" w:rsidR="000A2A2B" w:rsidRPr="007C3060" w:rsidRDefault="000A2A2B" w:rsidP="007C3060">
            <w:r w:rsidRPr="007C3060">
              <w:t xml:space="preserve">Norges forskningsråd,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324C52" w14:textId="77777777" w:rsidR="000A2A2B" w:rsidRPr="007C3060" w:rsidRDefault="000A2A2B" w:rsidP="007C3060">
            <w:r w:rsidRPr="007C3060">
              <w:t>966 000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A6B94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1E0027" w14:textId="77777777" w:rsidR="000A2A2B" w:rsidRPr="007C3060" w:rsidRDefault="000A2A2B" w:rsidP="007C3060">
            <w:r w:rsidRPr="007C3060">
              <w:t>-12 000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F8B694" w14:textId="77777777" w:rsidR="000A2A2B" w:rsidRPr="007C3060" w:rsidRDefault="000A2A2B" w:rsidP="007C3060">
            <w:r w:rsidRPr="007C3060">
              <w:t>954 000</w:t>
            </w:r>
          </w:p>
        </w:tc>
      </w:tr>
      <w:tr w:rsidR="004B729E" w:rsidRPr="007C3060" w14:paraId="270479C0"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8C905C7" w14:textId="77777777" w:rsidR="000A2A2B" w:rsidRPr="007C3060" w:rsidRDefault="000A2A2B" w:rsidP="007C3060">
            <w:r w:rsidRPr="007C3060">
              <w:t>Sum endringer Energidepartementet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2EF6202"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48FC1D6"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A0C2A26" w14:textId="77777777" w:rsidR="000A2A2B" w:rsidRPr="007C3060" w:rsidRDefault="000A2A2B" w:rsidP="007C3060">
            <w:r w:rsidRPr="007C3060">
              <w:t>-170 100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FB9D3F0" w14:textId="77777777" w:rsidR="000A2A2B" w:rsidRPr="007C3060" w:rsidRDefault="000A2A2B" w:rsidP="007C3060"/>
        </w:tc>
      </w:tr>
      <w:tr w:rsidR="004B729E" w:rsidRPr="007C3060" w14:paraId="00E7CE2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1BF933D" w14:textId="77777777" w:rsidR="000A2A2B" w:rsidRPr="007C3060" w:rsidRDefault="000A2A2B" w:rsidP="007C3060">
            <w:r w:rsidRPr="007C3060">
              <w:t>2309</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D8078D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A94067" w14:textId="77777777" w:rsidR="000A2A2B" w:rsidRPr="007C3060" w:rsidRDefault="000A2A2B" w:rsidP="007C3060">
            <w:r w:rsidRPr="007C3060">
              <w:t>Tilfeldige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1876E7"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963A56"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48B47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40B836" w14:textId="77777777" w:rsidR="000A2A2B" w:rsidRPr="007C3060" w:rsidRDefault="000A2A2B" w:rsidP="007C3060"/>
        </w:tc>
      </w:tr>
      <w:tr w:rsidR="004B729E" w:rsidRPr="007C3060" w14:paraId="0A72B8F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7DD770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62C29D9"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4E5B20" w14:textId="77777777" w:rsidR="000A2A2B" w:rsidRPr="007C3060" w:rsidRDefault="000A2A2B" w:rsidP="007C3060">
            <w:r w:rsidRPr="007C306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0AA6AE" w14:textId="77777777" w:rsidR="000A2A2B" w:rsidRPr="007C3060" w:rsidRDefault="000A2A2B" w:rsidP="007C3060">
            <w:r w:rsidRPr="007C3060">
              <w:t>7 100 000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A922B3"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A4FD6D" w14:textId="77777777" w:rsidR="000A2A2B" w:rsidRPr="007C3060" w:rsidRDefault="000A2A2B" w:rsidP="007C3060">
            <w:r w:rsidRPr="007C3060">
              <w:t>-200 000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9B149D" w14:textId="77777777" w:rsidR="000A2A2B" w:rsidRPr="007C3060" w:rsidRDefault="000A2A2B" w:rsidP="007C3060">
            <w:r w:rsidRPr="007C3060">
              <w:t>6 900 000</w:t>
            </w:r>
          </w:p>
        </w:tc>
      </w:tr>
      <w:tr w:rsidR="004B729E" w:rsidRPr="007C3060" w14:paraId="5FD5F3E2"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E2E5463" w14:textId="77777777" w:rsidR="000A2A2B" w:rsidRPr="007C3060" w:rsidRDefault="000A2A2B" w:rsidP="007C3060">
            <w:r w:rsidRPr="007C3060">
              <w:t>Sum endringer Ymse</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2683B73"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3BD6A63"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4A76056" w14:textId="77777777" w:rsidR="000A2A2B" w:rsidRPr="007C3060" w:rsidRDefault="000A2A2B" w:rsidP="007C3060">
            <w:r w:rsidRPr="007C3060">
              <w:t>-200 000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427A446" w14:textId="77777777" w:rsidR="000A2A2B" w:rsidRPr="007C3060" w:rsidRDefault="000A2A2B" w:rsidP="007C3060"/>
        </w:tc>
      </w:tr>
      <w:tr w:rsidR="004B729E" w:rsidRPr="007C3060" w14:paraId="4201BF08"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2DFA18DE" w14:textId="77777777" w:rsidR="000A2A2B" w:rsidRPr="007C3060" w:rsidRDefault="000A2A2B" w:rsidP="007C3060">
            <w:r w:rsidRPr="007C3060">
              <w:t>2410</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6E98C879"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64FC343" w14:textId="77777777" w:rsidR="000A2A2B" w:rsidRPr="007C3060" w:rsidRDefault="000A2A2B" w:rsidP="007C3060">
            <w:r w:rsidRPr="007C3060">
              <w:t>Statens lånekasse for utdanning</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D02E489"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3065E12"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653AD95"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3370D31" w14:textId="77777777" w:rsidR="000A2A2B" w:rsidRPr="007C3060" w:rsidRDefault="000A2A2B" w:rsidP="007C3060"/>
        </w:tc>
      </w:tr>
      <w:tr w:rsidR="004B729E" w:rsidRPr="007C3060" w14:paraId="1B0B476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80A728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3D81F47"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349ACB" w14:textId="77777777" w:rsidR="000A2A2B" w:rsidRPr="007C3060" w:rsidRDefault="000A2A2B" w:rsidP="007C3060">
            <w:r w:rsidRPr="007C3060">
              <w:t xml:space="preserve">Større utstyrsanskaffelser og vedlikehold, </w:t>
            </w:r>
            <w:r w:rsidRPr="007C3060">
              <w:rPr>
                <w:rStyle w:val="kursiv"/>
              </w:rPr>
              <w:t>kan overføres, kan nyttes under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2339D5" w14:textId="77777777" w:rsidR="000A2A2B" w:rsidRPr="007C3060" w:rsidRDefault="000A2A2B" w:rsidP="007C3060">
            <w:r w:rsidRPr="007C3060">
              <w:t>51 075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6E834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AF585D" w14:textId="77777777" w:rsidR="000A2A2B" w:rsidRPr="007C3060" w:rsidRDefault="000A2A2B" w:rsidP="007C3060">
            <w:r w:rsidRPr="007C3060">
              <w:t>-12 600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DDE79D" w14:textId="77777777" w:rsidR="000A2A2B" w:rsidRPr="007C3060" w:rsidRDefault="000A2A2B" w:rsidP="007C3060">
            <w:r w:rsidRPr="007C3060">
              <w:t>38 475</w:t>
            </w:r>
          </w:p>
        </w:tc>
      </w:tr>
      <w:tr w:rsidR="004B729E" w:rsidRPr="007C3060" w14:paraId="4690F0A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ABE29C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C56AE50" w14:textId="77777777" w:rsidR="000A2A2B" w:rsidRPr="007C3060" w:rsidRDefault="000A2A2B" w:rsidP="007C3060">
            <w:r w:rsidRPr="007C306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69EACE" w14:textId="2ED650A2" w:rsidR="000A2A2B" w:rsidRPr="007C3060" w:rsidRDefault="000A2A2B" w:rsidP="007C3060">
            <w:r w:rsidRPr="007C3060">
              <w:t xml:space="preserve">Avsetning til utdanningsstipend,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61E66F" w14:textId="77777777" w:rsidR="000A2A2B" w:rsidRPr="007C3060" w:rsidRDefault="000A2A2B" w:rsidP="007C3060">
            <w:r w:rsidRPr="007C3060">
              <w:t>9 545 390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D2051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1947BA" w14:textId="77777777" w:rsidR="000A2A2B" w:rsidRPr="007C3060" w:rsidRDefault="000A2A2B" w:rsidP="007C3060">
            <w:r w:rsidRPr="007C3060">
              <w:t>-82 312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E16949" w14:textId="77777777" w:rsidR="000A2A2B" w:rsidRPr="007C3060" w:rsidRDefault="000A2A2B" w:rsidP="007C3060">
            <w:r w:rsidRPr="007C3060">
              <w:t>9 463 078</w:t>
            </w:r>
          </w:p>
        </w:tc>
      </w:tr>
      <w:tr w:rsidR="004B729E" w:rsidRPr="007C3060" w14:paraId="18F1E71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16C4BE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2A8703F"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E71BD8" w14:textId="77777777" w:rsidR="000A2A2B" w:rsidRPr="007C3060" w:rsidRDefault="000A2A2B" w:rsidP="007C3060">
            <w:r w:rsidRPr="007C3060">
              <w:t xml:space="preserve">Utdanningsstipend,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240A28" w14:textId="77777777" w:rsidR="000A2A2B" w:rsidRPr="007C3060" w:rsidRDefault="000A2A2B" w:rsidP="007C3060">
            <w:r w:rsidRPr="007C3060">
              <w:t>4 116 162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A66E7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E854C0" w14:textId="77777777" w:rsidR="000A2A2B" w:rsidRPr="007C3060" w:rsidRDefault="000A2A2B" w:rsidP="007C3060">
            <w:r w:rsidRPr="007C3060">
              <w:t>98 266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07FFEC" w14:textId="77777777" w:rsidR="000A2A2B" w:rsidRPr="007C3060" w:rsidRDefault="000A2A2B" w:rsidP="007C3060">
            <w:r w:rsidRPr="007C3060">
              <w:t>4 214 428</w:t>
            </w:r>
          </w:p>
        </w:tc>
      </w:tr>
      <w:tr w:rsidR="004B729E" w:rsidRPr="007C3060" w14:paraId="63DECB8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33B157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CB3C508"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9AAA55" w14:textId="77777777" w:rsidR="000A2A2B" w:rsidRPr="007C3060" w:rsidRDefault="000A2A2B" w:rsidP="007C3060">
            <w:r w:rsidRPr="007C3060">
              <w:t xml:space="preserve">Andre stipend,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856456" w14:textId="77777777" w:rsidR="000A2A2B" w:rsidRPr="007C3060" w:rsidRDefault="000A2A2B" w:rsidP="007C3060">
            <w:r w:rsidRPr="007C3060">
              <w:t>576 805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66E89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F6EA24" w14:textId="77777777" w:rsidR="000A2A2B" w:rsidRPr="007C3060" w:rsidRDefault="000A2A2B" w:rsidP="007C3060">
            <w:r w:rsidRPr="007C3060">
              <w:t>-14 250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811A68" w14:textId="77777777" w:rsidR="000A2A2B" w:rsidRPr="007C3060" w:rsidRDefault="000A2A2B" w:rsidP="007C3060">
            <w:r w:rsidRPr="007C3060">
              <w:t>562 555</w:t>
            </w:r>
          </w:p>
        </w:tc>
      </w:tr>
      <w:tr w:rsidR="004B729E" w:rsidRPr="007C3060" w14:paraId="7A9B88D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532689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9E30FF8"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E8700B" w14:textId="77777777" w:rsidR="000A2A2B" w:rsidRPr="007C3060" w:rsidRDefault="000A2A2B" w:rsidP="007C3060">
            <w:r w:rsidRPr="007C3060">
              <w:t xml:space="preserve">Rentestøtte,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1F0C65" w14:textId="77777777" w:rsidR="000A2A2B" w:rsidRPr="007C3060" w:rsidRDefault="000A2A2B" w:rsidP="007C3060">
            <w:r w:rsidRPr="007C3060">
              <w:t>3 763 095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2B539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32739E" w14:textId="77777777" w:rsidR="000A2A2B" w:rsidRPr="007C3060" w:rsidRDefault="000A2A2B" w:rsidP="007C3060">
            <w:r w:rsidRPr="007C3060">
              <w:t>22 899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8A2AE0" w14:textId="77777777" w:rsidR="000A2A2B" w:rsidRPr="007C3060" w:rsidRDefault="000A2A2B" w:rsidP="007C3060">
            <w:r w:rsidRPr="007C3060">
              <w:t>3 785 994</w:t>
            </w:r>
          </w:p>
        </w:tc>
      </w:tr>
      <w:tr w:rsidR="004B729E" w:rsidRPr="007C3060" w14:paraId="1B99D06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BDEC76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C938B29"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4E8333" w14:textId="77777777" w:rsidR="000A2A2B" w:rsidRPr="007C3060" w:rsidRDefault="000A2A2B" w:rsidP="007C3060">
            <w:r w:rsidRPr="007C3060">
              <w:t xml:space="preserve">Avskrivninger,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0C3D88" w14:textId="77777777" w:rsidR="000A2A2B" w:rsidRPr="007C3060" w:rsidRDefault="000A2A2B" w:rsidP="007C3060">
            <w:r w:rsidRPr="007C3060">
              <w:t>1 038 667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A1439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AA4EF2" w14:textId="77777777" w:rsidR="000A2A2B" w:rsidRPr="007C3060" w:rsidRDefault="000A2A2B" w:rsidP="007C3060">
            <w:r w:rsidRPr="007C3060">
              <w:t>144 960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A36D02" w14:textId="77777777" w:rsidR="000A2A2B" w:rsidRPr="007C3060" w:rsidRDefault="000A2A2B" w:rsidP="007C3060">
            <w:r w:rsidRPr="007C3060">
              <w:t>1 183 627</w:t>
            </w:r>
          </w:p>
        </w:tc>
      </w:tr>
      <w:tr w:rsidR="004B729E" w:rsidRPr="007C3060" w14:paraId="263A14F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6DDB23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20C141F" w14:textId="77777777" w:rsidR="000A2A2B" w:rsidRPr="007C3060" w:rsidRDefault="000A2A2B" w:rsidP="007C3060">
            <w:r w:rsidRPr="007C306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6CBF35" w14:textId="77777777" w:rsidR="000A2A2B" w:rsidRPr="007C3060" w:rsidRDefault="000A2A2B" w:rsidP="007C3060">
            <w:r w:rsidRPr="007C3060">
              <w:t xml:space="preserve">Tap på utlån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F014D8" w14:textId="77777777" w:rsidR="000A2A2B" w:rsidRPr="007C3060" w:rsidRDefault="000A2A2B" w:rsidP="007C3060">
            <w:r w:rsidRPr="007C3060">
              <w:t>340 500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5C6BF9"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A71091" w14:textId="77777777" w:rsidR="000A2A2B" w:rsidRPr="007C3060" w:rsidRDefault="000A2A2B" w:rsidP="007C3060">
            <w:r w:rsidRPr="007C3060">
              <w:t>-60 000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334DBD" w14:textId="77777777" w:rsidR="000A2A2B" w:rsidRPr="007C3060" w:rsidRDefault="000A2A2B" w:rsidP="007C3060">
            <w:r w:rsidRPr="007C3060">
              <w:t>280 500</w:t>
            </w:r>
          </w:p>
        </w:tc>
      </w:tr>
      <w:tr w:rsidR="004B729E" w:rsidRPr="007C3060" w14:paraId="77D7425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D422DC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EE2148A" w14:textId="77777777" w:rsidR="000A2A2B" w:rsidRPr="007C3060" w:rsidRDefault="000A2A2B" w:rsidP="007C3060">
            <w:r w:rsidRPr="007C306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3ABA4B" w14:textId="77777777" w:rsidR="000A2A2B" w:rsidRPr="007C3060" w:rsidRDefault="000A2A2B" w:rsidP="007C3060">
            <w:r w:rsidRPr="007C3060">
              <w:t xml:space="preserve">Økt lån og rentegjeld,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097FA6" w14:textId="77777777" w:rsidR="000A2A2B" w:rsidRPr="007C3060" w:rsidRDefault="000A2A2B" w:rsidP="007C3060">
            <w:r w:rsidRPr="007C3060">
              <w:t>44 322 610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72EA2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8ECFAF" w14:textId="77777777" w:rsidR="000A2A2B" w:rsidRPr="007C3060" w:rsidRDefault="000A2A2B" w:rsidP="007C3060">
            <w:r w:rsidRPr="007C3060">
              <w:t>-106 684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C258D8" w14:textId="77777777" w:rsidR="000A2A2B" w:rsidRPr="007C3060" w:rsidRDefault="000A2A2B" w:rsidP="007C3060">
            <w:r w:rsidRPr="007C3060">
              <w:t>44 215 926</w:t>
            </w:r>
          </w:p>
        </w:tc>
      </w:tr>
      <w:tr w:rsidR="004B729E" w:rsidRPr="007C3060" w14:paraId="276F33B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819D935" w14:textId="77777777" w:rsidR="000A2A2B" w:rsidRPr="007C3060" w:rsidRDefault="000A2A2B" w:rsidP="007C3060">
            <w:r w:rsidRPr="007C3060">
              <w:lastRenderedPageBreak/>
              <w:t>2412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2AE7DA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1645E1" w14:textId="77777777" w:rsidR="000A2A2B" w:rsidRPr="007C3060" w:rsidRDefault="000A2A2B" w:rsidP="007C3060">
            <w:r w:rsidRPr="007C3060">
              <w:t>Husbanken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83B203"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50FEDF"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4E8C6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6DFC27" w14:textId="77777777" w:rsidR="000A2A2B" w:rsidRPr="007C3060" w:rsidRDefault="000A2A2B" w:rsidP="007C3060"/>
        </w:tc>
      </w:tr>
      <w:tr w:rsidR="004B729E" w:rsidRPr="007C3060" w14:paraId="4F2F638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020D61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6C30B6D" w14:textId="77777777" w:rsidR="000A2A2B" w:rsidRPr="007C3060" w:rsidRDefault="000A2A2B" w:rsidP="007C3060">
            <w:r w:rsidRPr="007C306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9A15DB" w14:textId="77777777" w:rsidR="000A2A2B" w:rsidRPr="007C3060" w:rsidRDefault="000A2A2B" w:rsidP="007C3060">
            <w:r w:rsidRPr="007C3060">
              <w:t xml:space="preserve">Nye lån,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457AC6" w14:textId="77777777" w:rsidR="000A2A2B" w:rsidRPr="007C3060" w:rsidRDefault="000A2A2B" w:rsidP="007C3060">
            <w:r w:rsidRPr="007C3060">
              <w:t>28 505 000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8406D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06A118" w14:textId="77777777" w:rsidR="000A2A2B" w:rsidRPr="007C3060" w:rsidRDefault="000A2A2B" w:rsidP="007C3060">
            <w:r w:rsidRPr="007C3060">
              <w:t>426 400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5F0AD4" w14:textId="77777777" w:rsidR="000A2A2B" w:rsidRPr="007C3060" w:rsidRDefault="000A2A2B" w:rsidP="007C3060">
            <w:r w:rsidRPr="007C3060">
              <w:t>28 931 400</w:t>
            </w:r>
          </w:p>
        </w:tc>
      </w:tr>
      <w:tr w:rsidR="004B729E" w:rsidRPr="007C3060" w14:paraId="495D3B6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80AC780" w14:textId="77777777" w:rsidR="000A2A2B" w:rsidRPr="007C3060" w:rsidRDefault="000A2A2B" w:rsidP="007C3060">
            <w:r w:rsidRPr="007C3060">
              <w:t>2421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0946AF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D7798A" w14:textId="77777777" w:rsidR="000A2A2B" w:rsidRPr="007C3060" w:rsidRDefault="000A2A2B" w:rsidP="007C3060">
            <w:r w:rsidRPr="007C3060">
              <w:t>Innovasjon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5E82BE"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CA8FA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F5272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EC9D5A" w14:textId="77777777" w:rsidR="000A2A2B" w:rsidRPr="007C3060" w:rsidRDefault="000A2A2B" w:rsidP="007C3060"/>
        </w:tc>
      </w:tr>
      <w:tr w:rsidR="004B729E" w:rsidRPr="007C3060" w14:paraId="4917C70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8BD5AC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3505524" w14:textId="77777777" w:rsidR="000A2A2B" w:rsidRPr="007C3060" w:rsidRDefault="000A2A2B" w:rsidP="007C3060">
            <w:r w:rsidRPr="007C306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DF1F8B" w14:textId="77777777" w:rsidR="000A2A2B" w:rsidRPr="007C3060" w:rsidRDefault="000A2A2B" w:rsidP="007C3060">
            <w:r w:rsidRPr="007C3060">
              <w:t xml:space="preserve">Miljøteknologi,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C9ECB1" w14:textId="77777777" w:rsidR="000A2A2B" w:rsidRPr="007C3060" w:rsidRDefault="000A2A2B" w:rsidP="007C3060">
            <w:r w:rsidRPr="007C3060">
              <w:t>423 800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8A09E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ABE22D"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10B5B6" w14:textId="77777777" w:rsidR="000A2A2B" w:rsidRPr="007C3060" w:rsidRDefault="000A2A2B" w:rsidP="007C3060">
            <w:r w:rsidRPr="007C3060">
              <w:t>433 800</w:t>
            </w:r>
          </w:p>
        </w:tc>
      </w:tr>
      <w:tr w:rsidR="004B729E" w:rsidRPr="007C3060" w14:paraId="53B92E82"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03B556C" w14:textId="77777777" w:rsidR="000A2A2B" w:rsidRPr="007C3060" w:rsidRDefault="000A2A2B" w:rsidP="007C3060">
            <w:r w:rsidRPr="007C3060">
              <w:t>Sum endringer Statsbankene</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F48F011"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C2EA23A"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4127433" w14:textId="77777777" w:rsidR="000A2A2B" w:rsidRPr="007C3060" w:rsidRDefault="000A2A2B" w:rsidP="007C3060">
            <w:r w:rsidRPr="007C3060">
              <w:t>426 679</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30075EF" w14:textId="77777777" w:rsidR="000A2A2B" w:rsidRPr="007C3060" w:rsidRDefault="000A2A2B" w:rsidP="007C3060"/>
        </w:tc>
      </w:tr>
      <w:tr w:rsidR="004B729E" w:rsidRPr="007C3060" w14:paraId="16B6CBDA"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023A2585" w14:textId="77777777" w:rsidR="000A2A2B" w:rsidRPr="007C3060" w:rsidRDefault="000A2A2B" w:rsidP="007C3060">
            <w:r w:rsidRPr="007C3060">
              <w:t>2440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BBE0F33"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59CDA1" w14:textId="77777777" w:rsidR="000A2A2B" w:rsidRPr="007C3060" w:rsidRDefault="000A2A2B" w:rsidP="007C3060">
            <w:r w:rsidRPr="007C3060">
              <w:t>Statens direkte økonomiske engasjement i petroleumsvirksomheten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26981"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064427"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717CE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D15501" w14:textId="77777777" w:rsidR="000A2A2B" w:rsidRPr="007C3060" w:rsidRDefault="000A2A2B" w:rsidP="007C3060"/>
        </w:tc>
      </w:tr>
      <w:tr w:rsidR="004B729E" w:rsidRPr="007C3060" w14:paraId="5FE81CE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DB71E6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516DFDC" w14:textId="77777777" w:rsidR="000A2A2B" w:rsidRPr="007C3060" w:rsidRDefault="000A2A2B" w:rsidP="007C3060">
            <w:r w:rsidRPr="007C3060">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96F7D5" w14:textId="77777777" w:rsidR="000A2A2B" w:rsidRPr="007C3060" w:rsidRDefault="000A2A2B" w:rsidP="007C3060">
            <w:r w:rsidRPr="007C3060">
              <w:t xml:space="preserve">Investeringer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AE520F" w14:textId="77777777" w:rsidR="000A2A2B" w:rsidRPr="007C3060" w:rsidRDefault="000A2A2B" w:rsidP="007C3060">
            <w:r w:rsidRPr="007C3060">
              <w:t>29 600 000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8F05A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D9C458" w14:textId="77777777" w:rsidR="000A2A2B" w:rsidRPr="007C3060" w:rsidRDefault="000A2A2B" w:rsidP="007C3060">
            <w:r w:rsidRPr="007C3060">
              <w:t>5 400 000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4E3F89" w14:textId="77777777" w:rsidR="000A2A2B" w:rsidRPr="007C3060" w:rsidRDefault="000A2A2B" w:rsidP="007C3060">
            <w:r w:rsidRPr="007C3060">
              <w:t>35 000 000</w:t>
            </w:r>
          </w:p>
        </w:tc>
      </w:tr>
      <w:tr w:rsidR="004B729E" w:rsidRPr="007C3060" w14:paraId="06E9C9B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6A96AE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C765D4F" w14:textId="77777777" w:rsidR="000A2A2B" w:rsidRPr="007C3060" w:rsidRDefault="000A2A2B" w:rsidP="007C3060">
            <w:r w:rsidRPr="007C3060">
              <w:t>31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E6672F" w14:textId="77777777" w:rsidR="000A2A2B" w:rsidRPr="007C3060" w:rsidRDefault="000A2A2B" w:rsidP="007C3060">
            <w:r w:rsidRPr="007C3060">
              <w:t xml:space="preserve">Kjøp av eierandeler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11347E"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17850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56A99E" w14:textId="77777777" w:rsidR="000A2A2B" w:rsidRPr="007C3060" w:rsidRDefault="000A2A2B" w:rsidP="007C3060">
            <w:r w:rsidRPr="007C3060">
              <w:t>-2 046 441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B5F0F5" w14:textId="77777777" w:rsidR="000A2A2B" w:rsidRPr="007C3060" w:rsidRDefault="000A2A2B" w:rsidP="007C3060">
            <w:r w:rsidRPr="007C3060">
              <w:t>-2 046 441</w:t>
            </w:r>
          </w:p>
        </w:tc>
      </w:tr>
      <w:tr w:rsidR="004B729E" w:rsidRPr="007C3060" w14:paraId="511EEF91"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1EB20E1" w14:textId="77777777" w:rsidR="000A2A2B" w:rsidRPr="007C3060" w:rsidRDefault="000A2A2B" w:rsidP="007C3060">
            <w:r w:rsidRPr="007C3060">
              <w:t>Sum endringer Statlig petroleumsvirksomhet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4593D91"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E9BB7BF"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6E4EC96" w14:textId="77777777" w:rsidR="000A2A2B" w:rsidRPr="007C3060" w:rsidRDefault="000A2A2B" w:rsidP="007C3060">
            <w:r w:rsidRPr="007C3060">
              <w:t>3 353 559</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754F3EF" w14:textId="77777777" w:rsidR="000A2A2B" w:rsidRPr="007C3060" w:rsidRDefault="000A2A2B" w:rsidP="007C3060"/>
        </w:tc>
      </w:tr>
      <w:tr w:rsidR="004B729E" w:rsidRPr="007C3060" w14:paraId="7E590DF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AD95C0D" w14:textId="77777777" w:rsidR="000A2A2B" w:rsidRPr="007C3060" w:rsidRDefault="000A2A2B" w:rsidP="007C3060">
            <w:r w:rsidRPr="007C3060">
              <w:t>2445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FAD386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59FE3E" w14:textId="77777777" w:rsidR="000A2A2B" w:rsidRPr="007C3060" w:rsidRDefault="000A2A2B" w:rsidP="007C3060">
            <w:r w:rsidRPr="007C3060">
              <w:t>Statsbygg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7B7229"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D73602"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3FBD8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568C81" w14:textId="77777777" w:rsidR="000A2A2B" w:rsidRPr="007C3060" w:rsidRDefault="000A2A2B" w:rsidP="007C3060"/>
        </w:tc>
      </w:tr>
      <w:tr w:rsidR="004B729E" w:rsidRPr="007C3060" w14:paraId="2FC75F0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97AE75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B0B0B8B" w14:textId="77777777" w:rsidR="000A2A2B" w:rsidRPr="007C3060" w:rsidRDefault="000A2A2B" w:rsidP="007C3060">
            <w:r w:rsidRPr="007C3060">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C699C8" w14:textId="77777777" w:rsidR="000A2A2B" w:rsidRPr="007C3060" w:rsidRDefault="000A2A2B" w:rsidP="007C3060">
            <w:r w:rsidRPr="007C3060">
              <w:t xml:space="preserve">Prosjektering av bygg,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064FAB" w14:textId="77777777" w:rsidR="000A2A2B" w:rsidRPr="007C3060" w:rsidRDefault="000A2A2B" w:rsidP="007C3060">
            <w:r w:rsidRPr="007C3060">
              <w:t>111 000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2B2DF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8E095C" w14:textId="77777777" w:rsidR="000A2A2B" w:rsidRPr="007C3060" w:rsidRDefault="000A2A2B" w:rsidP="007C3060">
            <w:r w:rsidRPr="007C3060">
              <w:t>31 000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09D89A" w14:textId="77777777" w:rsidR="000A2A2B" w:rsidRPr="007C3060" w:rsidRDefault="000A2A2B" w:rsidP="007C3060">
            <w:r w:rsidRPr="007C3060">
              <w:t>142 000</w:t>
            </w:r>
          </w:p>
        </w:tc>
      </w:tr>
      <w:tr w:rsidR="004B729E" w:rsidRPr="007C3060" w14:paraId="618B9607"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0E95ED5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8BEA288" w14:textId="77777777" w:rsidR="000A2A2B" w:rsidRPr="007C3060" w:rsidRDefault="000A2A2B" w:rsidP="007C3060">
            <w:r w:rsidRPr="007C3060">
              <w:t>31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6E0E47" w14:textId="77777777" w:rsidR="000A2A2B" w:rsidRPr="007C3060" w:rsidRDefault="000A2A2B" w:rsidP="007C3060">
            <w:r w:rsidRPr="007C3060">
              <w:t xml:space="preserve">Igangsetting av ordinære bygge-prosjekter,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268F95" w14:textId="77777777" w:rsidR="000A2A2B" w:rsidRPr="007C3060" w:rsidRDefault="000A2A2B" w:rsidP="007C3060">
            <w:r w:rsidRPr="007C3060">
              <w:t>500 000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5F468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20BAFA" w14:textId="77777777" w:rsidR="000A2A2B" w:rsidRPr="007C3060" w:rsidRDefault="000A2A2B" w:rsidP="007C3060">
            <w:r w:rsidRPr="007C3060">
              <w:t>120 000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B1C2D0" w14:textId="77777777" w:rsidR="000A2A2B" w:rsidRPr="007C3060" w:rsidRDefault="000A2A2B" w:rsidP="007C3060">
            <w:r w:rsidRPr="007C3060">
              <w:t>620 000</w:t>
            </w:r>
          </w:p>
        </w:tc>
      </w:tr>
      <w:tr w:rsidR="004B729E" w:rsidRPr="007C3060" w14:paraId="48725C48"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43077D1C" w14:textId="77777777" w:rsidR="000A2A2B" w:rsidRPr="007C3060" w:rsidRDefault="000A2A2B" w:rsidP="007C3060"/>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11576A99" w14:textId="77777777" w:rsidR="000A2A2B" w:rsidRPr="007C3060" w:rsidRDefault="000A2A2B" w:rsidP="007C3060">
            <w:r w:rsidRPr="007C3060">
              <w:t>49</w:t>
            </w:r>
          </w:p>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1A137BC" w14:textId="77777777" w:rsidR="000A2A2B" w:rsidRPr="007C3060" w:rsidRDefault="000A2A2B" w:rsidP="007C3060">
            <w:r w:rsidRPr="007C3060">
              <w:t xml:space="preserve">Kjøp av eiendommer, </w:t>
            </w:r>
            <w:r w:rsidRPr="007C3060">
              <w:rPr>
                <w:rStyle w:val="kursiv"/>
              </w:rPr>
              <w:t>kan overføres</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0E4246E" w14:textId="77777777" w:rsidR="000A2A2B" w:rsidRPr="007C3060" w:rsidRDefault="000A2A2B" w:rsidP="007C3060">
            <w:r w:rsidRPr="007C3060">
              <w:t>345 519</w:t>
            </w:r>
          </w:p>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B565079" w14:textId="77777777" w:rsidR="000A2A2B" w:rsidRPr="007C3060" w:rsidRDefault="000A2A2B" w:rsidP="007C3060">
            <w:r w:rsidRPr="007C3060">
              <w:t>-</w:t>
            </w:r>
          </w:p>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95A1ADC" w14:textId="77777777" w:rsidR="000A2A2B" w:rsidRPr="007C3060" w:rsidRDefault="000A2A2B" w:rsidP="007C3060">
            <w:r w:rsidRPr="007C3060">
              <w:t>-47 500</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0C53441" w14:textId="77777777" w:rsidR="000A2A2B" w:rsidRPr="007C3060" w:rsidRDefault="000A2A2B" w:rsidP="007C3060">
            <w:r w:rsidRPr="007C3060">
              <w:t>298 019</w:t>
            </w:r>
          </w:p>
        </w:tc>
      </w:tr>
      <w:tr w:rsidR="004B729E" w:rsidRPr="007C3060" w14:paraId="7692DC7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64B189C" w14:textId="77777777" w:rsidR="000A2A2B" w:rsidRPr="007C3060" w:rsidRDefault="000A2A2B" w:rsidP="007C3060">
            <w:r w:rsidRPr="007C3060">
              <w:t>2460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9FC0C6F"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75F085" w14:textId="77777777" w:rsidR="000A2A2B" w:rsidRPr="007C3060" w:rsidRDefault="000A2A2B" w:rsidP="007C3060">
            <w:r w:rsidRPr="007C3060">
              <w:t>Eksportfinansiering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98CAE7"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ACB651"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DB1652"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F419E8" w14:textId="77777777" w:rsidR="000A2A2B" w:rsidRPr="007C3060" w:rsidRDefault="000A2A2B" w:rsidP="007C3060"/>
        </w:tc>
      </w:tr>
      <w:tr w:rsidR="004B729E" w:rsidRPr="007C3060" w14:paraId="6510C36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B21369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43946CE" w14:textId="77777777" w:rsidR="000A2A2B" w:rsidRPr="007C3060" w:rsidRDefault="000A2A2B" w:rsidP="007C3060">
            <w:r w:rsidRPr="007C3060">
              <w:t>24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5E2CF8" w14:textId="77777777" w:rsidR="000A2A2B" w:rsidRPr="007C3060" w:rsidRDefault="000A2A2B" w:rsidP="007C3060">
            <w:r w:rsidRPr="007C3060">
              <w:t>Driftsresultat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F001A9" w14:textId="77777777" w:rsidR="000A2A2B" w:rsidRPr="007C3060" w:rsidRDefault="000A2A2B" w:rsidP="007C3060">
            <w:r w:rsidRPr="007C3060">
              <w:t>105 771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7C628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DC7602" w14:textId="77777777" w:rsidR="000A2A2B" w:rsidRPr="007C3060" w:rsidRDefault="000A2A2B" w:rsidP="007C3060">
            <w:r w:rsidRPr="007C3060">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A827F0" w14:textId="77777777" w:rsidR="000A2A2B" w:rsidRPr="007C3060" w:rsidRDefault="000A2A2B" w:rsidP="007C3060">
            <w:r w:rsidRPr="007C3060">
              <w:t>106 771</w:t>
            </w:r>
          </w:p>
        </w:tc>
      </w:tr>
      <w:tr w:rsidR="004B729E" w:rsidRPr="007C3060" w14:paraId="57778DA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F244BFC" w14:textId="77777777" w:rsidR="000A2A2B" w:rsidRPr="007C3060" w:rsidRDefault="000A2A2B" w:rsidP="007C3060">
            <w:r w:rsidRPr="007C3060">
              <w:t>2470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E83E40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CFC672" w14:textId="77777777" w:rsidR="000A2A2B" w:rsidRPr="007C3060" w:rsidRDefault="000A2A2B" w:rsidP="007C3060">
            <w:r w:rsidRPr="007C3060">
              <w:t>Statens pensjonskasse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FCDE74"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EED63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9CE02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50591D" w14:textId="77777777" w:rsidR="000A2A2B" w:rsidRPr="007C3060" w:rsidRDefault="000A2A2B" w:rsidP="007C3060"/>
        </w:tc>
      </w:tr>
      <w:tr w:rsidR="004B729E" w:rsidRPr="007C3060" w14:paraId="794B4ED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082B4B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15A7610" w14:textId="77777777" w:rsidR="000A2A2B" w:rsidRPr="007C3060" w:rsidRDefault="000A2A2B" w:rsidP="007C3060">
            <w:r w:rsidRPr="007C3060">
              <w:t>24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703183" w14:textId="77777777" w:rsidR="000A2A2B" w:rsidRPr="007C3060" w:rsidRDefault="000A2A2B" w:rsidP="007C3060">
            <w:r w:rsidRPr="007C3060">
              <w:t>Driftsresultat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281F11" w14:textId="77777777" w:rsidR="000A2A2B" w:rsidRPr="007C3060" w:rsidRDefault="000A2A2B" w:rsidP="007C3060">
            <w:r w:rsidRPr="007C3060">
              <w:t>-20 000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3CBD0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2C4D99" w14:textId="77777777" w:rsidR="000A2A2B" w:rsidRPr="007C3060" w:rsidRDefault="000A2A2B" w:rsidP="007C3060">
            <w:r w:rsidRPr="007C3060">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A9A5D3" w14:textId="77777777" w:rsidR="000A2A2B" w:rsidRPr="007C3060" w:rsidRDefault="000A2A2B" w:rsidP="007C3060">
            <w:r w:rsidRPr="007C3060">
              <w:t>-20 000</w:t>
            </w:r>
          </w:p>
        </w:tc>
      </w:tr>
      <w:tr w:rsidR="004B729E" w:rsidRPr="007C3060" w14:paraId="5B425CF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91B867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00325E1" w14:textId="77777777" w:rsidR="000A2A2B" w:rsidRPr="007C3060" w:rsidRDefault="000A2A2B" w:rsidP="007C3060">
            <w:r w:rsidRPr="007C306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D0F29E" w14:textId="77777777" w:rsidR="000A2A2B" w:rsidRPr="007C3060" w:rsidRDefault="000A2A2B" w:rsidP="007C3060">
            <w:r w:rsidRPr="007C3060">
              <w:t xml:space="preserve">Større utstyrsanskaffelser og vedlikehold,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F874FB" w14:textId="77777777" w:rsidR="000A2A2B" w:rsidRPr="007C3060" w:rsidRDefault="000A2A2B" w:rsidP="007C3060">
            <w:r w:rsidRPr="007C3060">
              <w:t>178 960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ACBC5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C32D4D" w14:textId="77777777" w:rsidR="000A2A2B" w:rsidRPr="007C3060" w:rsidRDefault="000A2A2B" w:rsidP="007C3060">
            <w:r w:rsidRPr="007C3060">
              <w:t>21 000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ADC3EE" w14:textId="77777777" w:rsidR="000A2A2B" w:rsidRPr="007C3060" w:rsidRDefault="000A2A2B" w:rsidP="007C3060">
            <w:r w:rsidRPr="007C3060">
              <w:t>199 960</w:t>
            </w:r>
          </w:p>
        </w:tc>
      </w:tr>
      <w:tr w:rsidR="004B729E" w:rsidRPr="007C3060" w14:paraId="5E460629"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BF4A7CD" w14:textId="77777777" w:rsidR="000A2A2B" w:rsidRPr="007C3060" w:rsidRDefault="000A2A2B" w:rsidP="007C3060">
            <w:r w:rsidRPr="007C3060">
              <w:t>Sum endringer Statens forvaltningsbedrifter</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3D62EEE"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AD31091"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E2F55AE" w14:textId="77777777" w:rsidR="000A2A2B" w:rsidRPr="007C3060" w:rsidRDefault="000A2A2B" w:rsidP="007C3060">
            <w:r w:rsidRPr="007C3060">
              <w:t>125 500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8F6C73B" w14:textId="77777777" w:rsidR="000A2A2B" w:rsidRPr="007C3060" w:rsidRDefault="000A2A2B" w:rsidP="007C3060"/>
        </w:tc>
      </w:tr>
      <w:tr w:rsidR="004B729E" w:rsidRPr="007C3060" w14:paraId="0325F9C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F674A08" w14:textId="77777777" w:rsidR="000A2A2B" w:rsidRPr="007C3060" w:rsidRDefault="000A2A2B" w:rsidP="007C3060">
            <w:r w:rsidRPr="007C3060">
              <w:t>2530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88FE766"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AD33BC" w14:textId="77777777" w:rsidR="000A2A2B" w:rsidRPr="007C3060" w:rsidRDefault="000A2A2B" w:rsidP="007C3060">
            <w:r w:rsidRPr="007C3060">
              <w:t>Foreldrepenger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A67A8D"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B86976"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B29F7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9CA300" w14:textId="77777777" w:rsidR="000A2A2B" w:rsidRPr="007C3060" w:rsidRDefault="000A2A2B" w:rsidP="007C3060"/>
        </w:tc>
      </w:tr>
      <w:tr w:rsidR="004B729E" w:rsidRPr="007C3060" w14:paraId="746E5D8D"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2EB819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FD81A5B"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78205A" w14:textId="6EE01F61" w:rsidR="000A2A2B" w:rsidRPr="007C3060" w:rsidRDefault="000A2A2B" w:rsidP="007C3060">
            <w:r w:rsidRPr="007C3060">
              <w:t xml:space="preserve">Foreldrepenger ved fødsel,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7DE9F2" w14:textId="77777777" w:rsidR="000A2A2B" w:rsidRPr="007C3060" w:rsidRDefault="000A2A2B" w:rsidP="007C3060">
            <w:r w:rsidRPr="007C3060">
              <w:t>27 500 000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84CD2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BFC5CF" w14:textId="77777777" w:rsidR="000A2A2B" w:rsidRPr="007C3060" w:rsidRDefault="000A2A2B" w:rsidP="007C3060">
            <w:r w:rsidRPr="007C3060">
              <w:t>950 000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147236" w14:textId="77777777" w:rsidR="000A2A2B" w:rsidRPr="007C3060" w:rsidRDefault="000A2A2B" w:rsidP="007C3060">
            <w:r w:rsidRPr="007C3060">
              <w:t>28 450 000</w:t>
            </w:r>
          </w:p>
        </w:tc>
      </w:tr>
      <w:tr w:rsidR="004B729E" w:rsidRPr="007C3060" w14:paraId="5B9CBABB"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907E58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EFE51D3"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95F24F" w14:textId="77777777" w:rsidR="000A2A2B" w:rsidRPr="007C3060" w:rsidRDefault="000A2A2B" w:rsidP="007C3060">
            <w:r w:rsidRPr="007C3060">
              <w:t xml:space="preserve">Engangsstønad ved fødsel og adopsjon,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7D6E55" w14:textId="77777777" w:rsidR="000A2A2B" w:rsidRPr="007C3060" w:rsidRDefault="000A2A2B" w:rsidP="007C3060">
            <w:r w:rsidRPr="007C3060">
              <w:t>615 000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FE7E1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38B9BB" w14:textId="77777777" w:rsidR="000A2A2B" w:rsidRPr="007C3060" w:rsidRDefault="000A2A2B" w:rsidP="007C3060">
            <w:r w:rsidRPr="007C3060">
              <w:t>-25 000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3A38AB" w14:textId="77777777" w:rsidR="000A2A2B" w:rsidRPr="007C3060" w:rsidRDefault="000A2A2B" w:rsidP="007C3060">
            <w:r w:rsidRPr="007C3060">
              <w:t>590 000</w:t>
            </w:r>
          </w:p>
        </w:tc>
      </w:tr>
      <w:tr w:rsidR="004B729E" w:rsidRPr="007C3060" w14:paraId="321BC98C"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6B4842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63DCAEA"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9E668C" w14:textId="5EFEF5AE" w:rsidR="000A2A2B" w:rsidRPr="007C3060" w:rsidRDefault="000A2A2B" w:rsidP="007C3060">
            <w:r w:rsidRPr="007C3060">
              <w:t xml:space="preserve">Feriepenger av foreldrepenger,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D0E64B" w14:textId="77777777" w:rsidR="000A2A2B" w:rsidRPr="007C3060" w:rsidRDefault="000A2A2B" w:rsidP="007C3060">
            <w:r w:rsidRPr="007C3060">
              <w:t>665 000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1FB87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F58D2A" w14:textId="77777777" w:rsidR="000A2A2B" w:rsidRPr="007C3060" w:rsidRDefault="000A2A2B" w:rsidP="007C3060">
            <w:r w:rsidRPr="007C3060">
              <w:t>60 000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358AD4" w14:textId="77777777" w:rsidR="000A2A2B" w:rsidRPr="007C3060" w:rsidRDefault="000A2A2B" w:rsidP="007C3060">
            <w:r w:rsidRPr="007C3060">
              <w:t>725 000</w:t>
            </w:r>
          </w:p>
        </w:tc>
      </w:tr>
      <w:tr w:rsidR="004B729E" w:rsidRPr="007C3060" w14:paraId="3FD9399C"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F0FD43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D4DA324"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786F79" w14:textId="52B759DB" w:rsidR="000A2A2B" w:rsidRPr="007C3060" w:rsidRDefault="000A2A2B" w:rsidP="007C3060">
            <w:r w:rsidRPr="007C3060">
              <w:t xml:space="preserve">Foreldrepenger ved adopsjon,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59552A" w14:textId="77777777" w:rsidR="000A2A2B" w:rsidRPr="007C3060" w:rsidRDefault="000A2A2B" w:rsidP="007C3060">
            <w:r w:rsidRPr="007C3060">
              <w:t>28 000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250EC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B52FC1" w14:textId="77777777" w:rsidR="000A2A2B" w:rsidRPr="007C3060" w:rsidRDefault="000A2A2B" w:rsidP="007C3060">
            <w:r w:rsidRPr="007C3060">
              <w:t>-7 000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F5C6D3" w14:textId="77777777" w:rsidR="000A2A2B" w:rsidRPr="007C3060" w:rsidRDefault="000A2A2B" w:rsidP="007C3060">
            <w:r w:rsidRPr="007C3060">
              <w:t>21 000</w:t>
            </w:r>
          </w:p>
        </w:tc>
      </w:tr>
      <w:tr w:rsidR="004B729E" w:rsidRPr="007C3060" w14:paraId="66AED8C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B83EEEA" w14:textId="77777777" w:rsidR="000A2A2B" w:rsidRPr="007C3060" w:rsidRDefault="000A2A2B" w:rsidP="007C3060">
            <w:r w:rsidRPr="007C3060">
              <w:t>2541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F71474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C9029B" w14:textId="77777777" w:rsidR="000A2A2B" w:rsidRPr="007C3060" w:rsidRDefault="000A2A2B" w:rsidP="007C3060">
            <w:r w:rsidRPr="007C3060">
              <w:t>Dagpenger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75BF8A"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41D2B2"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3CCE0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B8DACD" w14:textId="77777777" w:rsidR="000A2A2B" w:rsidRPr="007C3060" w:rsidRDefault="000A2A2B" w:rsidP="007C3060"/>
        </w:tc>
      </w:tr>
      <w:tr w:rsidR="004B729E" w:rsidRPr="007C3060" w14:paraId="6278C98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CBEBF6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CC2ABD7"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471884" w14:textId="77777777" w:rsidR="000A2A2B" w:rsidRPr="007C3060" w:rsidRDefault="000A2A2B" w:rsidP="007C3060">
            <w:r w:rsidRPr="007C3060">
              <w:t xml:space="preserve">Dagpenger,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846FC0" w14:textId="77777777" w:rsidR="000A2A2B" w:rsidRPr="007C3060" w:rsidRDefault="000A2A2B" w:rsidP="007C3060">
            <w:r w:rsidRPr="007C3060">
              <w:t>14 315 000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BFCC8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161E3A" w14:textId="77777777" w:rsidR="000A2A2B" w:rsidRPr="007C3060" w:rsidRDefault="000A2A2B" w:rsidP="007C3060">
            <w:r w:rsidRPr="007C3060">
              <w:t>1 005 000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925FFA" w14:textId="77777777" w:rsidR="000A2A2B" w:rsidRPr="007C3060" w:rsidRDefault="000A2A2B" w:rsidP="007C3060">
            <w:r w:rsidRPr="007C3060">
              <w:t>15 320 000</w:t>
            </w:r>
          </w:p>
        </w:tc>
      </w:tr>
      <w:tr w:rsidR="004B729E" w:rsidRPr="007C3060" w14:paraId="0903226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ED8BD86" w14:textId="77777777" w:rsidR="000A2A2B" w:rsidRPr="007C3060" w:rsidRDefault="000A2A2B" w:rsidP="007C3060">
            <w:r w:rsidRPr="007C3060">
              <w:t>2542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BEBAA53"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F21A87" w14:textId="77777777" w:rsidR="000A2A2B" w:rsidRPr="007C3060" w:rsidRDefault="000A2A2B" w:rsidP="007C3060">
            <w:r w:rsidRPr="007C3060">
              <w:t>Statsgaranti for lønnskrav ved konkurs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F087EE"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9B9BF6"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BB18C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B2D0DB" w14:textId="77777777" w:rsidR="000A2A2B" w:rsidRPr="007C3060" w:rsidRDefault="000A2A2B" w:rsidP="007C3060"/>
        </w:tc>
      </w:tr>
      <w:tr w:rsidR="004B729E" w:rsidRPr="007C3060" w14:paraId="0DBFAF4E"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84A74E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B74567B"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2670DD" w14:textId="77777777" w:rsidR="000A2A2B" w:rsidRPr="007C3060" w:rsidRDefault="000A2A2B" w:rsidP="007C3060">
            <w:r w:rsidRPr="007C3060">
              <w:t xml:space="preserve">Statsgaranti for lønnskrav ved konkurs mv.,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C4D9BA" w14:textId="77777777" w:rsidR="000A2A2B" w:rsidRPr="007C3060" w:rsidRDefault="000A2A2B" w:rsidP="007C3060">
            <w:r w:rsidRPr="007C3060">
              <w:t>980 000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E18FC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54E17D" w14:textId="77777777" w:rsidR="000A2A2B" w:rsidRPr="007C3060" w:rsidRDefault="000A2A2B" w:rsidP="007C3060">
            <w:r w:rsidRPr="007C3060">
              <w:t>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5B5459" w14:textId="77777777" w:rsidR="000A2A2B" w:rsidRPr="007C3060" w:rsidRDefault="000A2A2B" w:rsidP="007C3060">
            <w:r w:rsidRPr="007C3060">
              <w:t>1 030 000</w:t>
            </w:r>
          </w:p>
        </w:tc>
      </w:tr>
      <w:tr w:rsidR="004B729E" w:rsidRPr="007C3060" w14:paraId="21F6B29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DB4F611" w14:textId="77777777" w:rsidR="000A2A2B" w:rsidRPr="007C3060" w:rsidRDefault="000A2A2B" w:rsidP="007C3060">
            <w:r w:rsidRPr="007C3060">
              <w:t>2620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2509C86"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91C348" w14:textId="77777777" w:rsidR="000A2A2B" w:rsidRPr="007C3060" w:rsidRDefault="000A2A2B" w:rsidP="007C3060">
            <w:r w:rsidRPr="007C3060">
              <w:t>Stønad til enslig mor eller far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FD6BB7"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19F4B1"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CD006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94F138" w14:textId="77777777" w:rsidR="000A2A2B" w:rsidRPr="007C3060" w:rsidRDefault="000A2A2B" w:rsidP="007C3060"/>
        </w:tc>
      </w:tr>
      <w:tr w:rsidR="004B729E" w:rsidRPr="007C3060" w14:paraId="2300C74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02EC62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D751BA3"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B22903" w14:textId="77777777" w:rsidR="000A2A2B" w:rsidRPr="007C3060" w:rsidRDefault="000A2A2B" w:rsidP="007C3060">
            <w:r w:rsidRPr="007C3060">
              <w:t xml:space="preserve">Overgangsstønad,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DC280B" w14:textId="77777777" w:rsidR="000A2A2B" w:rsidRPr="007C3060" w:rsidRDefault="000A2A2B" w:rsidP="007C3060">
            <w:r w:rsidRPr="007C3060">
              <w:t>1 660 000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F8DA3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D7DD2C" w14:textId="77777777" w:rsidR="000A2A2B" w:rsidRPr="007C3060" w:rsidRDefault="000A2A2B" w:rsidP="007C3060">
            <w:r w:rsidRPr="007C3060">
              <w:t>-75 000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4CCA7C" w14:textId="77777777" w:rsidR="000A2A2B" w:rsidRPr="007C3060" w:rsidRDefault="000A2A2B" w:rsidP="007C3060">
            <w:r w:rsidRPr="007C3060">
              <w:t>1 585 000</w:t>
            </w:r>
          </w:p>
        </w:tc>
      </w:tr>
      <w:tr w:rsidR="004B729E" w:rsidRPr="007C3060" w14:paraId="57AC07F8"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FEA76B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0D8341A"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538E27" w14:textId="77777777" w:rsidR="000A2A2B" w:rsidRPr="007C3060" w:rsidRDefault="000A2A2B" w:rsidP="007C3060">
            <w:r w:rsidRPr="007C3060">
              <w:t xml:space="preserve">Stønad til barnetilsyn til enslig mor eller far i arbeid,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815DAA" w14:textId="77777777" w:rsidR="000A2A2B" w:rsidRPr="007C3060" w:rsidRDefault="000A2A2B" w:rsidP="007C3060">
            <w:r w:rsidRPr="007C3060">
              <w:t>77 000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F3010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7B1AD9" w14:textId="77777777" w:rsidR="000A2A2B" w:rsidRPr="007C3060" w:rsidRDefault="000A2A2B" w:rsidP="007C3060">
            <w:r w:rsidRPr="007C3060">
              <w:t>-15 000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C1BE3D" w14:textId="77777777" w:rsidR="000A2A2B" w:rsidRPr="007C3060" w:rsidRDefault="000A2A2B" w:rsidP="007C3060">
            <w:r w:rsidRPr="007C3060">
              <w:t>62 000</w:t>
            </w:r>
          </w:p>
        </w:tc>
      </w:tr>
      <w:tr w:rsidR="004B729E" w:rsidRPr="007C3060" w14:paraId="3B4518C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7DBA9ED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B6B9D13"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75EA7F" w14:textId="76240D38" w:rsidR="000A2A2B" w:rsidRPr="007C3060" w:rsidRDefault="000A2A2B" w:rsidP="007C3060">
            <w:r w:rsidRPr="007C3060">
              <w:t xml:space="preserve">Tilleggsstønader og stønad til skolepenger,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B1E912" w14:textId="77777777" w:rsidR="000A2A2B" w:rsidRPr="007C3060" w:rsidRDefault="000A2A2B" w:rsidP="007C3060">
            <w:r w:rsidRPr="007C3060">
              <w:t>13 000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4736B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0A3EBB" w14:textId="77777777" w:rsidR="000A2A2B" w:rsidRPr="007C3060" w:rsidRDefault="000A2A2B" w:rsidP="007C3060">
            <w:r w:rsidRPr="007C3060">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154D59" w14:textId="77777777" w:rsidR="000A2A2B" w:rsidRPr="007C3060" w:rsidRDefault="000A2A2B" w:rsidP="007C3060">
            <w:r w:rsidRPr="007C3060">
              <w:t>9 000</w:t>
            </w:r>
          </w:p>
        </w:tc>
      </w:tr>
      <w:tr w:rsidR="004B729E" w:rsidRPr="007C3060" w14:paraId="51794CD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4D3E1FB" w14:textId="77777777" w:rsidR="000A2A2B" w:rsidRPr="007C3060" w:rsidRDefault="000A2A2B" w:rsidP="007C3060">
            <w:r w:rsidRPr="007C3060">
              <w:lastRenderedPageBreak/>
              <w:t>2650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F913EA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1DC97C" w14:textId="77777777" w:rsidR="000A2A2B" w:rsidRPr="007C3060" w:rsidRDefault="000A2A2B" w:rsidP="007C3060">
            <w:r w:rsidRPr="007C3060">
              <w:t>Sykepenger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C7900E"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EE6C96"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C887F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13ED0A" w14:textId="77777777" w:rsidR="000A2A2B" w:rsidRPr="007C3060" w:rsidRDefault="000A2A2B" w:rsidP="007C3060"/>
        </w:tc>
      </w:tr>
      <w:tr w:rsidR="004B729E" w:rsidRPr="007C3060" w14:paraId="716E62AB"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5865E8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EE634C4"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833278" w14:textId="601C0498" w:rsidR="000A2A2B" w:rsidRPr="007C3060" w:rsidRDefault="000A2A2B" w:rsidP="007C3060">
            <w:r w:rsidRPr="007C3060">
              <w:t xml:space="preserve">Sykepenger for arbeidstakere mv.,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341BC2" w14:textId="77777777" w:rsidR="000A2A2B" w:rsidRPr="007C3060" w:rsidRDefault="000A2A2B" w:rsidP="007C3060">
            <w:r w:rsidRPr="007C3060">
              <w:t>62 220 000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19A61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0668B3" w14:textId="77777777" w:rsidR="000A2A2B" w:rsidRPr="007C3060" w:rsidRDefault="000A2A2B" w:rsidP="007C3060">
            <w:r w:rsidRPr="007C3060">
              <w:t>490 000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EB5D7D" w14:textId="77777777" w:rsidR="000A2A2B" w:rsidRPr="007C3060" w:rsidRDefault="000A2A2B" w:rsidP="007C3060">
            <w:r w:rsidRPr="007C3060">
              <w:t>62 710 000</w:t>
            </w:r>
          </w:p>
        </w:tc>
      </w:tr>
      <w:tr w:rsidR="004B729E" w:rsidRPr="007C3060" w14:paraId="02754CDC"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2CC274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D0C34BF"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506EAF" w14:textId="77777777" w:rsidR="000A2A2B" w:rsidRPr="007C3060" w:rsidRDefault="000A2A2B" w:rsidP="007C3060">
            <w:r w:rsidRPr="007C3060">
              <w:t xml:space="preserve">Sykepenger for selvstendige,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B30D9D" w14:textId="77777777" w:rsidR="000A2A2B" w:rsidRPr="007C3060" w:rsidRDefault="000A2A2B" w:rsidP="007C3060">
            <w:r w:rsidRPr="007C3060">
              <w:t>1 940 000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1DF1E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D75CFB" w14:textId="77777777" w:rsidR="000A2A2B" w:rsidRPr="007C3060" w:rsidRDefault="000A2A2B" w:rsidP="007C3060">
            <w:r w:rsidRPr="007C3060">
              <w:t>40 000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16D1A4" w14:textId="77777777" w:rsidR="000A2A2B" w:rsidRPr="007C3060" w:rsidRDefault="000A2A2B" w:rsidP="007C3060">
            <w:r w:rsidRPr="007C3060">
              <w:t>1 980 000</w:t>
            </w:r>
          </w:p>
        </w:tc>
      </w:tr>
      <w:tr w:rsidR="004B729E" w:rsidRPr="007C3060" w14:paraId="088B69B7"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91243F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CC5ABAD"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57F9FE" w14:textId="77777777" w:rsidR="000A2A2B" w:rsidRPr="007C3060" w:rsidRDefault="000A2A2B" w:rsidP="007C3060">
            <w:r w:rsidRPr="007C3060">
              <w:t xml:space="preserve">Pleie-, opplærings- og omsorgspenger mv.,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1E5FB6" w14:textId="77777777" w:rsidR="000A2A2B" w:rsidRPr="007C3060" w:rsidRDefault="000A2A2B" w:rsidP="007C3060">
            <w:r w:rsidRPr="007C3060">
              <w:t>3 520 000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4AAC2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BBF2C5" w14:textId="77777777" w:rsidR="000A2A2B" w:rsidRPr="007C3060" w:rsidRDefault="000A2A2B" w:rsidP="007C3060">
            <w:r w:rsidRPr="007C3060">
              <w:t>590 000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5D40CB" w14:textId="77777777" w:rsidR="000A2A2B" w:rsidRPr="007C3060" w:rsidRDefault="000A2A2B" w:rsidP="007C3060">
            <w:r w:rsidRPr="007C3060">
              <w:t>4 110 000</w:t>
            </w:r>
          </w:p>
        </w:tc>
      </w:tr>
      <w:tr w:rsidR="004B729E" w:rsidRPr="007C3060" w14:paraId="3AA86AF8" w14:textId="77777777">
        <w:trPr>
          <w:trHeight w:val="64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67634D45" w14:textId="77777777" w:rsidR="000A2A2B" w:rsidRPr="007C3060" w:rsidRDefault="000A2A2B" w:rsidP="007C3060"/>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67984E52" w14:textId="77777777" w:rsidR="000A2A2B" w:rsidRPr="007C3060" w:rsidRDefault="000A2A2B" w:rsidP="007C3060">
            <w:r w:rsidRPr="007C3060">
              <w:t>75</w:t>
            </w:r>
          </w:p>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9017C19" w14:textId="2DE920BF" w:rsidR="000A2A2B" w:rsidRPr="007C3060" w:rsidRDefault="000A2A2B" w:rsidP="007C3060">
            <w:r w:rsidRPr="007C3060">
              <w:t xml:space="preserve">Feriepenger av sykepenger, </w:t>
            </w:r>
            <w:r w:rsidRPr="007C3060">
              <w:rPr>
                <w:rStyle w:val="kursiv"/>
              </w:rPr>
              <w:t>overslagsbevilgning</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902C2E5" w14:textId="77777777" w:rsidR="000A2A2B" w:rsidRPr="007C3060" w:rsidRDefault="000A2A2B" w:rsidP="007C3060">
            <w:r w:rsidRPr="007C3060">
              <w:t>3 520 000</w:t>
            </w:r>
          </w:p>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9FB8FAC" w14:textId="77777777" w:rsidR="000A2A2B" w:rsidRPr="007C3060" w:rsidRDefault="000A2A2B" w:rsidP="007C3060">
            <w:r w:rsidRPr="007C3060">
              <w:t>-</w:t>
            </w:r>
          </w:p>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2C3BA6F" w14:textId="77777777" w:rsidR="000A2A2B" w:rsidRPr="007C3060" w:rsidRDefault="000A2A2B" w:rsidP="007C3060">
            <w:r w:rsidRPr="007C3060">
              <w:t>40 000</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9D42551" w14:textId="77777777" w:rsidR="000A2A2B" w:rsidRPr="007C3060" w:rsidRDefault="000A2A2B" w:rsidP="007C3060">
            <w:r w:rsidRPr="007C3060">
              <w:t>3 560 000</w:t>
            </w:r>
          </w:p>
        </w:tc>
      </w:tr>
      <w:tr w:rsidR="004B729E" w:rsidRPr="007C3060" w14:paraId="2D3AD1D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A1C7E1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21D2113" w14:textId="77777777" w:rsidR="000A2A2B" w:rsidRPr="007C3060" w:rsidRDefault="000A2A2B" w:rsidP="007C3060">
            <w:r w:rsidRPr="007C306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8ABA02" w14:textId="77777777" w:rsidR="000A2A2B" w:rsidRPr="007C3060" w:rsidRDefault="000A2A2B" w:rsidP="007C3060">
            <w:r w:rsidRPr="007C3060">
              <w:t xml:space="preserve">Tilskudd til ekspertbistand, </w:t>
            </w:r>
            <w:r w:rsidRPr="007C3060">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0EABFA" w14:textId="77777777" w:rsidR="000A2A2B" w:rsidRPr="007C3060" w:rsidRDefault="000A2A2B" w:rsidP="007C3060">
            <w:r w:rsidRPr="007C3060">
              <w:t>97 500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E87A1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A0063E" w14:textId="77777777" w:rsidR="000A2A2B" w:rsidRPr="007C3060" w:rsidRDefault="000A2A2B" w:rsidP="007C3060">
            <w:r w:rsidRPr="007C3060">
              <w:t>-46 300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1C3C1C" w14:textId="77777777" w:rsidR="000A2A2B" w:rsidRPr="007C3060" w:rsidRDefault="000A2A2B" w:rsidP="007C3060">
            <w:r w:rsidRPr="007C3060">
              <w:t>51 200</w:t>
            </w:r>
          </w:p>
        </w:tc>
      </w:tr>
      <w:tr w:rsidR="004B729E" w:rsidRPr="007C3060" w14:paraId="2E988AE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492075E" w14:textId="77777777" w:rsidR="000A2A2B" w:rsidRPr="007C3060" w:rsidRDefault="000A2A2B" w:rsidP="007C3060">
            <w:r w:rsidRPr="007C3060">
              <w:t>2651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131733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1D1B08" w14:textId="77777777" w:rsidR="000A2A2B" w:rsidRPr="007C3060" w:rsidRDefault="000A2A2B" w:rsidP="007C3060">
            <w:r w:rsidRPr="007C3060">
              <w:t>Arbeidsavklaringspenger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A2E1E3"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C0B574"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FE03E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E76EF6" w14:textId="77777777" w:rsidR="000A2A2B" w:rsidRPr="007C3060" w:rsidRDefault="000A2A2B" w:rsidP="007C3060"/>
        </w:tc>
      </w:tr>
      <w:tr w:rsidR="004B729E" w:rsidRPr="007C3060" w14:paraId="1A6E4B5A"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D15172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D263A91"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A188C4" w14:textId="77777777" w:rsidR="000A2A2B" w:rsidRPr="007C3060" w:rsidRDefault="000A2A2B" w:rsidP="007C3060">
            <w:r w:rsidRPr="007C3060">
              <w:t>Arbeidsavklaringspenger,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08BAF7" w14:textId="77777777" w:rsidR="000A2A2B" w:rsidRPr="007C3060" w:rsidRDefault="000A2A2B" w:rsidP="007C3060">
            <w:r w:rsidRPr="007C3060">
              <w:t>50 160 000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F987E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E03BAE" w14:textId="77777777" w:rsidR="000A2A2B" w:rsidRPr="007C3060" w:rsidRDefault="000A2A2B" w:rsidP="007C3060">
            <w:r w:rsidRPr="007C3060">
              <w:t>1 130 000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5E5EFA" w14:textId="77777777" w:rsidR="000A2A2B" w:rsidRPr="007C3060" w:rsidRDefault="000A2A2B" w:rsidP="007C3060">
            <w:r w:rsidRPr="007C3060">
              <w:t>51 290 000</w:t>
            </w:r>
          </w:p>
        </w:tc>
      </w:tr>
      <w:tr w:rsidR="004B729E" w:rsidRPr="007C3060" w14:paraId="0832248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44D8DD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E4667C2"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077FB3" w14:textId="77777777" w:rsidR="000A2A2B" w:rsidRPr="007C3060" w:rsidRDefault="000A2A2B" w:rsidP="007C3060">
            <w:r w:rsidRPr="007C3060">
              <w:t xml:space="preserve">Tilleggsstønad,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BAEA8B" w14:textId="77777777" w:rsidR="000A2A2B" w:rsidRPr="007C3060" w:rsidRDefault="000A2A2B" w:rsidP="007C3060">
            <w:r w:rsidRPr="007C3060">
              <w:t>139 000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C49B5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88C920" w14:textId="77777777" w:rsidR="000A2A2B" w:rsidRPr="007C3060" w:rsidRDefault="000A2A2B" w:rsidP="007C3060">
            <w:r w:rsidRPr="007C3060">
              <w:t>14 000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98AD02" w14:textId="77777777" w:rsidR="000A2A2B" w:rsidRPr="007C3060" w:rsidRDefault="000A2A2B" w:rsidP="007C3060">
            <w:r w:rsidRPr="007C3060">
              <w:t>153 000</w:t>
            </w:r>
          </w:p>
        </w:tc>
      </w:tr>
      <w:tr w:rsidR="004B729E" w:rsidRPr="007C3060" w14:paraId="186E610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6AF4F9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E8D2ED2"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49F565" w14:textId="77777777" w:rsidR="000A2A2B" w:rsidRPr="007C3060" w:rsidRDefault="000A2A2B" w:rsidP="007C3060">
            <w:r w:rsidRPr="007C3060">
              <w:t xml:space="preserve">Legeerklæringer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580BFF" w14:textId="77777777" w:rsidR="000A2A2B" w:rsidRPr="007C3060" w:rsidRDefault="000A2A2B" w:rsidP="007C3060">
            <w:r w:rsidRPr="007C3060">
              <w:t>490 000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D0E31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A5D98D"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97E665" w14:textId="77777777" w:rsidR="000A2A2B" w:rsidRPr="007C3060" w:rsidRDefault="000A2A2B" w:rsidP="007C3060">
            <w:r w:rsidRPr="007C3060">
              <w:t>480 000</w:t>
            </w:r>
          </w:p>
        </w:tc>
      </w:tr>
      <w:tr w:rsidR="004B729E" w:rsidRPr="007C3060" w14:paraId="19349EC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D8CDCBA" w14:textId="77777777" w:rsidR="000A2A2B" w:rsidRPr="007C3060" w:rsidRDefault="000A2A2B" w:rsidP="007C3060">
            <w:r w:rsidRPr="007C3060">
              <w:t>2655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FFCA93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F51839" w14:textId="77777777" w:rsidR="000A2A2B" w:rsidRPr="007C3060" w:rsidRDefault="000A2A2B" w:rsidP="007C3060">
            <w:r w:rsidRPr="007C3060">
              <w:t>Uførhet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AF09D0"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1858DD"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15EA2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C3D7A4" w14:textId="77777777" w:rsidR="000A2A2B" w:rsidRPr="007C3060" w:rsidRDefault="000A2A2B" w:rsidP="007C3060"/>
        </w:tc>
      </w:tr>
      <w:tr w:rsidR="004B729E" w:rsidRPr="007C3060" w14:paraId="5988375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2BADC0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596EB4E"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CDDA1E" w14:textId="77777777" w:rsidR="000A2A2B" w:rsidRPr="007C3060" w:rsidRDefault="000A2A2B" w:rsidP="007C3060">
            <w:r w:rsidRPr="007C3060">
              <w:t xml:space="preserve">Uføretrygd,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356F03" w14:textId="77777777" w:rsidR="000A2A2B" w:rsidRPr="007C3060" w:rsidRDefault="000A2A2B" w:rsidP="007C3060">
            <w:r w:rsidRPr="007C3060">
              <w:t>132 617 500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F0B62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89F8B9" w14:textId="77777777" w:rsidR="000A2A2B" w:rsidRPr="007C3060" w:rsidRDefault="000A2A2B" w:rsidP="007C3060">
            <w:r w:rsidRPr="007C3060">
              <w:t>1 252 500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17AE57" w14:textId="77777777" w:rsidR="000A2A2B" w:rsidRPr="007C3060" w:rsidRDefault="000A2A2B" w:rsidP="007C3060">
            <w:r w:rsidRPr="007C3060">
              <w:t>133 870 000</w:t>
            </w:r>
          </w:p>
        </w:tc>
      </w:tr>
      <w:tr w:rsidR="004B729E" w:rsidRPr="007C3060" w14:paraId="31871E74"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59BFE87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246BBC2" w14:textId="77777777" w:rsidR="000A2A2B" w:rsidRPr="007C3060" w:rsidRDefault="000A2A2B" w:rsidP="007C3060">
            <w:r w:rsidRPr="007C306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9DCBBB" w14:textId="2A7BAF99" w:rsidR="000A2A2B" w:rsidRPr="007C3060" w:rsidRDefault="000A2A2B" w:rsidP="007C3060">
            <w:r w:rsidRPr="007C3060">
              <w:t xml:space="preserve">Menerstatning ved yrkesskade,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9D9EFF" w14:textId="77777777" w:rsidR="000A2A2B" w:rsidRPr="007C3060" w:rsidRDefault="000A2A2B" w:rsidP="007C3060">
            <w:r w:rsidRPr="007C3060">
              <w:t>68 000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E9833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5BA201" w14:textId="77777777" w:rsidR="000A2A2B" w:rsidRPr="007C3060" w:rsidRDefault="000A2A2B" w:rsidP="007C3060">
            <w:r w:rsidRPr="007C3060">
              <w:t>19 000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62F614" w14:textId="77777777" w:rsidR="000A2A2B" w:rsidRPr="007C3060" w:rsidRDefault="000A2A2B" w:rsidP="007C3060">
            <w:r w:rsidRPr="007C3060">
              <w:t>87 000</w:t>
            </w:r>
          </w:p>
        </w:tc>
      </w:tr>
      <w:tr w:rsidR="004B729E" w:rsidRPr="007C3060" w14:paraId="2BC08C12"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7A8230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854AA0B" w14:textId="77777777" w:rsidR="000A2A2B" w:rsidRPr="007C3060" w:rsidRDefault="000A2A2B" w:rsidP="007C3060">
            <w:r w:rsidRPr="007C306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0C546A" w14:textId="639A1DF2" w:rsidR="000A2A2B" w:rsidRPr="007C3060" w:rsidRDefault="000A2A2B" w:rsidP="007C3060">
            <w:r w:rsidRPr="007C3060">
              <w:t xml:space="preserve">Yrkesskadetrygd gml. lovgivning,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0F606A" w14:textId="77777777" w:rsidR="000A2A2B" w:rsidRPr="007C3060" w:rsidRDefault="000A2A2B" w:rsidP="007C3060">
            <w:r w:rsidRPr="007C3060">
              <w:t>30 000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F2B0A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6FD11B" w14:textId="77777777" w:rsidR="000A2A2B" w:rsidRPr="007C3060" w:rsidRDefault="000A2A2B" w:rsidP="007C3060">
            <w:r w:rsidRPr="007C3060">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B5DBDE" w14:textId="77777777" w:rsidR="000A2A2B" w:rsidRPr="007C3060" w:rsidRDefault="000A2A2B" w:rsidP="007C3060">
            <w:r w:rsidRPr="007C3060">
              <w:t>28 000</w:t>
            </w:r>
          </w:p>
        </w:tc>
      </w:tr>
      <w:tr w:rsidR="004B729E" w:rsidRPr="007C3060" w14:paraId="0635FE3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4CA5FC4" w14:textId="77777777" w:rsidR="000A2A2B" w:rsidRPr="007C3060" w:rsidRDefault="000A2A2B" w:rsidP="007C3060">
            <w:r w:rsidRPr="007C3060">
              <w:t>2661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2C891C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8D8C9B" w14:textId="77777777" w:rsidR="000A2A2B" w:rsidRPr="007C3060" w:rsidRDefault="000A2A2B" w:rsidP="007C3060">
            <w:r w:rsidRPr="007C3060">
              <w:t>Grunn- og hjelpestønad, hjelpemidler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58062C"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F1CD74"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63C49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78B7F4" w14:textId="77777777" w:rsidR="000A2A2B" w:rsidRPr="007C3060" w:rsidRDefault="000A2A2B" w:rsidP="007C3060"/>
        </w:tc>
      </w:tr>
      <w:tr w:rsidR="004B729E" w:rsidRPr="007C3060" w14:paraId="6413183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06606A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51B095E"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4331EB" w14:textId="77777777" w:rsidR="000A2A2B" w:rsidRPr="007C3060" w:rsidRDefault="000A2A2B" w:rsidP="007C3060">
            <w:r w:rsidRPr="007C3060">
              <w:t xml:space="preserve">Grunnstønad,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DEC4E2" w14:textId="77777777" w:rsidR="000A2A2B" w:rsidRPr="007C3060" w:rsidRDefault="000A2A2B" w:rsidP="007C3060">
            <w:r w:rsidRPr="007C3060">
              <w:t>1 852 700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33FB0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31143A" w14:textId="77777777" w:rsidR="000A2A2B" w:rsidRPr="007C3060" w:rsidRDefault="000A2A2B" w:rsidP="007C3060">
            <w:r w:rsidRPr="007C3060">
              <w:t>7 300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E1DE1F" w14:textId="77777777" w:rsidR="000A2A2B" w:rsidRPr="007C3060" w:rsidRDefault="000A2A2B" w:rsidP="007C3060">
            <w:r w:rsidRPr="007C3060">
              <w:t>1 860 000</w:t>
            </w:r>
          </w:p>
        </w:tc>
      </w:tr>
      <w:tr w:rsidR="004B729E" w:rsidRPr="007C3060" w14:paraId="3302A48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B94BE5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457BB19"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B1623B" w14:textId="77777777" w:rsidR="000A2A2B" w:rsidRPr="007C3060" w:rsidRDefault="000A2A2B" w:rsidP="007C3060">
            <w:r w:rsidRPr="007C3060">
              <w:t xml:space="preserve">Hjelpestønad,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125B75" w14:textId="77777777" w:rsidR="000A2A2B" w:rsidRPr="007C3060" w:rsidRDefault="000A2A2B" w:rsidP="007C3060">
            <w:r w:rsidRPr="007C3060">
              <w:t>2 522 000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4B722B"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67AD38" w14:textId="77777777" w:rsidR="000A2A2B" w:rsidRPr="007C3060" w:rsidRDefault="000A2A2B" w:rsidP="007C3060">
            <w:r w:rsidRPr="007C3060">
              <w:t>38 000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6D0FC4" w14:textId="77777777" w:rsidR="000A2A2B" w:rsidRPr="007C3060" w:rsidRDefault="000A2A2B" w:rsidP="007C3060">
            <w:r w:rsidRPr="007C3060">
              <w:t>2 560 000</w:t>
            </w:r>
          </w:p>
        </w:tc>
      </w:tr>
      <w:tr w:rsidR="004B729E" w:rsidRPr="007C3060" w14:paraId="67BD8B8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76F809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BA56371"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E4DB89" w14:textId="77777777" w:rsidR="000A2A2B" w:rsidRPr="007C3060" w:rsidRDefault="000A2A2B" w:rsidP="007C3060">
            <w:r w:rsidRPr="007C3060">
              <w:t xml:space="preserve">Stønad til servicehund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C70FC7" w14:textId="77777777" w:rsidR="000A2A2B" w:rsidRPr="007C3060" w:rsidRDefault="000A2A2B" w:rsidP="007C3060">
            <w:r w:rsidRPr="007C3060">
              <w:t>10 280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B52C9E"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7D95BE" w14:textId="77777777" w:rsidR="000A2A2B" w:rsidRPr="007C3060" w:rsidRDefault="000A2A2B" w:rsidP="007C3060">
            <w:r w:rsidRPr="007C3060">
              <w:t>3 300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E68D0A" w14:textId="77777777" w:rsidR="000A2A2B" w:rsidRPr="007C3060" w:rsidRDefault="000A2A2B" w:rsidP="007C3060">
            <w:r w:rsidRPr="007C3060">
              <w:t>13 580</w:t>
            </w:r>
          </w:p>
        </w:tc>
      </w:tr>
      <w:tr w:rsidR="004B729E" w:rsidRPr="007C3060" w14:paraId="592B7F53"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6D9DA9A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4826B0C"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517D1C" w14:textId="660C3C86" w:rsidR="000A2A2B" w:rsidRPr="007C3060" w:rsidRDefault="000A2A2B" w:rsidP="007C3060">
            <w:r w:rsidRPr="007C3060">
              <w:t xml:space="preserve">Hjelpemidler mv. under arbeid og utdanning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39552B" w14:textId="77777777" w:rsidR="000A2A2B" w:rsidRPr="007C3060" w:rsidRDefault="000A2A2B" w:rsidP="007C3060">
            <w:r w:rsidRPr="007C3060">
              <w:t>139 240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851CB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ABD7B3" w14:textId="77777777" w:rsidR="000A2A2B" w:rsidRPr="007C3060" w:rsidRDefault="000A2A2B" w:rsidP="007C3060">
            <w:r w:rsidRPr="007C3060">
              <w:t>760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7EB67C" w14:textId="77777777" w:rsidR="000A2A2B" w:rsidRPr="007C3060" w:rsidRDefault="000A2A2B" w:rsidP="007C3060">
            <w:r w:rsidRPr="007C3060">
              <w:t>140 000</w:t>
            </w:r>
          </w:p>
        </w:tc>
      </w:tr>
      <w:tr w:rsidR="004B729E" w:rsidRPr="007C3060" w14:paraId="7F8A6DC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4C0698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49DE3E6" w14:textId="77777777" w:rsidR="000A2A2B" w:rsidRPr="007C3060" w:rsidRDefault="000A2A2B" w:rsidP="007C3060">
            <w:r w:rsidRPr="007C306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3C9F56" w14:textId="77777777" w:rsidR="000A2A2B" w:rsidRPr="007C3060" w:rsidRDefault="000A2A2B" w:rsidP="007C3060">
            <w:r w:rsidRPr="007C3060">
              <w:t xml:space="preserve">Tilskudd til biler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B9633D" w14:textId="77777777" w:rsidR="000A2A2B" w:rsidRPr="007C3060" w:rsidRDefault="000A2A2B" w:rsidP="007C3060">
            <w:r w:rsidRPr="007C3060">
              <w:t>809 700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20C918"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CF5E75" w14:textId="77777777" w:rsidR="000A2A2B" w:rsidRPr="007C3060" w:rsidRDefault="000A2A2B" w:rsidP="007C3060">
            <w:r w:rsidRPr="007C3060">
              <w:t>175 300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6785F2" w14:textId="77777777" w:rsidR="000A2A2B" w:rsidRPr="007C3060" w:rsidRDefault="000A2A2B" w:rsidP="007C3060">
            <w:r w:rsidRPr="007C3060">
              <w:t>985 000</w:t>
            </w:r>
          </w:p>
        </w:tc>
      </w:tr>
      <w:tr w:rsidR="004B729E" w:rsidRPr="007C3060" w14:paraId="5F0A72DC"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CA2557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AB59EE7" w14:textId="77777777" w:rsidR="000A2A2B" w:rsidRPr="007C3060" w:rsidRDefault="000A2A2B" w:rsidP="007C3060">
            <w:r w:rsidRPr="007C306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9DFAAE" w14:textId="77777777" w:rsidR="000A2A2B" w:rsidRPr="007C3060" w:rsidRDefault="000A2A2B" w:rsidP="007C3060">
            <w:r w:rsidRPr="007C3060">
              <w:t xml:space="preserve">Bedring av funksjonsevnen, hjelpemidler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6BB4D" w14:textId="77777777" w:rsidR="000A2A2B" w:rsidRPr="007C3060" w:rsidRDefault="000A2A2B" w:rsidP="007C3060">
            <w:r w:rsidRPr="007C3060">
              <w:t>5 148 100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6C6DD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BF788D" w14:textId="77777777" w:rsidR="000A2A2B" w:rsidRPr="007C3060" w:rsidRDefault="000A2A2B" w:rsidP="007C3060">
            <w:r w:rsidRPr="007C3060">
              <w:t>251 900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8074B7" w14:textId="77777777" w:rsidR="000A2A2B" w:rsidRPr="007C3060" w:rsidRDefault="000A2A2B" w:rsidP="007C3060">
            <w:r w:rsidRPr="007C3060">
              <w:t>5 400 000</w:t>
            </w:r>
          </w:p>
        </w:tc>
      </w:tr>
      <w:tr w:rsidR="004B729E" w:rsidRPr="007C3060" w14:paraId="3B2D26F3"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2EE54EB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E09B8CB" w14:textId="77777777" w:rsidR="000A2A2B" w:rsidRPr="007C3060" w:rsidRDefault="000A2A2B" w:rsidP="007C3060">
            <w:r w:rsidRPr="007C306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031651" w14:textId="77777777" w:rsidR="000A2A2B" w:rsidRPr="007C3060" w:rsidRDefault="000A2A2B" w:rsidP="007C3060">
            <w:r w:rsidRPr="007C3060">
              <w:t xml:space="preserve">Bedring av funksjonsevnen, hjelpemidler som tjenester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7C01B5" w14:textId="77777777" w:rsidR="000A2A2B" w:rsidRPr="007C3060" w:rsidRDefault="000A2A2B" w:rsidP="007C3060">
            <w:r w:rsidRPr="007C3060">
              <w:t>490 760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5A664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119BDC" w14:textId="77777777" w:rsidR="000A2A2B" w:rsidRPr="007C3060" w:rsidRDefault="000A2A2B" w:rsidP="007C3060">
            <w:r w:rsidRPr="007C3060">
              <w:t>-760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95355F" w14:textId="77777777" w:rsidR="000A2A2B" w:rsidRPr="007C3060" w:rsidRDefault="000A2A2B" w:rsidP="007C3060">
            <w:r w:rsidRPr="007C3060">
              <w:t>490 000</w:t>
            </w:r>
          </w:p>
        </w:tc>
      </w:tr>
      <w:tr w:rsidR="004B729E" w:rsidRPr="007C3060" w14:paraId="1AF2250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E3BFCE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E625F2B" w14:textId="77777777" w:rsidR="000A2A2B" w:rsidRPr="007C3060" w:rsidRDefault="000A2A2B" w:rsidP="007C3060">
            <w:r w:rsidRPr="007C3060">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E9DD5F" w14:textId="77777777" w:rsidR="000A2A2B" w:rsidRPr="007C3060" w:rsidRDefault="000A2A2B" w:rsidP="007C3060">
            <w:r w:rsidRPr="007C3060">
              <w:t xml:space="preserve">Ortopediske hjelpemidler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DE5CF3" w14:textId="77777777" w:rsidR="000A2A2B" w:rsidRPr="007C3060" w:rsidRDefault="000A2A2B" w:rsidP="007C3060">
            <w:r w:rsidRPr="007C3060">
              <w:t>2 874 800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A0D58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2BA030" w14:textId="77777777" w:rsidR="000A2A2B" w:rsidRPr="007C3060" w:rsidRDefault="000A2A2B" w:rsidP="007C3060">
            <w:r w:rsidRPr="007C3060">
              <w:t>-14 800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AD21AF" w14:textId="77777777" w:rsidR="000A2A2B" w:rsidRPr="007C3060" w:rsidRDefault="000A2A2B" w:rsidP="007C3060">
            <w:r w:rsidRPr="007C3060">
              <w:t>2 860 000</w:t>
            </w:r>
          </w:p>
        </w:tc>
      </w:tr>
      <w:tr w:rsidR="004B729E" w:rsidRPr="007C3060" w14:paraId="5B6918B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683009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ABB7208" w14:textId="77777777" w:rsidR="000A2A2B" w:rsidRPr="007C3060" w:rsidRDefault="000A2A2B" w:rsidP="007C3060">
            <w:r w:rsidRPr="007C3060">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12856F" w14:textId="77777777" w:rsidR="000A2A2B" w:rsidRPr="007C3060" w:rsidRDefault="000A2A2B" w:rsidP="007C3060">
            <w:r w:rsidRPr="007C3060">
              <w:t xml:space="preserve">Høreapparater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95B5C9" w14:textId="77777777" w:rsidR="000A2A2B" w:rsidRPr="007C3060" w:rsidRDefault="000A2A2B" w:rsidP="007C3060">
            <w:r w:rsidRPr="007C3060">
              <w:t>1 082 900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6BBE4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6F96F7" w14:textId="77777777" w:rsidR="000A2A2B" w:rsidRPr="007C3060" w:rsidRDefault="000A2A2B" w:rsidP="007C3060">
            <w:r w:rsidRPr="007C3060">
              <w:t>57 100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FF4E3C" w14:textId="77777777" w:rsidR="000A2A2B" w:rsidRPr="007C3060" w:rsidRDefault="000A2A2B" w:rsidP="007C3060">
            <w:r w:rsidRPr="007C3060">
              <w:t>1 140 000</w:t>
            </w:r>
          </w:p>
        </w:tc>
      </w:tr>
      <w:tr w:rsidR="004B729E" w:rsidRPr="007C3060" w14:paraId="371E8E58"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9E69BF7" w14:textId="77777777" w:rsidR="000A2A2B" w:rsidRPr="007C3060" w:rsidRDefault="000A2A2B" w:rsidP="007C3060">
            <w:r w:rsidRPr="007C3060">
              <w:t>2670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EFA515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100F36" w14:textId="77777777" w:rsidR="000A2A2B" w:rsidRPr="007C3060" w:rsidRDefault="000A2A2B" w:rsidP="007C3060">
            <w:r w:rsidRPr="007C3060">
              <w:t>Alderdom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246DD3"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95FE03"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3E821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10C33B" w14:textId="77777777" w:rsidR="000A2A2B" w:rsidRPr="007C3060" w:rsidRDefault="000A2A2B" w:rsidP="007C3060"/>
        </w:tc>
      </w:tr>
      <w:tr w:rsidR="004B729E" w:rsidRPr="007C3060" w14:paraId="6AF43E1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A478CA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5EABAFB"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13F564" w14:textId="77777777" w:rsidR="000A2A2B" w:rsidRPr="007C3060" w:rsidRDefault="000A2A2B" w:rsidP="007C3060">
            <w:r w:rsidRPr="007C3060">
              <w:t xml:space="preserve">Grunnpensjon,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B9DEBC" w14:textId="77777777" w:rsidR="000A2A2B" w:rsidRPr="007C3060" w:rsidRDefault="000A2A2B" w:rsidP="007C3060">
            <w:r w:rsidRPr="007C3060">
              <w:t>95 980 000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A2B13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760397" w14:textId="77777777" w:rsidR="000A2A2B" w:rsidRPr="007C3060" w:rsidRDefault="000A2A2B" w:rsidP="007C3060">
            <w:r w:rsidRPr="007C3060">
              <w:t>-300 000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74ABEB" w14:textId="77777777" w:rsidR="000A2A2B" w:rsidRPr="007C3060" w:rsidRDefault="000A2A2B" w:rsidP="007C3060">
            <w:r w:rsidRPr="007C3060">
              <w:t>95 680 000</w:t>
            </w:r>
          </w:p>
        </w:tc>
      </w:tr>
      <w:tr w:rsidR="004B729E" w:rsidRPr="007C3060" w14:paraId="1D47772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6FE215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E52CB1F"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473209" w14:textId="77777777" w:rsidR="000A2A2B" w:rsidRPr="007C3060" w:rsidRDefault="000A2A2B" w:rsidP="007C3060">
            <w:r w:rsidRPr="007C3060">
              <w:t xml:space="preserve">Tilleggspensjon,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5771F1" w14:textId="77777777" w:rsidR="000A2A2B" w:rsidRPr="007C3060" w:rsidRDefault="000A2A2B" w:rsidP="007C3060">
            <w:r w:rsidRPr="007C3060">
              <w:t>194 460 000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BAE8E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855177" w14:textId="77777777" w:rsidR="000A2A2B" w:rsidRPr="007C3060" w:rsidRDefault="000A2A2B" w:rsidP="007C3060">
            <w:r w:rsidRPr="007C3060">
              <w:t>-700 000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930584" w14:textId="77777777" w:rsidR="000A2A2B" w:rsidRPr="007C3060" w:rsidRDefault="000A2A2B" w:rsidP="007C3060">
            <w:r w:rsidRPr="007C3060">
              <w:t>193 760 000</w:t>
            </w:r>
          </w:p>
        </w:tc>
      </w:tr>
      <w:tr w:rsidR="004B729E" w:rsidRPr="007C3060" w14:paraId="23744E5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9B25FE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B168AEC"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DC3D54" w14:textId="77777777" w:rsidR="000A2A2B" w:rsidRPr="007C3060" w:rsidRDefault="000A2A2B" w:rsidP="007C3060">
            <w:r w:rsidRPr="007C3060">
              <w:t xml:space="preserve">Inntektspensjon,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297ED5" w14:textId="77777777" w:rsidR="000A2A2B" w:rsidRPr="007C3060" w:rsidRDefault="000A2A2B" w:rsidP="007C3060">
            <w:r w:rsidRPr="007C3060">
              <w:t>34 790 000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F3778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3CB707" w14:textId="77777777" w:rsidR="000A2A2B" w:rsidRPr="007C3060" w:rsidRDefault="000A2A2B" w:rsidP="007C3060">
            <w:r w:rsidRPr="007C3060">
              <w:t>-430 000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466A99" w14:textId="77777777" w:rsidR="000A2A2B" w:rsidRPr="007C3060" w:rsidRDefault="000A2A2B" w:rsidP="007C3060">
            <w:r w:rsidRPr="007C3060">
              <w:t>34 360 000</w:t>
            </w:r>
          </w:p>
        </w:tc>
      </w:tr>
      <w:tr w:rsidR="004B729E" w:rsidRPr="007C3060" w14:paraId="3A9F5001"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3FEF3D5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8123B74"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7FB817" w14:textId="7E7AC681" w:rsidR="000A2A2B" w:rsidRPr="007C3060" w:rsidRDefault="000A2A2B" w:rsidP="007C3060">
            <w:r w:rsidRPr="007C3060">
              <w:t xml:space="preserve">Særtillegg, pensjonstillegg mv.,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C63A3A" w14:textId="77777777" w:rsidR="000A2A2B" w:rsidRPr="007C3060" w:rsidRDefault="000A2A2B" w:rsidP="007C3060">
            <w:r w:rsidRPr="007C3060">
              <w:t>10 648 000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B47DD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4B7DFD" w14:textId="77777777" w:rsidR="000A2A2B" w:rsidRPr="007C3060" w:rsidRDefault="000A2A2B" w:rsidP="007C3060">
            <w:r w:rsidRPr="007C3060">
              <w:t>-188 000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2D1C32" w14:textId="77777777" w:rsidR="000A2A2B" w:rsidRPr="007C3060" w:rsidRDefault="000A2A2B" w:rsidP="007C3060">
            <w:r w:rsidRPr="007C3060">
              <w:t>10 460 000</w:t>
            </w:r>
          </w:p>
        </w:tc>
      </w:tr>
      <w:tr w:rsidR="004B729E" w:rsidRPr="007C3060" w14:paraId="6AA680FD"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CCD05CB" w14:textId="77777777" w:rsidR="000A2A2B" w:rsidRPr="007C3060" w:rsidRDefault="000A2A2B" w:rsidP="007C3060">
            <w:r w:rsidRPr="007C3060">
              <w:t>2680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063EA0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14F71E" w14:textId="77777777" w:rsidR="000A2A2B" w:rsidRPr="007C3060" w:rsidRDefault="000A2A2B" w:rsidP="007C3060">
            <w:r w:rsidRPr="007C3060">
              <w:t>Etterlatte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58E9B4"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0A73E2"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0C889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E1848A" w14:textId="77777777" w:rsidR="000A2A2B" w:rsidRPr="007C3060" w:rsidRDefault="000A2A2B" w:rsidP="007C3060"/>
        </w:tc>
      </w:tr>
      <w:tr w:rsidR="004B729E" w:rsidRPr="007C3060" w14:paraId="1A39F87B"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10AF687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4476F0E"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7C2D0D" w14:textId="77777777" w:rsidR="000A2A2B" w:rsidRPr="007C3060" w:rsidRDefault="000A2A2B" w:rsidP="007C3060">
            <w:r w:rsidRPr="007C3060">
              <w:t xml:space="preserve">Omstillingsstønad mv.,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D911B5" w14:textId="77777777" w:rsidR="000A2A2B" w:rsidRPr="007C3060" w:rsidRDefault="000A2A2B" w:rsidP="007C3060">
            <w:r w:rsidRPr="007C3060">
              <w:t>1 700 000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89194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9ABDE9"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7471AD" w14:textId="77777777" w:rsidR="000A2A2B" w:rsidRPr="007C3060" w:rsidRDefault="000A2A2B" w:rsidP="007C3060">
            <w:r w:rsidRPr="007C3060">
              <w:t>1 710 000</w:t>
            </w:r>
          </w:p>
        </w:tc>
      </w:tr>
      <w:tr w:rsidR="004B729E" w:rsidRPr="007C3060" w14:paraId="796EA64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CFE394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FE78A1D"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AA8560" w14:textId="77777777" w:rsidR="000A2A2B" w:rsidRPr="007C3060" w:rsidRDefault="000A2A2B" w:rsidP="007C3060">
            <w:r w:rsidRPr="007C3060">
              <w:t xml:space="preserve">Barnepensjon,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CBA40B" w14:textId="77777777" w:rsidR="000A2A2B" w:rsidRPr="007C3060" w:rsidRDefault="000A2A2B" w:rsidP="007C3060">
            <w:r w:rsidRPr="007C3060">
              <w:t>1 690 000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6110B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CA0FDA" w14:textId="77777777" w:rsidR="000A2A2B" w:rsidRPr="007C3060" w:rsidRDefault="000A2A2B" w:rsidP="007C3060">
            <w:r w:rsidRPr="007C3060">
              <w:t>80 000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CEBE7D" w14:textId="77777777" w:rsidR="000A2A2B" w:rsidRPr="007C3060" w:rsidRDefault="000A2A2B" w:rsidP="007C3060">
            <w:r w:rsidRPr="007C3060">
              <w:t>1 770 000</w:t>
            </w:r>
          </w:p>
        </w:tc>
      </w:tr>
      <w:tr w:rsidR="004B729E" w:rsidRPr="007C3060" w14:paraId="59FCBB59" w14:textId="77777777">
        <w:trPr>
          <w:trHeight w:val="64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24ED5BEA" w14:textId="77777777" w:rsidR="000A2A2B" w:rsidRPr="007C3060" w:rsidRDefault="000A2A2B" w:rsidP="007C3060"/>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40EBF859" w14:textId="77777777" w:rsidR="000A2A2B" w:rsidRPr="007C3060" w:rsidRDefault="000A2A2B" w:rsidP="007C3060">
            <w:r w:rsidRPr="007C3060">
              <w:t>74</w:t>
            </w:r>
          </w:p>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7A34E17" w14:textId="471E3D4C" w:rsidR="000A2A2B" w:rsidRPr="007C3060" w:rsidRDefault="000A2A2B" w:rsidP="007C3060">
            <w:r w:rsidRPr="007C3060">
              <w:t xml:space="preserve">Tilleggsstønader og stønad til skolepenger, </w:t>
            </w:r>
            <w:r w:rsidRPr="007C3060">
              <w:rPr>
                <w:rStyle w:val="kursiv"/>
              </w:rPr>
              <w:t>overslagsbevilgning</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EF7A771" w14:textId="77777777" w:rsidR="000A2A2B" w:rsidRPr="007C3060" w:rsidRDefault="000A2A2B" w:rsidP="007C3060">
            <w:r w:rsidRPr="007C3060">
              <w:t>200</w:t>
            </w:r>
          </w:p>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DDF60C8" w14:textId="77777777" w:rsidR="000A2A2B" w:rsidRPr="007C3060" w:rsidRDefault="000A2A2B" w:rsidP="007C3060">
            <w:r w:rsidRPr="007C3060">
              <w:t>-</w:t>
            </w:r>
          </w:p>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D90C47B" w14:textId="77777777" w:rsidR="000A2A2B" w:rsidRPr="007C3060" w:rsidRDefault="000A2A2B" w:rsidP="007C3060">
            <w:r w:rsidRPr="007C3060">
              <w:t>-100</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5CE64C6" w14:textId="77777777" w:rsidR="000A2A2B" w:rsidRPr="007C3060" w:rsidRDefault="000A2A2B" w:rsidP="007C3060">
            <w:r w:rsidRPr="007C3060">
              <w:t>100</w:t>
            </w:r>
          </w:p>
        </w:tc>
      </w:tr>
      <w:tr w:rsidR="004B729E" w:rsidRPr="007C3060" w14:paraId="4AF67F66"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4FAC20B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97109F1" w14:textId="77777777" w:rsidR="000A2A2B" w:rsidRPr="007C3060" w:rsidRDefault="000A2A2B" w:rsidP="007C3060">
            <w:r w:rsidRPr="007C306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973220" w14:textId="77777777" w:rsidR="000A2A2B" w:rsidRPr="007C3060" w:rsidRDefault="000A2A2B" w:rsidP="007C3060">
            <w:r w:rsidRPr="007C3060">
              <w:t xml:space="preserve">Stønad til barnetilsyn til gjenlevende i arbeid,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6ACBB7" w14:textId="77777777" w:rsidR="000A2A2B" w:rsidRPr="007C3060" w:rsidRDefault="000A2A2B" w:rsidP="007C3060">
            <w:r w:rsidRPr="007C3060">
              <w:t>2 500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16205F"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E49DC6" w14:textId="77777777" w:rsidR="000A2A2B" w:rsidRPr="007C3060" w:rsidRDefault="000A2A2B" w:rsidP="007C3060">
            <w:r w:rsidRPr="007C3060">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8596CA" w14:textId="77777777" w:rsidR="000A2A2B" w:rsidRPr="007C3060" w:rsidRDefault="000A2A2B" w:rsidP="007C3060">
            <w:r w:rsidRPr="007C3060">
              <w:t>1 500</w:t>
            </w:r>
          </w:p>
        </w:tc>
      </w:tr>
      <w:tr w:rsidR="004B729E" w:rsidRPr="007C3060" w14:paraId="1F95BCA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D8258D9" w14:textId="77777777" w:rsidR="000A2A2B" w:rsidRPr="007C3060" w:rsidRDefault="000A2A2B" w:rsidP="007C3060">
            <w:r w:rsidRPr="007C3060">
              <w:t>2686</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C977325"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292517" w14:textId="77777777" w:rsidR="000A2A2B" w:rsidRPr="007C3060" w:rsidRDefault="000A2A2B" w:rsidP="007C3060">
            <w:r w:rsidRPr="007C3060">
              <w:t>Stønad ved gravferd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80A43E"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29C3E8"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4D458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71AA0F" w14:textId="77777777" w:rsidR="000A2A2B" w:rsidRPr="007C3060" w:rsidRDefault="000A2A2B" w:rsidP="007C3060"/>
        </w:tc>
      </w:tr>
      <w:tr w:rsidR="004B729E" w:rsidRPr="007C3060" w14:paraId="09379B1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E72CC7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51A2EB2"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7E311C" w14:textId="77777777" w:rsidR="000A2A2B" w:rsidRPr="007C3060" w:rsidRDefault="000A2A2B" w:rsidP="007C3060">
            <w:r w:rsidRPr="007C3060">
              <w:t xml:space="preserve">Stønad ved gravferd, </w:t>
            </w:r>
            <w:r w:rsidRPr="007C3060">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2F0632" w14:textId="77777777" w:rsidR="000A2A2B" w:rsidRPr="007C3060" w:rsidRDefault="000A2A2B" w:rsidP="007C3060">
            <w:r w:rsidRPr="007C3060">
              <w:t>325 000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0D6BE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F2530A" w14:textId="77777777" w:rsidR="000A2A2B" w:rsidRPr="007C3060" w:rsidRDefault="000A2A2B" w:rsidP="007C3060">
            <w:r w:rsidRPr="007C3060">
              <w:t>55 000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688EB6" w14:textId="77777777" w:rsidR="000A2A2B" w:rsidRPr="007C3060" w:rsidRDefault="000A2A2B" w:rsidP="007C3060">
            <w:r w:rsidRPr="007C3060">
              <w:t>380 000</w:t>
            </w:r>
          </w:p>
        </w:tc>
      </w:tr>
      <w:tr w:rsidR="004B729E" w:rsidRPr="007C3060" w14:paraId="6CC813F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544581B" w14:textId="77777777" w:rsidR="000A2A2B" w:rsidRPr="007C3060" w:rsidRDefault="000A2A2B" w:rsidP="007C3060">
            <w:r w:rsidRPr="007C3060">
              <w:t>2711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9F4CC7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55B897" w14:textId="77777777" w:rsidR="000A2A2B" w:rsidRPr="007C3060" w:rsidRDefault="000A2A2B" w:rsidP="007C3060">
            <w:r w:rsidRPr="007C3060">
              <w:t>Spesialisthelsetjeneste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97693F"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AD8169"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4A65C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3015FB" w14:textId="77777777" w:rsidR="000A2A2B" w:rsidRPr="007C3060" w:rsidRDefault="000A2A2B" w:rsidP="007C3060"/>
        </w:tc>
      </w:tr>
      <w:tr w:rsidR="004B729E" w:rsidRPr="007C3060" w14:paraId="68662880"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2B3453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27368A9"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82E3C6" w14:textId="77777777" w:rsidR="000A2A2B" w:rsidRPr="007C3060" w:rsidRDefault="000A2A2B" w:rsidP="007C3060">
            <w:r w:rsidRPr="007C3060">
              <w:t xml:space="preserve">Spesialisthjelp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690E9B" w14:textId="77777777" w:rsidR="000A2A2B" w:rsidRPr="007C3060" w:rsidRDefault="000A2A2B" w:rsidP="007C3060">
            <w:r w:rsidRPr="007C3060">
              <w:t>3 031 100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62047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51E686" w14:textId="77777777" w:rsidR="000A2A2B" w:rsidRPr="007C3060" w:rsidRDefault="000A2A2B" w:rsidP="007C3060">
            <w:r w:rsidRPr="007C3060">
              <w:t>18 900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05A3B4" w14:textId="77777777" w:rsidR="000A2A2B" w:rsidRPr="007C3060" w:rsidRDefault="000A2A2B" w:rsidP="007C3060">
            <w:r w:rsidRPr="007C3060">
              <w:t>3 050 000</w:t>
            </w:r>
          </w:p>
        </w:tc>
      </w:tr>
      <w:tr w:rsidR="004B729E" w:rsidRPr="007C3060" w14:paraId="29F3765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22C96E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3A71FE5"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7F828F" w14:textId="77777777" w:rsidR="000A2A2B" w:rsidRPr="007C3060" w:rsidRDefault="000A2A2B" w:rsidP="007C3060">
            <w:r w:rsidRPr="007C3060">
              <w:t xml:space="preserve">Psykologhjelp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C09738" w14:textId="77777777" w:rsidR="000A2A2B" w:rsidRPr="007C3060" w:rsidRDefault="000A2A2B" w:rsidP="007C3060">
            <w:r w:rsidRPr="007C3060">
              <w:t>477 900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760F25"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2FC314" w14:textId="77777777" w:rsidR="000A2A2B" w:rsidRPr="007C3060" w:rsidRDefault="000A2A2B" w:rsidP="007C3060">
            <w:r w:rsidRPr="007C3060">
              <w:t>-34 900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5B986D" w14:textId="77777777" w:rsidR="000A2A2B" w:rsidRPr="007C3060" w:rsidRDefault="000A2A2B" w:rsidP="007C3060">
            <w:r w:rsidRPr="007C3060">
              <w:t>443 000</w:t>
            </w:r>
          </w:p>
        </w:tc>
      </w:tr>
      <w:tr w:rsidR="004B729E" w:rsidRPr="007C3060" w14:paraId="258BF3A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C100B9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E9AC40E"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601923" w14:textId="77777777" w:rsidR="000A2A2B" w:rsidRPr="007C3060" w:rsidRDefault="000A2A2B" w:rsidP="007C3060">
            <w:r w:rsidRPr="007C3060">
              <w:t xml:space="preserve">Tannbehandling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B13B91" w14:textId="77777777" w:rsidR="000A2A2B" w:rsidRPr="007C3060" w:rsidRDefault="000A2A2B" w:rsidP="007C3060">
            <w:r w:rsidRPr="007C3060">
              <w:t>3 007 000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46FA1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F480EC" w14:textId="77777777" w:rsidR="000A2A2B" w:rsidRPr="007C3060" w:rsidRDefault="000A2A2B" w:rsidP="007C3060">
            <w:r w:rsidRPr="007C3060">
              <w:t>36 500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02A54A" w14:textId="77777777" w:rsidR="000A2A2B" w:rsidRPr="007C3060" w:rsidRDefault="000A2A2B" w:rsidP="007C3060">
            <w:r w:rsidRPr="007C3060">
              <w:t>3 043 500</w:t>
            </w:r>
          </w:p>
        </w:tc>
      </w:tr>
      <w:tr w:rsidR="004B729E" w:rsidRPr="007C3060" w14:paraId="30835B7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50E48F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0123800" w14:textId="77777777" w:rsidR="000A2A2B" w:rsidRPr="007C3060" w:rsidRDefault="000A2A2B" w:rsidP="007C3060">
            <w:r w:rsidRPr="007C306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FB0CAD" w14:textId="77777777" w:rsidR="000A2A2B" w:rsidRPr="007C3060" w:rsidRDefault="000A2A2B" w:rsidP="007C3060">
            <w:r w:rsidRPr="007C3060">
              <w:t xml:space="preserve">Private laboratorier og røntgeninstitutt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2216ED" w14:textId="77777777" w:rsidR="000A2A2B" w:rsidRPr="007C3060" w:rsidRDefault="000A2A2B" w:rsidP="007C3060">
            <w:r w:rsidRPr="007C3060">
              <w:t>1 506 412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D63FE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5EC83B" w14:textId="77777777" w:rsidR="000A2A2B" w:rsidRPr="007C3060" w:rsidRDefault="000A2A2B" w:rsidP="007C3060">
            <w:r w:rsidRPr="007C3060">
              <w:t>163 588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343934" w14:textId="77777777" w:rsidR="000A2A2B" w:rsidRPr="007C3060" w:rsidRDefault="000A2A2B" w:rsidP="007C3060">
            <w:r w:rsidRPr="007C3060">
              <w:t>1 670 000</w:t>
            </w:r>
          </w:p>
        </w:tc>
      </w:tr>
      <w:tr w:rsidR="004B729E" w:rsidRPr="007C3060" w14:paraId="525040C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A5849A2" w14:textId="77777777" w:rsidR="000A2A2B" w:rsidRPr="007C3060" w:rsidRDefault="000A2A2B" w:rsidP="007C3060">
            <w:r w:rsidRPr="007C3060">
              <w:t>2751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80D932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BD448EA" w14:textId="77777777" w:rsidR="000A2A2B" w:rsidRPr="007C3060" w:rsidRDefault="000A2A2B" w:rsidP="007C3060">
            <w:r w:rsidRPr="007C3060">
              <w:t>Legemidler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FE26DA"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255E20"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98BEC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DC9BC2" w14:textId="77777777" w:rsidR="000A2A2B" w:rsidRPr="007C3060" w:rsidRDefault="000A2A2B" w:rsidP="007C3060"/>
        </w:tc>
      </w:tr>
      <w:tr w:rsidR="004B729E" w:rsidRPr="007C3060" w14:paraId="5CA04EC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BD23AA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7B211E7D"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09B8B22" w14:textId="77777777" w:rsidR="000A2A2B" w:rsidRPr="007C3060" w:rsidRDefault="000A2A2B" w:rsidP="007C3060">
            <w:r w:rsidRPr="007C3060">
              <w:t xml:space="preserve">Legemidler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357C95" w14:textId="77777777" w:rsidR="000A2A2B" w:rsidRPr="007C3060" w:rsidRDefault="000A2A2B" w:rsidP="007C3060">
            <w:r w:rsidRPr="007C3060">
              <w:t>15 104 900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F922D0"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B978BA" w14:textId="77777777" w:rsidR="000A2A2B" w:rsidRPr="007C3060" w:rsidRDefault="000A2A2B" w:rsidP="007C3060">
            <w:r w:rsidRPr="007C3060">
              <w:t>-784 900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595860" w14:textId="77777777" w:rsidR="000A2A2B" w:rsidRPr="007C3060" w:rsidRDefault="000A2A2B" w:rsidP="007C3060">
            <w:r w:rsidRPr="007C3060">
              <w:t>14 320 000</w:t>
            </w:r>
          </w:p>
        </w:tc>
      </w:tr>
      <w:tr w:rsidR="004B729E" w:rsidRPr="007C3060" w14:paraId="413D6D9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CFB753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5CCDD61"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F55ABA1" w14:textId="77777777" w:rsidR="000A2A2B" w:rsidRPr="007C3060" w:rsidRDefault="000A2A2B" w:rsidP="007C3060">
            <w:r w:rsidRPr="007C3060">
              <w:t xml:space="preserve">Legeerklæringer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A60DB6" w14:textId="77777777" w:rsidR="000A2A2B" w:rsidRPr="007C3060" w:rsidRDefault="000A2A2B" w:rsidP="007C3060">
            <w:r w:rsidRPr="007C3060">
              <w:t>17 000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68F13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FB56C6" w14:textId="77777777" w:rsidR="000A2A2B" w:rsidRPr="007C3060" w:rsidRDefault="000A2A2B" w:rsidP="007C3060">
            <w:r w:rsidRPr="007C3060">
              <w:t>15 000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3CCAD1" w14:textId="77777777" w:rsidR="000A2A2B" w:rsidRPr="007C3060" w:rsidRDefault="000A2A2B" w:rsidP="007C3060">
            <w:r w:rsidRPr="007C3060">
              <w:t>32 000</w:t>
            </w:r>
          </w:p>
        </w:tc>
      </w:tr>
      <w:tr w:rsidR="004B729E" w:rsidRPr="007C3060" w14:paraId="4EC9C301"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CA1D16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6EBE7C4"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3270146" w14:textId="77777777" w:rsidR="000A2A2B" w:rsidRPr="007C3060" w:rsidRDefault="000A2A2B" w:rsidP="007C3060">
            <w:r w:rsidRPr="007C3060">
              <w:t xml:space="preserve">Medisinsk forbruksmateriell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68C7AD" w14:textId="77777777" w:rsidR="000A2A2B" w:rsidRPr="007C3060" w:rsidRDefault="000A2A2B" w:rsidP="007C3060">
            <w:r w:rsidRPr="007C3060">
              <w:t>2 490 000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C10B6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DEE978" w14:textId="77777777" w:rsidR="000A2A2B" w:rsidRPr="007C3060" w:rsidRDefault="000A2A2B" w:rsidP="007C3060">
            <w:r w:rsidRPr="007C3060">
              <w:t>-30 000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AFA13F" w14:textId="77777777" w:rsidR="000A2A2B" w:rsidRPr="007C3060" w:rsidRDefault="000A2A2B" w:rsidP="007C3060">
            <w:r w:rsidRPr="007C3060">
              <w:t>2 460 000</w:t>
            </w:r>
          </w:p>
        </w:tc>
      </w:tr>
      <w:tr w:rsidR="004B729E" w:rsidRPr="007C3060" w14:paraId="3243C32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D4AE464" w14:textId="77777777" w:rsidR="000A2A2B" w:rsidRPr="007C3060" w:rsidRDefault="000A2A2B" w:rsidP="007C3060">
            <w:r w:rsidRPr="007C3060">
              <w:t>2752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D28A0C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AADB576" w14:textId="77777777" w:rsidR="000A2A2B" w:rsidRPr="007C3060" w:rsidRDefault="000A2A2B" w:rsidP="007C3060">
            <w:r w:rsidRPr="007C3060">
              <w:t>Refusjon av egenbetaling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17334D"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17FD19"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555FA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446782" w14:textId="77777777" w:rsidR="000A2A2B" w:rsidRPr="007C3060" w:rsidRDefault="000A2A2B" w:rsidP="007C3060"/>
        </w:tc>
      </w:tr>
      <w:tr w:rsidR="004B729E" w:rsidRPr="007C3060" w14:paraId="15435C96"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CA2040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E80A8F4"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8DE6597" w14:textId="77777777" w:rsidR="000A2A2B" w:rsidRPr="007C3060" w:rsidRDefault="000A2A2B" w:rsidP="007C3060">
            <w:r w:rsidRPr="007C3060">
              <w:t xml:space="preserve">Egenandelstak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EC409A" w14:textId="77777777" w:rsidR="000A2A2B" w:rsidRPr="007C3060" w:rsidRDefault="000A2A2B" w:rsidP="007C3060">
            <w:r w:rsidRPr="007C3060">
              <w:t>8 660 700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771942"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10AD20" w14:textId="77777777" w:rsidR="000A2A2B" w:rsidRPr="007C3060" w:rsidRDefault="000A2A2B" w:rsidP="007C3060">
            <w:r w:rsidRPr="007C3060">
              <w:t>149 300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CE8EA6" w14:textId="77777777" w:rsidR="000A2A2B" w:rsidRPr="007C3060" w:rsidRDefault="000A2A2B" w:rsidP="007C3060">
            <w:r w:rsidRPr="007C3060">
              <w:t>8 810 000</w:t>
            </w:r>
          </w:p>
        </w:tc>
      </w:tr>
      <w:tr w:rsidR="004B729E" w:rsidRPr="007C3060" w14:paraId="3D196622"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44397A5" w14:textId="77777777" w:rsidR="000A2A2B" w:rsidRPr="007C3060" w:rsidRDefault="000A2A2B" w:rsidP="007C3060">
            <w:r w:rsidRPr="007C3060">
              <w:t>2755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01D74C6"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515B5FB" w14:textId="77777777" w:rsidR="000A2A2B" w:rsidRPr="007C3060" w:rsidRDefault="000A2A2B" w:rsidP="007C3060">
            <w:r w:rsidRPr="007C3060">
              <w:t>Helsetjenester i kommunene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F34728"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FDB5BA"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31857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DB4CAE" w14:textId="77777777" w:rsidR="000A2A2B" w:rsidRPr="007C3060" w:rsidRDefault="000A2A2B" w:rsidP="007C3060"/>
        </w:tc>
      </w:tr>
      <w:tr w:rsidR="004B729E" w:rsidRPr="007C3060" w14:paraId="53694E8D" w14:textId="77777777">
        <w:trPr>
          <w:trHeight w:val="640"/>
        </w:trPr>
        <w:tc>
          <w:tcPr>
            <w:tcW w:w="580" w:type="dxa"/>
            <w:tcBorders>
              <w:top w:val="nil"/>
              <w:left w:val="single" w:sz="4" w:space="0" w:color="000000"/>
              <w:bottom w:val="nil"/>
              <w:right w:val="nil"/>
            </w:tcBorders>
            <w:tcMar>
              <w:top w:w="128" w:type="dxa"/>
              <w:left w:w="43" w:type="dxa"/>
              <w:bottom w:w="43" w:type="dxa"/>
              <w:right w:w="43" w:type="dxa"/>
            </w:tcMar>
          </w:tcPr>
          <w:p w14:paraId="127005A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E960008" w14:textId="77777777" w:rsidR="000A2A2B" w:rsidRPr="007C3060" w:rsidRDefault="000A2A2B" w:rsidP="007C3060">
            <w:r w:rsidRPr="007C3060">
              <w:t>62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8C125E" w14:textId="37A1A862" w:rsidR="000A2A2B" w:rsidRPr="007C3060" w:rsidRDefault="000A2A2B" w:rsidP="007C3060">
            <w:r w:rsidRPr="007C3060">
              <w:t xml:space="preserve">Fastlønnsordning fysioterapeuter, </w:t>
            </w:r>
            <w:r w:rsidRPr="007C3060">
              <w:rPr>
                <w:rStyle w:val="kursiv"/>
              </w:rPr>
              <w:t>kan nyttes under post 71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A96383" w14:textId="77777777" w:rsidR="000A2A2B" w:rsidRPr="007C3060" w:rsidRDefault="000A2A2B" w:rsidP="007C3060">
            <w:r w:rsidRPr="007C3060">
              <w:t>637 000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5B5761"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340652" w14:textId="77777777" w:rsidR="000A2A2B" w:rsidRPr="007C3060" w:rsidRDefault="000A2A2B" w:rsidP="007C3060">
            <w:r w:rsidRPr="007C3060">
              <w:t>-49 000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E348B6" w14:textId="77777777" w:rsidR="000A2A2B" w:rsidRPr="007C3060" w:rsidRDefault="000A2A2B" w:rsidP="007C3060">
            <w:r w:rsidRPr="007C3060">
              <w:t>588 000</w:t>
            </w:r>
          </w:p>
        </w:tc>
      </w:tr>
      <w:tr w:rsidR="004B729E" w:rsidRPr="007C3060" w14:paraId="4713BBB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09F7484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E9D539D"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49D9D3B" w14:textId="77777777" w:rsidR="000A2A2B" w:rsidRPr="007C3060" w:rsidRDefault="000A2A2B" w:rsidP="007C3060">
            <w:r w:rsidRPr="007C3060">
              <w:t xml:space="preserve">Allmennlegehjelp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A5A930" w14:textId="77777777" w:rsidR="000A2A2B" w:rsidRPr="007C3060" w:rsidRDefault="000A2A2B" w:rsidP="007C3060">
            <w:r w:rsidRPr="007C3060">
              <w:t>7 481 900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587E9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FD2CC3" w14:textId="77777777" w:rsidR="000A2A2B" w:rsidRPr="007C3060" w:rsidRDefault="000A2A2B" w:rsidP="007C3060">
            <w:r w:rsidRPr="007C3060">
              <w:t>104 100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AB20BD" w14:textId="77777777" w:rsidR="000A2A2B" w:rsidRPr="007C3060" w:rsidRDefault="000A2A2B" w:rsidP="007C3060">
            <w:r w:rsidRPr="007C3060">
              <w:t>7 586 000</w:t>
            </w:r>
          </w:p>
        </w:tc>
      </w:tr>
      <w:tr w:rsidR="004B729E" w:rsidRPr="007C3060" w14:paraId="1D414E37"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B15392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83DF5DD"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0E0CAE" w14:textId="77777777" w:rsidR="000A2A2B" w:rsidRPr="007C3060" w:rsidRDefault="000A2A2B" w:rsidP="007C3060">
            <w:r w:rsidRPr="007C3060">
              <w:t xml:space="preserve">Fysioterapi, </w:t>
            </w:r>
            <w:r w:rsidRPr="007C3060">
              <w:rPr>
                <w:rStyle w:val="kursiv"/>
              </w:rPr>
              <w:t>kan nyttes under post 62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09508C" w14:textId="77777777" w:rsidR="000A2A2B" w:rsidRPr="007C3060" w:rsidRDefault="000A2A2B" w:rsidP="007C3060">
            <w:r w:rsidRPr="007C3060">
              <w:t>1 730 000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63BC76"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41DE26" w14:textId="77777777" w:rsidR="000A2A2B" w:rsidRPr="007C3060" w:rsidRDefault="000A2A2B" w:rsidP="007C3060">
            <w:r w:rsidRPr="007C3060">
              <w:t>-15 000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F42521" w14:textId="77777777" w:rsidR="000A2A2B" w:rsidRPr="007C3060" w:rsidRDefault="000A2A2B" w:rsidP="007C3060">
            <w:r w:rsidRPr="007C3060">
              <w:t>1 715 000</w:t>
            </w:r>
          </w:p>
        </w:tc>
      </w:tr>
      <w:tr w:rsidR="004B729E" w:rsidRPr="007C3060" w14:paraId="179C9154"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D6244A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DF1C9F5"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FDDBADB" w14:textId="77777777" w:rsidR="000A2A2B" w:rsidRPr="007C3060" w:rsidRDefault="000A2A2B" w:rsidP="007C3060">
            <w:r w:rsidRPr="007C3060">
              <w:t xml:space="preserve">Jordmorhjelp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565155" w14:textId="77777777" w:rsidR="000A2A2B" w:rsidRPr="007C3060" w:rsidRDefault="000A2A2B" w:rsidP="007C3060">
            <w:r w:rsidRPr="007C3060">
              <w:t>105 000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7AE167"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25F6C0" w14:textId="77777777" w:rsidR="000A2A2B" w:rsidRPr="007C3060" w:rsidRDefault="000A2A2B" w:rsidP="007C3060">
            <w:r w:rsidRPr="007C3060">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77DE6B" w14:textId="77777777" w:rsidR="000A2A2B" w:rsidRPr="007C3060" w:rsidRDefault="000A2A2B" w:rsidP="007C3060">
            <w:r w:rsidRPr="007C3060">
              <w:t>101 000</w:t>
            </w:r>
          </w:p>
        </w:tc>
      </w:tr>
      <w:tr w:rsidR="004B729E" w:rsidRPr="007C3060" w14:paraId="5DD789A3"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6C8010E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815D334" w14:textId="77777777" w:rsidR="000A2A2B" w:rsidRPr="007C3060" w:rsidRDefault="000A2A2B" w:rsidP="007C3060">
            <w:r w:rsidRPr="007C306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8541E79" w14:textId="77777777" w:rsidR="000A2A2B" w:rsidRPr="007C3060" w:rsidRDefault="000A2A2B" w:rsidP="007C3060">
            <w:r w:rsidRPr="007C3060">
              <w:t xml:space="preserve">Kiropraktorbehandling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21E4B7" w14:textId="77777777" w:rsidR="000A2A2B" w:rsidRPr="007C3060" w:rsidRDefault="000A2A2B" w:rsidP="007C3060">
            <w:r w:rsidRPr="007C306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503BBD"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1093C9" w14:textId="77777777" w:rsidR="000A2A2B" w:rsidRPr="007C3060" w:rsidRDefault="000A2A2B" w:rsidP="007C3060">
            <w:r w:rsidRPr="007C3060">
              <w:t>20 800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023C7E" w14:textId="77777777" w:rsidR="000A2A2B" w:rsidRPr="007C3060" w:rsidRDefault="000A2A2B" w:rsidP="007C3060">
            <w:r w:rsidRPr="007C3060">
              <w:t>20 800</w:t>
            </w:r>
          </w:p>
        </w:tc>
      </w:tr>
      <w:tr w:rsidR="004B729E" w:rsidRPr="007C3060" w14:paraId="0B31221A"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30C8173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72F937E" w14:textId="77777777" w:rsidR="000A2A2B" w:rsidRPr="007C3060" w:rsidRDefault="000A2A2B" w:rsidP="007C3060">
            <w:r w:rsidRPr="007C306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739FB93" w14:textId="77777777" w:rsidR="000A2A2B" w:rsidRPr="007C3060" w:rsidRDefault="000A2A2B" w:rsidP="007C3060">
            <w:r w:rsidRPr="007C3060">
              <w:t xml:space="preserve">Logopedisk og </w:t>
            </w:r>
            <w:proofErr w:type="spellStart"/>
            <w:r w:rsidRPr="007C3060">
              <w:t>ortoptisk</w:t>
            </w:r>
            <w:proofErr w:type="spellEnd"/>
            <w:r w:rsidRPr="007C3060">
              <w:t xml:space="preserve"> behandling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751617" w14:textId="77777777" w:rsidR="000A2A2B" w:rsidRPr="007C3060" w:rsidRDefault="000A2A2B" w:rsidP="007C3060">
            <w:r w:rsidRPr="007C3060">
              <w:t>401 000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DD221C"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725706" w14:textId="77777777" w:rsidR="000A2A2B" w:rsidRPr="007C3060" w:rsidRDefault="000A2A2B" w:rsidP="007C3060">
            <w:r w:rsidRPr="007C3060">
              <w:t>-11 000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816CA1" w14:textId="77777777" w:rsidR="000A2A2B" w:rsidRPr="007C3060" w:rsidRDefault="000A2A2B" w:rsidP="007C3060">
            <w:r w:rsidRPr="007C3060">
              <w:t>390 000</w:t>
            </w:r>
          </w:p>
        </w:tc>
      </w:tr>
      <w:tr w:rsidR="004B729E" w:rsidRPr="007C3060" w14:paraId="2374B4B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6F5E91A" w14:textId="77777777" w:rsidR="000A2A2B" w:rsidRPr="007C3060" w:rsidRDefault="000A2A2B" w:rsidP="007C3060">
            <w:r w:rsidRPr="007C3060">
              <w:t>2756</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2FC8A5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D545492" w14:textId="77777777" w:rsidR="000A2A2B" w:rsidRPr="007C3060" w:rsidRDefault="000A2A2B" w:rsidP="007C3060">
            <w:r w:rsidRPr="007C3060">
              <w:t>Andre helsetjenester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3D2F84" w14:textId="77777777" w:rsidR="000A2A2B" w:rsidRPr="007C3060" w:rsidRDefault="000A2A2B" w:rsidP="007C306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54C9EC" w14:textId="77777777" w:rsidR="000A2A2B" w:rsidRPr="007C3060" w:rsidRDefault="000A2A2B" w:rsidP="007C3060"/>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D33CF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D6046D" w14:textId="77777777" w:rsidR="000A2A2B" w:rsidRPr="007C3060" w:rsidRDefault="000A2A2B" w:rsidP="007C3060"/>
        </w:tc>
      </w:tr>
      <w:tr w:rsidR="004B729E" w:rsidRPr="007C3060" w14:paraId="221BEA95"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4F46D3A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B31DC4B"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2DD1F68" w14:textId="77777777" w:rsidR="000A2A2B" w:rsidRPr="007C3060" w:rsidRDefault="000A2A2B" w:rsidP="007C3060">
            <w:r w:rsidRPr="007C3060">
              <w:t xml:space="preserve">Helsetjenester i annet EØS-land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0AC3DB" w14:textId="77777777" w:rsidR="000A2A2B" w:rsidRPr="007C3060" w:rsidRDefault="000A2A2B" w:rsidP="007C3060">
            <w:r w:rsidRPr="007C3060">
              <w:t>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0871C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013170" w14:textId="77777777" w:rsidR="000A2A2B" w:rsidRPr="007C3060" w:rsidRDefault="000A2A2B" w:rsidP="007C3060">
            <w:r w:rsidRPr="007C3060">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D2693C" w14:textId="77777777" w:rsidR="000A2A2B" w:rsidRPr="007C3060" w:rsidRDefault="000A2A2B" w:rsidP="007C3060">
            <w:r w:rsidRPr="007C3060">
              <w:t>9 000</w:t>
            </w:r>
          </w:p>
        </w:tc>
      </w:tr>
      <w:tr w:rsidR="004B729E" w:rsidRPr="007C3060" w14:paraId="2104D9A9"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24030A0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3A59035"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19A01EB" w14:textId="77777777" w:rsidR="000A2A2B" w:rsidRPr="007C3060" w:rsidRDefault="000A2A2B" w:rsidP="007C3060">
            <w:r w:rsidRPr="007C3060">
              <w:t xml:space="preserve">Helsetjenester i utlandet mv.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4864D8" w14:textId="77777777" w:rsidR="000A2A2B" w:rsidRPr="007C3060" w:rsidRDefault="000A2A2B" w:rsidP="007C3060">
            <w:r w:rsidRPr="007C3060">
              <w:t>770 000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518F7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F93EF2" w14:textId="77777777" w:rsidR="000A2A2B" w:rsidRPr="007C3060" w:rsidRDefault="000A2A2B" w:rsidP="007C3060">
            <w:r w:rsidRPr="007C3060">
              <w:t>-155 000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F06950" w14:textId="77777777" w:rsidR="000A2A2B" w:rsidRPr="007C3060" w:rsidRDefault="000A2A2B" w:rsidP="007C3060">
            <w:r w:rsidRPr="007C3060">
              <w:t>615 000</w:t>
            </w:r>
          </w:p>
        </w:tc>
      </w:tr>
      <w:tr w:rsidR="004B729E" w:rsidRPr="007C3060" w14:paraId="7BC97F7F"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521EF9B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95DD837"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03C7272" w14:textId="77777777" w:rsidR="000A2A2B" w:rsidRPr="007C3060" w:rsidRDefault="000A2A2B" w:rsidP="007C3060">
            <w:r w:rsidRPr="007C3060">
              <w:t xml:space="preserve">Helsetjenester til utenlandsboende mv.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FF6FA8" w14:textId="77777777" w:rsidR="000A2A2B" w:rsidRPr="007C3060" w:rsidRDefault="000A2A2B" w:rsidP="007C3060">
            <w:r w:rsidRPr="007C3060">
              <w:t>460 000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6B5DC4"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F90AF6" w14:textId="77777777" w:rsidR="000A2A2B" w:rsidRPr="007C3060" w:rsidRDefault="000A2A2B" w:rsidP="007C3060">
            <w:r w:rsidRPr="007C3060">
              <w:t>-65 000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264247" w14:textId="77777777" w:rsidR="000A2A2B" w:rsidRPr="007C3060" w:rsidRDefault="000A2A2B" w:rsidP="007C3060">
            <w:r w:rsidRPr="007C3060">
              <w:t>395 000</w:t>
            </w:r>
          </w:p>
        </w:tc>
      </w:tr>
      <w:tr w:rsidR="004B729E" w:rsidRPr="007C3060" w14:paraId="2693B8C0"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C2D25F1" w14:textId="77777777" w:rsidR="000A2A2B" w:rsidRPr="007C3060" w:rsidRDefault="000A2A2B" w:rsidP="007C3060">
            <w:r w:rsidRPr="007C3060">
              <w:t>Sum endringer Folketrygden</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B1583A9"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368E700"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A72C789" w14:textId="77777777" w:rsidR="000A2A2B" w:rsidRPr="007C3060" w:rsidRDefault="000A2A2B" w:rsidP="007C3060">
            <w:r w:rsidRPr="007C3060">
              <w:t>3 861 588</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05DB920" w14:textId="77777777" w:rsidR="000A2A2B" w:rsidRPr="007C3060" w:rsidRDefault="000A2A2B" w:rsidP="007C3060"/>
        </w:tc>
      </w:tr>
      <w:tr w:rsidR="004B729E" w:rsidRPr="007C3060" w14:paraId="4D4B0E19" w14:textId="77777777">
        <w:trPr>
          <w:trHeight w:val="380"/>
        </w:trPr>
        <w:tc>
          <w:tcPr>
            <w:tcW w:w="580" w:type="dxa"/>
            <w:tcBorders>
              <w:top w:val="nil"/>
              <w:left w:val="nil"/>
              <w:bottom w:val="single" w:sz="4" w:space="0" w:color="000000"/>
              <w:right w:val="nil"/>
            </w:tcBorders>
            <w:tcMar>
              <w:top w:w="128" w:type="dxa"/>
              <w:left w:w="43" w:type="dxa"/>
              <w:bottom w:w="43" w:type="dxa"/>
              <w:right w:w="43" w:type="dxa"/>
            </w:tcMar>
            <w:vAlign w:val="bottom"/>
          </w:tcPr>
          <w:p w14:paraId="0C23531B" w14:textId="77777777" w:rsidR="000A2A2B" w:rsidRPr="007C3060" w:rsidRDefault="000A2A2B" w:rsidP="007C3060"/>
        </w:tc>
        <w:tc>
          <w:tcPr>
            <w:tcW w:w="540" w:type="dxa"/>
            <w:tcBorders>
              <w:top w:val="nil"/>
              <w:left w:val="nil"/>
              <w:bottom w:val="single" w:sz="4" w:space="0" w:color="000000"/>
              <w:right w:val="nil"/>
            </w:tcBorders>
            <w:tcMar>
              <w:top w:w="128" w:type="dxa"/>
              <w:left w:w="43" w:type="dxa"/>
              <w:bottom w:w="43" w:type="dxa"/>
              <w:right w:w="43" w:type="dxa"/>
            </w:tcMar>
            <w:vAlign w:val="bottom"/>
          </w:tcPr>
          <w:p w14:paraId="4237DAE5" w14:textId="77777777" w:rsidR="000A2A2B" w:rsidRPr="007C3060" w:rsidRDefault="000A2A2B" w:rsidP="007C3060"/>
        </w:tc>
        <w:tc>
          <w:tcPr>
            <w:tcW w:w="4000" w:type="dxa"/>
            <w:tcBorders>
              <w:top w:val="nil"/>
              <w:left w:val="nil"/>
              <w:bottom w:val="single" w:sz="4" w:space="0" w:color="000000"/>
              <w:right w:val="nil"/>
            </w:tcBorders>
            <w:tcMar>
              <w:top w:w="128" w:type="dxa"/>
              <w:left w:w="43" w:type="dxa"/>
              <w:bottom w:w="43" w:type="dxa"/>
              <w:right w:w="43" w:type="dxa"/>
            </w:tcMar>
            <w:vAlign w:val="bottom"/>
          </w:tcPr>
          <w:p w14:paraId="73D563D9" w14:textId="77777777" w:rsidR="000A2A2B" w:rsidRPr="007C3060" w:rsidRDefault="000A2A2B" w:rsidP="007C3060"/>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C6461CF" w14:textId="77777777" w:rsidR="000A2A2B" w:rsidRPr="007C3060" w:rsidRDefault="000A2A2B" w:rsidP="007C3060"/>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2092449" w14:textId="77777777" w:rsidR="000A2A2B" w:rsidRPr="007C3060" w:rsidRDefault="000A2A2B" w:rsidP="007C3060"/>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3C1AF15" w14:textId="77777777" w:rsidR="000A2A2B" w:rsidRPr="007C3060" w:rsidRDefault="000A2A2B" w:rsidP="007C3060"/>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86672B3" w14:textId="77777777" w:rsidR="000A2A2B" w:rsidRPr="007C3060" w:rsidRDefault="000A2A2B" w:rsidP="007C3060"/>
        </w:tc>
      </w:tr>
      <w:tr w:rsidR="004B729E" w:rsidRPr="007C3060" w14:paraId="1EE94711" w14:textId="77777777">
        <w:trPr>
          <w:trHeight w:val="380"/>
        </w:trPr>
        <w:tc>
          <w:tcPr>
            <w:tcW w:w="580" w:type="dxa"/>
            <w:tcBorders>
              <w:top w:val="single" w:sz="4" w:space="0" w:color="000000"/>
              <w:left w:val="single" w:sz="4" w:space="0" w:color="000000"/>
              <w:bottom w:val="nil"/>
              <w:right w:val="nil"/>
            </w:tcBorders>
            <w:tcMar>
              <w:top w:w="128" w:type="dxa"/>
              <w:left w:w="43" w:type="dxa"/>
              <w:bottom w:w="43" w:type="dxa"/>
              <w:right w:w="43" w:type="dxa"/>
            </w:tcMar>
          </w:tcPr>
          <w:p w14:paraId="5368C373" w14:textId="77777777" w:rsidR="000A2A2B" w:rsidRPr="007C3060" w:rsidRDefault="000A2A2B" w:rsidP="007C3060">
            <w:r w:rsidRPr="007C3060">
              <w:t>2800</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751F01F8"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tcPr>
          <w:p w14:paraId="419B7636" w14:textId="77777777" w:rsidR="000A2A2B" w:rsidRPr="007C3060" w:rsidRDefault="000A2A2B" w:rsidP="007C3060">
            <w:r w:rsidRPr="007C3060">
              <w:t>Statens pensjonsfond utland</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412DDD9" w14:textId="77777777" w:rsidR="000A2A2B" w:rsidRPr="007C3060" w:rsidRDefault="000A2A2B" w:rsidP="007C306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2D57458" w14:textId="77777777" w:rsidR="000A2A2B" w:rsidRPr="007C3060" w:rsidRDefault="000A2A2B" w:rsidP="007C3060"/>
        </w:tc>
        <w:tc>
          <w:tcPr>
            <w:tcW w:w="12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1DD3BBF"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F49D7D2" w14:textId="77777777" w:rsidR="000A2A2B" w:rsidRPr="007C3060" w:rsidRDefault="000A2A2B" w:rsidP="007C3060"/>
        </w:tc>
      </w:tr>
      <w:tr w:rsidR="004B729E" w:rsidRPr="007C3060" w14:paraId="20B9E9AE" w14:textId="77777777">
        <w:trPr>
          <w:trHeight w:val="380"/>
        </w:trPr>
        <w:tc>
          <w:tcPr>
            <w:tcW w:w="580" w:type="dxa"/>
            <w:tcBorders>
              <w:top w:val="nil"/>
              <w:left w:val="single" w:sz="4" w:space="0" w:color="000000"/>
              <w:bottom w:val="nil"/>
              <w:right w:val="nil"/>
            </w:tcBorders>
            <w:tcMar>
              <w:top w:w="128" w:type="dxa"/>
              <w:left w:w="43" w:type="dxa"/>
              <w:bottom w:w="43" w:type="dxa"/>
              <w:right w:w="43" w:type="dxa"/>
            </w:tcMar>
          </w:tcPr>
          <w:p w14:paraId="76581E5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D917854" w14:textId="77777777" w:rsidR="000A2A2B" w:rsidRPr="007C3060" w:rsidRDefault="000A2A2B" w:rsidP="007C3060">
            <w:r w:rsidRPr="007C3060">
              <w:t>96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0C1FE51" w14:textId="77777777" w:rsidR="000A2A2B" w:rsidRPr="007C3060" w:rsidRDefault="000A2A2B" w:rsidP="007C3060">
            <w:r w:rsidRPr="007C3060">
              <w:t xml:space="preserve">Finansposter overført til fondet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462E0F" w14:textId="77777777" w:rsidR="000A2A2B" w:rsidRPr="007C3060" w:rsidRDefault="000A2A2B" w:rsidP="007C3060">
            <w:r w:rsidRPr="007C3060">
              <w:t>82 100 000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61DDFA" w14:textId="77777777" w:rsidR="000A2A2B" w:rsidRPr="007C3060" w:rsidRDefault="000A2A2B" w:rsidP="007C3060">
            <w:r w:rsidRPr="007C3060">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8D8249" w14:textId="77777777" w:rsidR="000A2A2B" w:rsidRPr="007C3060" w:rsidRDefault="000A2A2B" w:rsidP="007C3060">
            <w:r w:rsidRPr="007C3060">
              <w:t>14 748 211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CBE26A" w14:textId="77777777" w:rsidR="000A2A2B" w:rsidRPr="007C3060" w:rsidRDefault="000A2A2B" w:rsidP="007C3060">
            <w:r w:rsidRPr="007C3060">
              <w:t>96 848 211</w:t>
            </w:r>
          </w:p>
        </w:tc>
      </w:tr>
      <w:tr w:rsidR="004B729E" w:rsidRPr="007C3060" w14:paraId="2F47EECA"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74684A4" w14:textId="77777777" w:rsidR="000A2A2B" w:rsidRPr="007C3060" w:rsidRDefault="000A2A2B" w:rsidP="007C3060">
            <w:r w:rsidRPr="007C3060">
              <w:t>Sum endringer Statens pensjonsfond utland</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75B458C"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387C7A7"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B032990" w14:textId="77777777" w:rsidR="000A2A2B" w:rsidRPr="007C3060" w:rsidRDefault="000A2A2B" w:rsidP="007C3060">
            <w:r w:rsidRPr="007C3060">
              <w:t>14 748 211</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35E2F42" w14:textId="77777777" w:rsidR="000A2A2B" w:rsidRPr="007C3060" w:rsidRDefault="000A2A2B" w:rsidP="007C3060"/>
        </w:tc>
      </w:tr>
      <w:tr w:rsidR="004B729E" w:rsidRPr="007C3060" w14:paraId="7FCDCAA3"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5A07FDD" w14:textId="77777777" w:rsidR="000A2A2B" w:rsidRPr="007C3060" w:rsidRDefault="000A2A2B" w:rsidP="007C3060">
            <w:r w:rsidRPr="007C3060">
              <w:t xml:space="preserve">Sum endringer utgifter </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956423D"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37E8DC" w14:textId="77777777" w:rsidR="000A2A2B" w:rsidRPr="007C3060" w:rsidRDefault="000A2A2B" w:rsidP="007C3060">
            <w:r w:rsidRPr="007C3060">
              <w:t>50 227 000</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4ED43CC" w14:textId="77777777" w:rsidR="000A2A2B" w:rsidRPr="007C3060" w:rsidRDefault="000A2A2B" w:rsidP="007C3060">
            <w:r w:rsidRPr="007C3060">
              <w:t>24 217 649</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4EB6F5" w14:textId="77777777" w:rsidR="000A2A2B" w:rsidRPr="007C3060" w:rsidRDefault="000A2A2B" w:rsidP="007C3060"/>
        </w:tc>
      </w:tr>
      <w:tr w:rsidR="004B729E" w:rsidRPr="007C3060" w14:paraId="31B071D3"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4E3D650" w14:textId="77777777" w:rsidR="000A2A2B" w:rsidRPr="007C3060" w:rsidRDefault="000A2A2B" w:rsidP="007C3060">
            <w:r w:rsidRPr="007C3060">
              <w:t xml:space="preserve">Herav 90 – 99 poster </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3A181B9" w14:textId="77777777" w:rsidR="000A2A2B" w:rsidRPr="007C3060" w:rsidRDefault="000A2A2B" w:rsidP="007C306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5FA54B2" w14:textId="77777777" w:rsidR="000A2A2B" w:rsidRPr="007C3060" w:rsidRDefault="000A2A2B" w:rsidP="007C3060">
            <w:r w:rsidRPr="007C3060">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F901D3C" w14:textId="77777777" w:rsidR="000A2A2B" w:rsidRPr="007C3060" w:rsidRDefault="000A2A2B" w:rsidP="007C3060">
            <w:r w:rsidRPr="007C3060">
              <w:t>21 328 427</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6BE6834" w14:textId="77777777" w:rsidR="000A2A2B" w:rsidRPr="007C3060" w:rsidRDefault="000A2A2B" w:rsidP="007C3060"/>
        </w:tc>
      </w:tr>
    </w:tbl>
    <w:p w14:paraId="2AD91B44" w14:textId="77777777" w:rsidR="000A2A2B" w:rsidRDefault="000A2A2B" w:rsidP="007C3060"/>
    <w:p w14:paraId="67E27F4F" w14:textId="2F443161" w:rsidR="002D296E" w:rsidRPr="002D296E" w:rsidRDefault="002D296E" w:rsidP="002D296E">
      <w:pPr>
        <w:pStyle w:val="Overskrift1"/>
        <w:rPr>
          <w:color w:val="EE0000"/>
        </w:rPr>
      </w:pPr>
      <w:r w:rsidRPr="002D296E">
        <w:rPr>
          <w:color w:val="EE0000"/>
        </w:rPr>
        <w:t>[</w:t>
      </w:r>
      <w:proofErr w:type="spellStart"/>
      <w:r w:rsidRPr="002D296E">
        <w:rPr>
          <w:color w:val="EE0000"/>
        </w:rPr>
        <w:t>Vedleggsnr</w:t>
      </w:r>
      <w:proofErr w:type="spellEnd"/>
      <w:r w:rsidRPr="002D296E">
        <w:rPr>
          <w:color w:val="EE0000"/>
        </w:rPr>
        <w:t>. Resett]</w:t>
      </w:r>
    </w:p>
    <w:p w14:paraId="65F7C10A" w14:textId="03EB94CD" w:rsidR="000A2A2B" w:rsidRPr="007C3060" w:rsidRDefault="000A2A2B" w:rsidP="007C3060">
      <w:pPr>
        <w:pStyle w:val="vedlegg-nr"/>
      </w:pPr>
    </w:p>
    <w:p w14:paraId="6CB58575" w14:textId="77777777" w:rsidR="000A2A2B" w:rsidRPr="007C3060" w:rsidRDefault="000A2A2B" w:rsidP="007C3060">
      <w:pPr>
        <w:pStyle w:val="vedlegg-tit"/>
      </w:pPr>
      <w:r w:rsidRPr="007C3060">
        <w:t>Endringer etter saldert budsjett, inntekter</w:t>
      </w:r>
    </w:p>
    <w:p w14:paraId="0ACDB7C4" w14:textId="77777777" w:rsidR="000A2A2B" w:rsidRPr="007C3060" w:rsidRDefault="000A2A2B" w:rsidP="007C3060">
      <w:pPr>
        <w:pStyle w:val="Tabellnavn"/>
      </w:pPr>
      <w:r w:rsidRPr="007C3060">
        <w:t>07N1xt2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80"/>
        <w:gridCol w:w="540"/>
        <w:gridCol w:w="4000"/>
        <w:gridCol w:w="1140"/>
        <w:gridCol w:w="1160"/>
        <w:gridCol w:w="1260"/>
        <w:gridCol w:w="1160"/>
      </w:tblGrid>
      <w:tr w:rsidR="004B729E" w:rsidRPr="007C3060" w14:paraId="7DDB1EAF" w14:textId="77777777">
        <w:trPr>
          <w:trHeight w:val="360"/>
        </w:trPr>
        <w:tc>
          <w:tcPr>
            <w:tcW w:w="580" w:type="dxa"/>
            <w:tcBorders>
              <w:top w:val="nil"/>
              <w:left w:val="nil"/>
              <w:bottom w:val="nil"/>
              <w:right w:val="nil"/>
            </w:tcBorders>
            <w:tcMar>
              <w:top w:w="128" w:type="dxa"/>
              <w:left w:w="43" w:type="dxa"/>
              <w:bottom w:w="43" w:type="dxa"/>
              <w:right w:w="103" w:type="dxa"/>
            </w:tcMar>
            <w:vAlign w:val="bottom"/>
          </w:tcPr>
          <w:p w14:paraId="110FA12A" w14:textId="77777777" w:rsidR="000A2A2B" w:rsidRPr="007C3060" w:rsidRDefault="000A2A2B" w:rsidP="007C3060"/>
        </w:tc>
        <w:tc>
          <w:tcPr>
            <w:tcW w:w="540" w:type="dxa"/>
            <w:tcBorders>
              <w:top w:val="nil"/>
              <w:left w:val="nil"/>
              <w:bottom w:val="nil"/>
              <w:right w:val="nil"/>
            </w:tcBorders>
            <w:tcMar>
              <w:top w:w="128" w:type="dxa"/>
              <w:left w:w="43" w:type="dxa"/>
              <w:bottom w:w="43" w:type="dxa"/>
              <w:right w:w="123" w:type="dxa"/>
            </w:tcMar>
            <w:vAlign w:val="bottom"/>
          </w:tcPr>
          <w:p w14:paraId="1FA67C43" w14:textId="77777777" w:rsidR="000A2A2B" w:rsidRPr="007C3060" w:rsidRDefault="000A2A2B" w:rsidP="007C3060"/>
        </w:tc>
        <w:tc>
          <w:tcPr>
            <w:tcW w:w="4000" w:type="dxa"/>
            <w:tcBorders>
              <w:top w:val="nil"/>
              <w:left w:val="nil"/>
              <w:bottom w:val="nil"/>
              <w:right w:val="nil"/>
            </w:tcBorders>
            <w:tcMar>
              <w:top w:w="128" w:type="dxa"/>
              <w:left w:w="43" w:type="dxa"/>
              <w:bottom w:w="43" w:type="dxa"/>
              <w:right w:w="43" w:type="dxa"/>
            </w:tcMar>
            <w:vAlign w:val="bottom"/>
          </w:tcPr>
          <w:p w14:paraId="50F9CC10" w14:textId="77777777" w:rsidR="000A2A2B" w:rsidRPr="007C3060" w:rsidRDefault="000A2A2B" w:rsidP="007C3060"/>
        </w:tc>
        <w:tc>
          <w:tcPr>
            <w:tcW w:w="1140" w:type="dxa"/>
            <w:tcBorders>
              <w:top w:val="nil"/>
              <w:left w:val="nil"/>
              <w:bottom w:val="nil"/>
              <w:right w:val="nil"/>
            </w:tcBorders>
            <w:tcMar>
              <w:top w:w="128" w:type="dxa"/>
              <w:left w:w="43" w:type="dxa"/>
              <w:bottom w:w="43" w:type="dxa"/>
              <w:right w:w="43" w:type="dxa"/>
            </w:tcMar>
            <w:vAlign w:val="bottom"/>
          </w:tcPr>
          <w:p w14:paraId="1A1664B8" w14:textId="77777777" w:rsidR="000A2A2B" w:rsidRPr="007C3060" w:rsidRDefault="000A2A2B" w:rsidP="007C3060"/>
        </w:tc>
        <w:tc>
          <w:tcPr>
            <w:tcW w:w="1160" w:type="dxa"/>
            <w:tcBorders>
              <w:top w:val="nil"/>
              <w:left w:val="nil"/>
              <w:bottom w:val="nil"/>
              <w:right w:val="nil"/>
            </w:tcBorders>
            <w:tcMar>
              <w:top w:w="128" w:type="dxa"/>
              <w:left w:w="43" w:type="dxa"/>
              <w:bottom w:w="43" w:type="dxa"/>
              <w:right w:w="43" w:type="dxa"/>
            </w:tcMar>
            <w:vAlign w:val="bottom"/>
          </w:tcPr>
          <w:p w14:paraId="6822B7B0" w14:textId="77777777" w:rsidR="000A2A2B" w:rsidRPr="007C3060" w:rsidRDefault="000A2A2B" w:rsidP="007C3060"/>
        </w:tc>
        <w:tc>
          <w:tcPr>
            <w:tcW w:w="1260" w:type="dxa"/>
            <w:tcBorders>
              <w:top w:val="nil"/>
              <w:left w:val="nil"/>
              <w:bottom w:val="nil"/>
              <w:right w:val="nil"/>
            </w:tcBorders>
            <w:tcMar>
              <w:top w:w="128" w:type="dxa"/>
              <w:left w:w="43" w:type="dxa"/>
              <w:bottom w:w="43" w:type="dxa"/>
              <w:right w:w="43" w:type="dxa"/>
            </w:tcMar>
            <w:vAlign w:val="bottom"/>
          </w:tcPr>
          <w:p w14:paraId="16EDDAC5" w14:textId="77777777" w:rsidR="000A2A2B" w:rsidRPr="007C3060" w:rsidRDefault="000A2A2B" w:rsidP="007C3060"/>
        </w:tc>
        <w:tc>
          <w:tcPr>
            <w:tcW w:w="1160" w:type="dxa"/>
            <w:tcBorders>
              <w:top w:val="nil"/>
              <w:left w:val="nil"/>
              <w:bottom w:val="nil"/>
              <w:right w:val="nil"/>
            </w:tcBorders>
            <w:tcMar>
              <w:top w:w="128" w:type="dxa"/>
              <w:left w:w="43" w:type="dxa"/>
              <w:bottom w:w="43" w:type="dxa"/>
              <w:right w:w="43" w:type="dxa"/>
            </w:tcMar>
            <w:vAlign w:val="bottom"/>
          </w:tcPr>
          <w:p w14:paraId="3DEE6666" w14:textId="77777777" w:rsidR="000A2A2B" w:rsidRPr="007C3060" w:rsidRDefault="000A2A2B" w:rsidP="007C3060">
            <w:r w:rsidRPr="007C3060">
              <w:t>1 000 kroner</w:t>
            </w:r>
          </w:p>
        </w:tc>
      </w:tr>
      <w:tr w:rsidR="004B729E" w:rsidRPr="007C3060" w14:paraId="1EF5ABEE" w14:textId="77777777">
        <w:trPr>
          <w:trHeight w:val="1120"/>
        </w:trPr>
        <w:tc>
          <w:tcPr>
            <w:tcW w:w="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103" w:type="dxa"/>
            </w:tcMar>
            <w:vAlign w:val="bottom"/>
          </w:tcPr>
          <w:p w14:paraId="5A35124A" w14:textId="77777777" w:rsidR="000A2A2B" w:rsidRPr="007C3060" w:rsidRDefault="000A2A2B" w:rsidP="007C3060">
            <w:r w:rsidRPr="007C3060">
              <w:lastRenderedPageBreak/>
              <w:t>Kap.</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123" w:type="dxa"/>
            </w:tcMar>
            <w:vAlign w:val="bottom"/>
          </w:tcPr>
          <w:p w14:paraId="410B7E52" w14:textId="77777777" w:rsidR="000A2A2B" w:rsidRPr="007C3060" w:rsidRDefault="000A2A2B" w:rsidP="007C3060">
            <w:r w:rsidRPr="007C3060">
              <w:t xml:space="preserve">Post </w:t>
            </w:r>
          </w:p>
        </w:tc>
        <w:tc>
          <w:tcPr>
            <w:tcW w:w="40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0F9D6AB" w14:textId="77777777" w:rsidR="000A2A2B" w:rsidRPr="007C3060" w:rsidRDefault="000A2A2B" w:rsidP="007C3060">
            <w:r w:rsidRPr="007C3060">
              <w:t>Formål</w:t>
            </w:r>
          </w:p>
        </w:tc>
        <w:tc>
          <w:tcPr>
            <w:tcW w:w="11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BAD57E1" w14:textId="04C3A6B7" w:rsidR="000A2A2B" w:rsidRPr="007C3060" w:rsidRDefault="000A2A2B" w:rsidP="007C3060">
            <w:r w:rsidRPr="007C3060">
              <w:t>Saldert budsjett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4113306" w14:textId="60DF5F32" w:rsidR="000A2A2B" w:rsidRPr="007C3060" w:rsidRDefault="000A2A2B" w:rsidP="007C3060">
            <w:r w:rsidRPr="007C3060">
              <w:t>Endringer foreslått i perioden</w:t>
            </w: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2DF3051" w14:textId="500B46C7" w:rsidR="000A2A2B" w:rsidRPr="007C3060" w:rsidRDefault="000A2A2B" w:rsidP="007C3060">
            <w:r w:rsidRPr="007C3060">
              <w:t>Endringer foreslått i denne -proposisjonen</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74D63AC" w14:textId="77777777" w:rsidR="000A2A2B" w:rsidRPr="007C3060" w:rsidRDefault="000A2A2B" w:rsidP="007C3060">
            <w:r w:rsidRPr="007C3060">
              <w:t>Status etter endringen</w:t>
            </w:r>
          </w:p>
        </w:tc>
      </w:tr>
      <w:tr w:rsidR="004B729E" w:rsidRPr="007C3060" w14:paraId="7CBFF998" w14:textId="77777777">
        <w:trPr>
          <w:trHeight w:val="380"/>
        </w:trPr>
        <w:tc>
          <w:tcPr>
            <w:tcW w:w="580" w:type="dxa"/>
            <w:tcBorders>
              <w:top w:val="single" w:sz="4" w:space="0" w:color="000000"/>
              <w:left w:val="single" w:sz="4" w:space="0" w:color="000000"/>
              <w:bottom w:val="nil"/>
              <w:right w:val="single" w:sz="4" w:space="0" w:color="000000"/>
            </w:tcBorders>
            <w:tcMar>
              <w:top w:w="128" w:type="dxa"/>
              <w:left w:w="43" w:type="dxa"/>
              <w:bottom w:w="43" w:type="dxa"/>
              <w:right w:w="103" w:type="dxa"/>
            </w:tcMar>
          </w:tcPr>
          <w:p w14:paraId="51D19942" w14:textId="77777777" w:rsidR="000A2A2B" w:rsidRPr="007C3060" w:rsidRDefault="000A2A2B" w:rsidP="007C3060">
            <w:r w:rsidRPr="007C3060">
              <w:t>3041</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vAlign w:val="bottom"/>
          </w:tcPr>
          <w:p w14:paraId="70F163F9"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7952FFB" w14:textId="77777777" w:rsidR="000A2A2B" w:rsidRPr="007C3060" w:rsidRDefault="000A2A2B" w:rsidP="007C3060">
            <w:r w:rsidRPr="007C3060">
              <w:t>Stortinget</w:t>
            </w:r>
          </w:p>
        </w:tc>
        <w:tc>
          <w:tcPr>
            <w:tcW w:w="114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15E9902"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520C010" w14:textId="77777777" w:rsidR="000A2A2B" w:rsidRPr="007C3060" w:rsidRDefault="000A2A2B" w:rsidP="007C3060"/>
        </w:tc>
        <w:tc>
          <w:tcPr>
            <w:tcW w:w="12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474F397"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5B1B02A" w14:textId="77777777" w:rsidR="000A2A2B" w:rsidRPr="007C3060" w:rsidRDefault="000A2A2B" w:rsidP="007C3060"/>
        </w:tc>
      </w:tr>
      <w:tr w:rsidR="004B729E" w:rsidRPr="007C3060" w14:paraId="27A3B46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BD7413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BEDC4B4"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A0129F" w14:textId="77777777" w:rsidR="000A2A2B" w:rsidRPr="007C3060" w:rsidRDefault="000A2A2B" w:rsidP="007C3060">
            <w:r w:rsidRPr="007C3060">
              <w:t>Salgsinntekter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F72073" w14:textId="77777777" w:rsidR="000A2A2B" w:rsidRPr="007C3060" w:rsidRDefault="000A2A2B" w:rsidP="007C3060">
            <w:r w:rsidRPr="007C3060">
              <w:t>6 190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A4A894"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E41692" w14:textId="77777777" w:rsidR="000A2A2B" w:rsidRPr="007C3060" w:rsidRDefault="000A2A2B" w:rsidP="007C3060">
            <w:r w:rsidRPr="007C3060">
              <w:t>310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42D2F5" w14:textId="77777777" w:rsidR="000A2A2B" w:rsidRPr="007C3060" w:rsidRDefault="000A2A2B" w:rsidP="007C3060">
            <w:r w:rsidRPr="007C3060">
              <w:t>6 500</w:t>
            </w:r>
          </w:p>
        </w:tc>
      </w:tr>
      <w:tr w:rsidR="004B729E" w:rsidRPr="007C3060" w14:paraId="0E4DFF5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E4CC47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21AA68E" w14:textId="77777777" w:rsidR="000A2A2B" w:rsidRPr="007C3060" w:rsidRDefault="000A2A2B" w:rsidP="007C3060">
            <w:r w:rsidRPr="007C3060">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7489CE" w14:textId="77777777" w:rsidR="000A2A2B" w:rsidRPr="007C3060" w:rsidRDefault="000A2A2B" w:rsidP="007C3060">
            <w:r w:rsidRPr="007C3060">
              <w:t>Leieinntekter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D74CD3" w14:textId="77777777" w:rsidR="000A2A2B" w:rsidRPr="007C3060" w:rsidRDefault="000A2A2B" w:rsidP="007C3060">
            <w:r w:rsidRPr="007C3060">
              <w:t>2 387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AAFBD7"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8C41FE" w14:textId="77777777" w:rsidR="000A2A2B" w:rsidRPr="007C3060" w:rsidRDefault="000A2A2B" w:rsidP="007C3060">
            <w:r w:rsidRPr="007C3060">
              <w:t>1 400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CC93C6" w14:textId="77777777" w:rsidR="000A2A2B" w:rsidRPr="007C3060" w:rsidRDefault="000A2A2B" w:rsidP="007C3060">
            <w:r w:rsidRPr="007C3060">
              <w:t>3 787</w:t>
            </w:r>
          </w:p>
        </w:tc>
      </w:tr>
      <w:tr w:rsidR="004B729E" w:rsidRPr="007C3060" w14:paraId="7251620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149F32A" w14:textId="77777777" w:rsidR="000A2A2B" w:rsidRPr="007C3060" w:rsidRDefault="000A2A2B" w:rsidP="007C3060">
            <w:r w:rsidRPr="007C3060">
              <w:t>3100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D02796F"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F975BD" w14:textId="77777777" w:rsidR="000A2A2B" w:rsidRPr="007C3060" w:rsidRDefault="000A2A2B" w:rsidP="007C3060">
            <w:r w:rsidRPr="007C3060">
              <w:t>Utenriksdepartementet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26820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57A42E"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425DC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14E992" w14:textId="77777777" w:rsidR="000A2A2B" w:rsidRPr="007C3060" w:rsidRDefault="000A2A2B" w:rsidP="007C3060"/>
        </w:tc>
      </w:tr>
      <w:tr w:rsidR="004B729E" w:rsidRPr="007C3060" w14:paraId="4DF49117"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72B68A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75AF071" w14:textId="77777777" w:rsidR="000A2A2B" w:rsidRPr="007C3060" w:rsidRDefault="000A2A2B" w:rsidP="007C3060">
            <w:r w:rsidRPr="007C306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C6D8C0" w14:textId="3354EB07" w:rsidR="000A2A2B" w:rsidRPr="007C3060" w:rsidRDefault="000A2A2B" w:rsidP="007C3060">
            <w:r w:rsidRPr="007C3060">
              <w:t>Gebyrer for utlendingssaker ved utenriksstasjonene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75EBFB" w14:textId="77777777" w:rsidR="000A2A2B" w:rsidRPr="007C3060" w:rsidRDefault="000A2A2B" w:rsidP="007C3060">
            <w:r w:rsidRPr="007C3060">
              <w:t>274 000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EAD8CB"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8BD112" w14:textId="77777777" w:rsidR="000A2A2B" w:rsidRPr="007C3060" w:rsidRDefault="000A2A2B" w:rsidP="007C3060">
            <w:r w:rsidRPr="007C3060">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E0539E" w14:textId="77777777" w:rsidR="000A2A2B" w:rsidRPr="007C3060" w:rsidRDefault="000A2A2B" w:rsidP="007C3060">
            <w:r w:rsidRPr="007C3060">
              <w:t>278 000</w:t>
            </w:r>
          </w:p>
        </w:tc>
      </w:tr>
      <w:tr w:rsidR="004B729E" w:rsidRPr="007C3060" w14:paraId="5F9441D6"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A6EFE2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4F187C4D" w14:textId="77777777" w:rsidR="000A2A2B" w:rsidRPr="007C3060" w:rsidRDefault="000A2A2B" w:rsidP="007C3060">
            <w:r w:rsidRPr="007C3060">
              <w:t>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656BEA" w14:textId="5BA71170" w:rsidR="000A2A2B" w:rsidRPr="007C3060" w:rsidRDefault="000A2A2B" w:rsidP="007C3060">
            <w:r w:rsidRPr="007C3060">
              <w:t>Tilbakebetaling ifm. avvikling av gjelds-brevordningen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E9D6F6" w14:textId="77777777" w:rsidR="000A2A2B" w:rsidRPr="007C3060" w:rsidRDefault="000A2A2B" w:rsidP="007C3060">
            <w:r w:rsidRPr="007C3060">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E86506"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785FDD" w14:textId="77777777" w:rsidR="000A2A2B" w:rsidRPr="007C3060" w:rsidRDefault="000A2A2B" w:rsidP="007C3060">
            <w:r w:rsidRPr="007C3060">
              <w:t>230 000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025C1A" w14:textId="77777777" w:rsidR="000A2A2B" w:rsidRPr="007C3060" w:rsidRDefault="000A2A2B" w:rsidP="007C3060">
            <w:r w:rsidRPr="007C3060">
              <w:t>230 000</w:t>
            </w:r>
          </w:p>
        </w:tc>
      </w:tr>
      <w:tr w:rsidR="004B729E" w:rsidRPr="007C3060" w14:paraId="05A1306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5AE9A43" w14:textId="77777777" w:rsidR="000A2A2B" w:rsidRPr="007C3060" w:rsidRDefault="000A2A2B" w:rsidP="007C3060">
            <w:r w:rsidRPr="007C3060">
              <w:t>3200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660EF48"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C8690E" w14:textId="5BC93040" w:rsidR="000A2A2B" w:rsidRPr="007C3060" w:rsidRDefault="000A2A2B" w:rsidP="007C3060">
            <w:r w:rsidRPr="007C3060">
              <w:t>Kunnskapsdepartementet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733E5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2C4E6D"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C980F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64731F" w14:textId="77777777" w:rsidR="000A2A2B" w:rsidRPr="007C3060" w:rsidRDefault="000A2A2B" w:rsidP="007C3060"/>
        </w:tc>
      </w:tr>
      <w:tr w:rsidR="004B729E" w:rsidRPr="007C3060" w14:paraId="2120690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3C98AA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5D7E07E" w14:textId="77777777" w:rsidR="000A2A2B" w:rsidRPr="007C3060" w:rsidRDefault="000A2A2B" w:rsidP="007C3060">
            <w:r w:rsidRPr="007C3060">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CC1D78" w14:textId="77777777" w:rsidR="000A2A2B" w:rsidRPr="007C3060" w:rsidRDefault="000A2A2B" w:rsidP="007C3060">
            <w:r w:rsidRPr="007C3060">
              <w:t>Inntekter fra fremleie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934C86" w14:textId="77777777" w:rsidR="000A2A2B" w:rsidRPr="007C3060" w:rsidRDefault="000A2A2B" w:rsidP="007C3060">
            <w:r w:rsidRPr="007C3060">
              <w:t>4 500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EB98E8"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55C93C" w14:textId="77777777" w:rsidR="000A2A2B" w:rsidRPr="007C3060" w:rsidRDefault="000A2A2B" w:rsidP="007C3060">
            <w:r w:rsidRPr="007C3060">
              <w:t>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15CB2E" w14:textId="77777777" w:rsidR="000A2A2B" w:rsidRPr="007C3060" w:rsidRDefault="000A2A2B" w:rsidP="007C3060">
            <w:r w:rsidRPr="007C3060">
              <w:t>5 000</w:t>
            </w:r>
          </w:p>
        </w:tc>
      </w:tr>
      <w:tr w:rsidR="004B729E" w:rsidRPr="007C3060" w14:paraId="2204608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7369BF54" w14:textId="77777777" w:rsidR="000A2A2B" w:rsidRPr="007C3060" w:rsidRDefault="000A2A2B" w:rsidP="007C3060">
            <w:r w:rsidRPr="007C3060">
              <w:t>3225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ADDE38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6EFFDE" w14:textId="77777777" w:rsidR="000A2A2B" w:rsidRPr="007C3060" w:rsidRDefault="000A2A2B" w:rsidP="007C3060">
            <w:r w:rsidRPr="007C3060">
              <w:t>Tiltak i grunnopplæringen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5AE69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4C8A36"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5F40A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3F9359" w14:textId="77777777" w:rsidR="000A2A2B" w:rsidRPr="007C3060" w:rsidRDefault="000A2A2B" w:rsidP="007C3060"/>
        </w:tc>
      </w:tr>
      <w:tr w:rsidR="004B729E" w:rsidRPr="007C3060" w14:paraId="03CCB22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CF8C2F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E5B3E84" w14:textId="77777777" w:rsidR="000A2A2B" w:rsidRPr="007C3060" w:rsidRDefault="000A2A2B" w:rsidP="007C3060">
            <w:r w:rsidRPr="007C3060">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7A12D0" w14:textId="77777777" w:rsidR="000A2A2B" w:rsidRPr="007C3060" w:rsidRDefault="000A2A2B" w:rsidP="007C3060">
            <w:r w:rsidRPr="007C3060">
              <w:t>Refusjon av ODA-godkjente utgifter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308CA1" w14:textId="77777777" w:rsidR="000A2A2B" w:rsidRPr="007C3060" w:rsidRDefault="000A2A2B" w:rsidP="007C3060">
            <w:r w:rsidRPr="007C3060">
              <w:t>293 709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8FD8DF"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7FE1CA" w14:textId="77777777" w:rsidR="000A2A2B" w:rsidRPr="007C3060" w:rsidRDefault="000A2A2B" w:rsidP="007C3060">
            <w:r w:rsidRPr="007C3060">
              <w:t>-85 128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05E91C" w14:textId="77777777" w:rsidR="000A2A2B" w:rsidRPr="007C3060" w:rsidRDefault="000A2A2B" w:rsidP="007C3060">
            <w:r w:rsidRPr="007C3060">
              <w:t>208 581</w:t>
            </w:r>
          </w:p>
        </w:tc>
      </w:tr>
      <w:tr w:rsidR="004B729E" w:rsidRPr="007C3060" w14:paraId="5B9D165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EDAAFD2" w14:textId="77777777" w:rsidR="000A2A2B" w:rsidRPr="007C3060" w:rsidRDefault="000A2A2B" w:rsidP="007C3060">
            <w:r w:rsidRPr="007C3060">
              <w:t>3230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697F398"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68BBB4" w14:textId="77777777" w:rsidR="000A2A2B" w:rsidRPr="007C3060" w:rsidRDefault="000A2A2B" w:rsidP="007C3060">
            <w:r w:rsidRPr="007C3060">
              <w:t>Statlig spesialpedagogisk tjeneste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F5A5A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E1F462"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6903D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C5C180" w14:textId="77777777" w:rsidR="000A2A2B" w:rsidRPr="007C3060" w:rsidRDefault="000A2A2B" w:rsidP="007C3060"/>
        </w:tc>
      </w:tr>
      <w:tr w:rsidR="004B729E" w:rsidRPr="007C3060" w14:paraId="7B9BD43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46F662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0AE5F0D" w14:textId="77777777" w:rsidR="000A2A2B" w:rsidRPr="007C3060" w:rsidRDefault="000A2A2B" w:rsidP="007C3060">
            <w:r w:rsidRPr="007C306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8145BF" w14:textId="77777777" w:rsidR="000A2A2B" w:rsidRPr="007C3060" w:rsidRDefault="000A2A2B" w:rsidP="007C3060">
            <w:r w:rsidRPr="007C3060">
              <w:t>Salgsinntekter mv.</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5D89EC" w14:textId="77777777" w:rsidR="000A2A2B" w:rsidRPr="007C3060" w:rsidRDefault="000A2A2B" w:rsidP="007C3060">
            <w:r w:rsidRPr="007C3060">
              <w:t>8 035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812542"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7F3F00" w14:textId="77777777" w:rsidR="000A2A2B" w:rsidRPr="007C3060" w:rsidRDefault="000A2A2B" w:rsidP="007C3060">
            <w:r w:rsidRPr="007C3060">
              <w:t>-4 400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A0BDBD" w14:textId="77777777" w:rsidR="000A2A2B" w:rsidRPr="007C3060" w:rsidRDefault="000A2A2B" w:rsidP="007C3060">
            <w:r w:rsidRPr="007C3060">
              <w:t>3 635</w:t>
            </w:r>
          </w:p>
        </w:tc>
      </w:tr>
      <w:tr w:rsidR="004B729E" w:rsidRPr="007C3060" w14:paraId="3D99878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429835F" w14:textId="77777777" w:rsidR="000A2A2B" w:rsidRPr="007C3060" w:rsidRDefault="000A2A2B" w:rsidP="007C3060">
            <w:r w:rsidRPr="007C3060">
              <w:t>3288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7A1A64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75F386" w14:textId="77777777" w:rsidR="000A2A2B" w:rsidRPr="007C3060" w:rsidRDefault="000A2A2B" w:rsidP="007C3060">
            <w:r w:rsidRPr="007C3060">
              <w:t>Internasjonale samarbeidstiltak</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0C38D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EC7B4D"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42F67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F6F81F" w14:textId="77777777" w:rsidR="000A2A2B" w:rsidRPr="007C3060" w:rsidRDefault="000A2A2B" w:rsidP="007C3060"/>
        </w:tc>
      </w:tr>
      <w:tr w:rsidR="004B729E" w:rsidRPr="007C3060" w14:paraId="25B005D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5F0AD0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D2A5908" w14:textId="77777777" w:rsidR="000A2A2B" w:rsidRPr="007C3060" w:rsidRDefault="000A2A2B" w:rsidP="007C3060">
            <w:r w:rsidRPr="007C3060">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A654EF" w14:textId="77777777" w:rsidR="000A2A2B" w:rsidRPr="007C3060" w:rsidRDefault="000A2A2B" w:rsidP="007C3060">
            <w:r w:rsidRPr="007C3060">
              <w:t>Refusjon av ODA-godkjente utgifter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15242D" w14:textId="77777777" w:rsidR="000A2A2B" w:rsidRPr="007C3060" w:rsidRDefault="000A2A2B" w:rsidP="007C3060">
            <w:r w:rsidRPr="007C3060">
              <w:t>19 025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199389"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3DC9A9" w14:textId="77777777" w:rsidR="000A2A2B" w:rsidRPr="007C3060" w:rsidRDefault="000A2A2B" w:rsidP="007C3060">
            <w:r w:rsidRPr="007C3060">
              <w:t>388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6E1889" w14:textId="77777777" w:rsidR="000A2A2B" w:rsidRPr="007C3060" w:rsidRDefault="000A2A2B" w:rsidP="007C3060">
            <w:r w:rsidRPr="007C3060">
              <w:t>19 413</w:t>
            </w:r>
          </w:p>
        </w:tc>
      </w:tr>
      <w:tr w:rsidR="004B729E" w:rsidRPr="007C3060" w14:paraId="2B3BC7D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CDC697C" w14:textId="77777777" w:rsidR="000A2A2B" w:rsidRPr="007C3060" w:rsidRDefault="000A2A2B" w:rsidP="007C3060">
            <w:r w:rsidRPr="007C3060">
              <w:t>3400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EC7A13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80E631" w14:textId="77777777" w:rsidR="000A2A2B" w:rsidRPr="007C3060" w:rsidRDefault="000A2A2B" w:rsidP="007C3060">
            <w:r w:rsidRPr="007C3060">
              <w:t>Justis- og beredskapsdepartementet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0BC18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0BA504"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C66FE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BFEEE0" w14:textId="77777777" w:rsidR="000A2A2B" w:rsidRPr="007C3060" w:rsidRDefault="000A2A2B" w:rsidP="007C3060"/>
        </w:tc>
      </w:tr>
      <w:tr w:rsidR="004B729E" w:rsidRPr="007C3060" w14:paraId="56D4828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F6D587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0E8C320"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9264F0" w14:textId="77777777" w:rsidR="000A2A2B" w:rsidRPr="007C3060" w:rsidRDefault="000A2A2B" w:rsidP="007C3060">
            <w:r w:rsidRPr="007C3060">
              <w:t>Diverse 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371B83" w14:textId="77777777" w:rsidR="000A2A2B" w:rsidRPr="007C3060" w:rsidRDefault="000A2A2B" w:rsidP="007C3060">
            <w:r w:rsidRPr="007C3060">
              <w:t>6 582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273FA5"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C14241" w14:textId="77777777" w:rsidR="000A2A2B" w:rsidRPr="007C3060" w:rsidRDefault="000A2A2B" w:rsidP="007C3060">
            <w:r w:rsidRPr="007C3060">
              <w:t>-1 582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17A2FC" w14:textId="77777777" w:rsidR="000A2A2B" w:rsidRPr="007C3060" w:rsidRDefault="000A2A2B" w:rsidP="007C3060">
            <w:r w:rsidRPr="007C3060">
              <w:t>5 000</w:t>
            </w:r>
          </w:p>
        </w:tc>
      </w:tr>
      <w:tr w:rsidR="004B729E" w:rsidRPr="007C3060" w14:paraId="7AE2218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1A12F5E" w14:textId="77777777" w:rsidR="000A2A2B" w:rsidRPr="007C3060" w:rsidRDefault="000A2A2B" w:rsidP="007C3060">
            <w:r w:rsidRPr="007C3060">
              <w:t>3440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FA3025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9C96BE" w14:textId="77777777" w:rsidR="000A2A2B" w:rsidRPr="007C3060" w:rsidRDefault="000A2A2B" w:rsidP="007C3060">
            <w:r w:rsidRPr="007C3060">
              <w:t>Politiet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4FF58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8A20B8"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15F7E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D52B12" w14:textId="77777777" w:rsidR="000A2A2B" w:rsidRPr="007C3060" w:rsidRDefault="000A2A2B" w:rsidP="007C3060"/>
        </w:tc>
      </w:tr>
      <w:tr w:rsidR="004B729E" w:rsidRPr="007C3060" w14:paraId="62260D1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02E6AD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FC6096F"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64B1CE" w14:textId="77777777" w:rsidR="000A2A2B" w:rsidRPr="007C3060" w:rsidRDefault="000A2A2B" w:rsidP="007C3060">
            <w:r w:rsidRPr="007C3060">
              <w:t>Gebyr – pass og ID-kort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05F471" w14:textId="77777777" w:rsidR="000A2A2B" w:rsidRPr="007C3060" w:rsidRDefault="000A2A2B" w:rsidP="007C3060">
            <w:r w:rsidRPr="007C3060">
              <w:t>918 262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7F6D44"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8F97DA" w14:textId="77777777" w:rsidR="000A2A2B" w:rsidRPr="007C3060" w:rsidRDefault="000A2A2B" w:rsidP="007C3060">
            <w:r w:rsidRPr="007C3060">
              <w:t>-195 877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C17158" w14:textId="77777777" w:rsidR="000A2A2B" w:rsidRPr="007C3060" w:rsidRDefault="000A2A2B" w:rsidP="007C3060">
            <w:r w:rsidRPr="007C3060">
              <w:t>722 385</w:t>
            </w:r>
          </w:p>
        </w:tc>
      </w:tr>
      <w:tr w:rsidR="004B729E" w:rsidRPr="007C3060" w14:paraId="6B0AF2C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8D025A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442829E" w14:textId="77777777" w:rsidR="000A2A2B" w:rsidRPr="007C3060" w:rsidRDefault="000A2A2B" w:rsidP="007C3060">
            <w:r w:rsidRPr="007C3060">
              <w:t>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99AB48" w14:textId="77777777" w:rsidR="000A2A2B" w:rsidRPr="007C3060" w:rsidRDefault="000A2A2B" w:rsidP="007C3060">
            <w:r w:rsidRPr="007C3060">
              <w:t>Gebyr – utlendingssaker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4CD8B9" w14:textId="77777777" w:rsidR="000A2A2B" w:rsidRPr="007C3060" w:rsidRDefault="000A2A2B" w:rsidP="007C3060">
            <w:r w:rsidRPr="007C3060">
              <w:t>321 613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231CCD"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14DE63" w14:textId="77777777" w:rsidR="000A2A2B" w:rsidRPr="007C3060" w:rsidRDefault="000A2A2B" w:rsidP="007C3060">
            <w:r w:rsidRPr="007C3060">
              <w:t>806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A41D76" w14:textId="77777777" w:rsidR="000A2A2B" w:rsidRPr="007C3060" w:rsidRDefault="000A2A2B" w:rsidP="007C3060">
            <w:r w:rsidRPr="007C3060">
              <w:t>322 419</w:t>
            </w:r>
          </w:p>
        </w:tc>
      </w:tr>
      <w:tr w:rsidR="004B729E" w:rsidRPr="007C3060" w14:paraId="59D184F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E0FFF57" w14:textId="77777777" w:rsidR="000A2A2B" w:rsidRPr="007C3060" w:rsidRDefault="000A2A2B" w:rsidP="007C3060">
            <w:r w:rsidRPr="007C3060">
              <w:t>3461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6C37C6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88666A" w14:textId="77777777" w:rsidR="000A2A2B" w:rsidRPr="007C3060" w:rsidRDefault="000A2A2B" w:rsidP="007C3060">
            <w:r w:rsidRPr="007C3060">
              <w:t>Advokattilsynet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CDD90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0BF0BC"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1F143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5688F8" w14:textId="77777777" w:rsidR="000A2A2B" w:rsidRPr="007C3060" w:rsidRDefault="000A2A2B" w:rsidP="007C3060"/>
        </w:tc>
      </w:tr>
      <w:tr w:rsidR="004B729E" w:rsidRPr="007C3060" w14:paraId="292BCB3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5E6966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A23C5E2"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6B1CE3" w14:textId="77777777" w:rsidR="000A2A2B" w:rsidRPr="007C3060" w:rsidRDefault="000A2A2B" w:rsidP="007C3060">
            <w:r w:rsidRPr="007C3060">
              <w:t>Bidrag fra advokater og forvalterordning</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3FE344" w14:textId="77777777" w:rsidR="000A2A2B" w:rsidRPr="007C3060" w:rsidRDefault="000A2A2B" w:rsidP="007C3060">
            <w:r w:rsidRPr="007C3060">
              <w:t>51 500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FE8763"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9CB914" w14:textId="77777777" w:rsidR="000A2A2B" w:rsidRPr="007C3060" w:rsidRDefault="000A2A2B" w:rsidP="007C3060">
            <w:r w:rsidRPr="007C3060">
              <w:t>-3 200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75257D" w14:textId="77777777" w:rsidR="000A2A2B" w:rsidRPr="007C3060" w:rsidRDefault="000A2A2B" w:rsidP="007C3060">
            <w:r w:rsidRPr="007C3060">
              <w:t>48 300</w:t>
            </w:r>
          </w:p>
        </w:tc>
      </w:tr>
      <w:tr w:rsidR="004B729E" w:rsidRPr="007C3060" w14:paraId="333E91A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01F7CD6" w14:textId="77777777" w:rsidR="000A2A2B" w:rsidRPr="007C3060" w:rsidRDefault="000A2A2B" w:rsidP="007C3060">
            <w:r w:rsidRPr="007C3060">
              <w:t>3490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304CEC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7DB739" w14:textId="77777777" w:rsidR="000A2A2B" w:rsidRPr="007C3060" w:rsidRDefault="000A2A2B" w:rsidP="007C3060">
            <w:r w:rsidRPr="007C3060">
              <w:t>Utlendingsdirektoratet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EAB86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B0E31B"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054DE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8B4764" w14:textId="77777777" w:rsidR="000A2A2B" w:rsidRPr="007C3060" w:rsidRDefault="000A2A2B" w:rsidP="007C3060"/>
        </w:tc>
      </w:tr>
      <w:tr w:rsidR="004B729E" w:rsidRPr="007C3060" w14:paraId="006E2EC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266BB1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A233745"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0C1F78" w14:textId="77777777" w:rsidR="000A2A2B" w:rsidRPr="007C3060" w:rsidRDefault="000A2A2B" w:rsidP="007C3060">
            <w:r w:rsidRPr="007C3060">
              <w:t>Assistert retur fra Norge for asylsøkere med avslag, ODA-godkjente utgifter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20216D" w14:textId="77777777" w:rsidR="000A2A2B" w:rsidRPr="007C3060" w:rsidRDefault="000A2A2B" w:rsidP="007C3060">
            <w:r w:rsidRPr="007C3060">
              <w:t>6 286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AF1C8D"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E731C7" w14:textId="77777777" w:rsidR="000A2A2B" w:rsidRPr="007C3060" w:rsidRDefault="000A2A2B" w:rsidP="007C3060">
            <w:r w:rsidRPr="007C3060">
              <w:t>1 229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6D6FFF" w14:textId="77777777" w:rsidR="000A2A2B" w:rsidRPr="007C3060" w:rsidRDefault="000A2A2B" w:rsidP="007C3060">
            <w:r w:rsidRPr="007C3060">
              <w:t>7 515</w:t>
            </w:r>
          </w:p>
        </w:tc>
      </w:tr>
      <w:tr w:rsidR="004B729E" w:rsidRPr="007C3060" w14:paraId="3EF79978" w14:textId="77777777">
        <w:trPr>
          <w:trHeight w:val="640"/>
        </w:trPr>
        <w:tc>
          <w:tcPr>
            <w:tcW w:w="580" w:type="dxa"/>
            <w:tcBorders>
              <w:top w:val="single" w:sz="4" w:space="0" w:color="000000"/>
              <w:left w:val="single" w:sz="4" w:space="0" w:color="000000"/>
              <w:bottom w:val="nil"/>
              <w:right w:val="single" w:sz="4" w:space="0" w:color="000000"/>
            </w:tcBorders>
            <w:tcMar>
              <w:top w:w="128" w:type="dxa"/>
              <w:left w:w="43" w:type="dxa"/>
              <w:bottom w:w="43" w:type="dxa"/>
              <w:right w:w="103" w:type="dxa"/>
            </w:tcMar>
          </w:tcPr>
          <w:p w14:paraId="1E064BE9" w14:textId="77777777" w:rsidR="000A2A2B" w:rsidRPr="007C3060" w:rsidRDefault="000A2A2B" w:rsidP="007C3060"/>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tcPr>
          <w:p w14:paraId="729AF086" w14:textId="77777777" w:rsidR="000A2A2B" w:rsidRPr="007C3060" w:rsidRDefault="000A2A2B" w:rsidP="007C3060">
            <w:r w:rsidRPr="007C3060">
              <w:t>3</w:t>
            </w:r>
          </w:p>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D0A49F1" w14:textId="77777777" w:rsidR="000A2A2B" w:rsidRPr="007C3060" w:rsidRDefault="000A2A2B" w:rsidP="007C3060">
            <w:r w:rsidRPr="007C3060">
              <w:t xml:space="preserve">Reiseutgifter for flyktninger fra utlandet, </w:t>
            </w:r>
            <w:r w:rsidRPr="007C3060">
              <w:br/>
              <w:t>ODA-godkjente utgifter</w:t>
            </w:r>
          </w:p>
        </w:tc>
        <w:tc>
          <w:tcPr>
            <w:tcW w:w="114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EC36B28" w14:textId="77777777" w:rsidR="000A2A2B" w:rsidRPr="007C3060" w:rsidRDefault="000A2A2B" w:rsidP="007C3060">
            <w:r w:rsidRPr="007C3060">
              <w:t>15 338</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9F2B7BF" w14:textId="77777777" w:rsidR="000A2A2B" w:rsidRPr="007C3060" w:rsidRDefault="000A2A2B" w:rsidP="007C3060">
            <w:r w:rsidRPr="007C3060">
              <w:t>-</w:t>
            </w:r>
          </w:p>
        </w:tc>
        <w:tc>
          <w:tcPr>
            <w:tcW w:w="12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F7FE88A" w14:textId="77777777" w:rsidR="000A2A2B" w:rsidRPr="007C3060" w:rsidRDefault="000A2A2B" w:rsidP="007C3060">
            <w:r w:rsidRPr="007C3060">
              <w:t>3 716</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908BAEA" w14:textId="77777777" w:rsidR="000A2A2B" w:rsidRPr="007C3060" w:rsidRDefault="000A2A2B" w:rsidP="007C3060">
            <w:r w:rsidRPr="007C3060">
              <w:t>19 054</w:t>
            </w:r>
          </w:p>
        </w:tc>
      </w:tr>
      <w:tr w:rsidR="004B729E" w:rsidRPr="007C3060" w14:paraId="6F58F66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BC7711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D4ACA7C" w14:textId="77777777" w:rsidR="000A2A2B" w:rsidRPr="007C3060" w:rsidRDefault="000A2A2B" w:rsidP="007C3060">
            <w:r w:rsidRPr="007C3060">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46E14B" w14:textId="77777777" w:rsidR="000A2A2B" w:rsidRPr="007C3060" w:rsidRDefault="000A2A2B" w:rsidP="007C3060">
            <w:r w:rsidRPr="007C3060">
              <w:t>Asylmottak, ODA-godkjente utgifter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3DE9F6" w14:textId="77777777" w:rsidR="000A2A2B" w:rsidRPr="007C3060" w:rsidRDefault="000A2A2B" w:rsidP="007C3060">
            <w:r w:rsidRPr="007C3060">
              <w:t>3 122 326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457BE6"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AF1839" w14:textId="77777777" w:rsidR="000A2A2B" w:rsidRPr="007C3060" w:rsidRDefault="000A2A2B" w:rsidP="007C3060">
            <w:r w:rsidRPr="007C3060">
              <w:t>-799 511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410B3E" w14:textId="77777777" w:rsidR="000A2A2B" w:rsidRPr="007C3060" w:rsidRDefault="000A2A2B" w:rsidP="007C3060">
            <w:r w:rsidRPr="007C3060">
              <w:t>2 322 815</w:t>
            </w:r>
          </w:p>
        </w:tc>
      </w:tr>
      <w:tr w:rsidR="004B729E" w:rsidRPr="007C3060" w14:paraId="1900B3B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2F1C60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5047CBA5" w14:textId="77777777" w:rsidR="000A2A2B" w:rsidRPr="007C3060" w:rsidRDefault="000A2A2B" w:rsidP="007C3060">
            <w:r w:rsidRPr="007C3060">
              <w:t>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5C5A7F" w14:textId="77777777" w:rsidR="000A2A2B" w:rsidRPr="007C3060" w:rsidRDefault="000A2A2B" w:rsidP="007C3060">
            <w:r w:rsidRPr="007C3060">
              <w:t>Tolk og oversettelse, ODA-godkjente -utgifter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08A703" w14:textId="77777777" w:rsidR="000A2A2B" w:rsidRPr="007C3060" w:rsidRDefault="000A2A2B" w:rsidP="007C3060">
            <w:r w:rsidRPr="007C3060">
              <w:t>31 353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FBCEB7"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363E44" w14:textId="77777777" w:rsidR="000A2A2B" w:rsidRPr="007C3060" w:rsidRDefault="000A2A2B" w:rsidP="007C3060">
            <w:r w:rsidRPr="007C3060">
              <w:t>-5 700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FF6CE1" w14:textId="77777777" w:rsidR="000A2A2B" w:rsidRPr="007C3060" w:rsidRDefault="000A2A2B" w:rsidP="007C3060">
            <w:r w:rsidRPr="007C3060">
              <w:t>25 653</w:t>
            </w:r>
          </w:p>
        </w:tc>
      </w:tr>
      <w:tr w:rsidR="004B729E" w:rsidRPr="007C3060" w14:paraId="64433E40"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AFBC50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7C385CD" w14:textId="77777777" w:rsidR="000A2A2B" w:rsidRPr="007C3060" w:rsidRDefault="000A2A2B" w:rsidP="007C3060">
            <w:r w:rsidRPr="007C3060">
              <w:t>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F0C989" w14:textId="33A2BBA7" w:rsidR="000A2A2B" w:rsidRPr="007C3060" w:rsidRDefault="000A2A2B" w:rsidP="007C3060">
            <w:r w:rsidRPr="007C3060">
              <w:t>Internasjonalt migrasjonsarbeid og reintegrering i hjemlandet, ODA-godkjente utgifter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707239" w14:textId="77777777" w:rsidR="000A2A2B" w:rsidRPr="007C3060" w:rsidRDefault="000A2A2B" w:rsidP="007C3060">
            <w:r w:rsidRPr="007C3060">
              <w:t>45 664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DACC4C"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DC666A" w14:textId="77777777" w:rsidR="000A2A2B" w:rsidRPr="007C3060" w:rsidRDefault="000A2A2B" w:rsidP="007C3060">
            <w:r w:rsidRPr="007C3060">
              <w:t>49 335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51AC13" w14:textId="77777777" w:rsidR="000A2A2B" w:rsidRPr="007C3060" w:rsidRDefault="000A2A2B" w:rsidP="007C3060">
            <w:r w:rsidRPr="007C3060">
              <w:t>94 999</w:t>
            </w:r>
          </w:p>
        </w:tc>
      </w:tr>
      <w:tr w:rsidR="004B729E" w:rsidRPr="007C3060" w14:paraId="0675BDF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2B80614" w14:textId="77777777" w:rsidR="000A2A2B" w:rsidRPr="007C3060" w:rsidRDefault="000A2A2B" w:rsidP="007C3060">
            <w:r w:rsidRPr="007C3060">
              <w:t>3595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8CDE52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DD4311" w14:textId="77777777" w:rsidR="000A2A2B" w:rsidRPr="007C3060" w:rsidRDefault="000A2A2B" w:rsidP="007C3060">
            <w:r w:rsidRPr="007C3060">
              <w:t>Statens kartverk</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62C69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6A0393"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17DB2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3FE660" w14:textId="77777777" w:rsidR="000A2A2B" w:rsidRPr="007C3060" w:rsidRDefault="000A2A2B" w:rsidP="007C3060"/>
        </w:tc>
      </w:tr>
      <w:tr w:rsidR="004B729E" w:rsidRPr="007C3060" w14:paraId="28713A1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E05F62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5C08024"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00E6C7" w14:textId="77777777" w:rsidR="000A2A2B" w:rsidRPr="007C3060" w:rsidRDefault="000A2A2B" w:rsidP="007C3060">
            <w:r w:rsidRPr="007C3060">
              <w:t>Gebyrinntekter tinglysing</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A24A51" w14:textId="77777777" w:rsidR="000A2A2B" w:rsidRPr="007C3060" w:rsidRDefault="000A2A2B" w:rsidP="007C3060">
            <w:r w:rsidRPr="007C3060">
              <w:t>464 700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09E029"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E983D2" w14:textId="77777777" w:rsidR="000A2A2B" w:rsidRPr="007C3060" w:rsidRDefault="000A2A2B" w:rsidP="007C3060">
            <w:r w:rsidRPr="007C3060">
              <w:t>19 300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73041B" w14:textId="77777777" w:rsidR="000A2A2B" w:rsidRPr="007C3060" w:rsidRDefault="000A2A2B" w:rsidP="007C3060">
            <w:r w:rsidRPr="007C3060">
              <w:t>484 000</w:t>
            </w:r>
          </w:p>
        </w:tc>
      </w:tr>
      <w:tr w:rsidR="004B729E" w:rsidRPr="007C3060" w14:paraId="29C7573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ACEDD6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D115A3E" w14:textId="77777777" w:rsidR="000A2A2B" w:rsidRPr="007C3060" w:rsidRDefault="000A2A2B" w:rsidP="007C3060">
            <w:r w:rsidRPr="007C306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BFC67A" w14:textId="77777777" w:rsidR="000A2A2B" w:rsidRPr="007C3060" w:rsidRDefault="000A2A2B" w:rsidP="007C3060">
            <w:r w:rsidRPr="007C3060">
              <w:t>Salg og abonnement m.m.</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2E1ADF" w14:textId="77777777" w:rsidR="000A2A2B" w:rsidRPr="007C3060" w:rsidRDefault="000A2A2B" w:rsidP="007C3060">
            <w:r w:rsidRPr="007C3060">
              <w:t>168 074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C9D43A"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DF683F" w14:textId="77777777" w:rsidR="000A2A2B" w:rsidRPr="007C3060" w:rsidRDefault="000A2A2B" w:rsidP="007C3060">
            <w:r w:rsidRPr="007C3060">
              <w:t>21 287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AF150C" w14:textId="77777777" w:rsidR="000A2A2B" w:rsidRPr="007C3060" w:rsidRDefault="000A2A2B" w:rsidP="007C3060">
            <w:r w:rsidRPr="007C3060">
              <w:t>189 361</w:t>
            </w:r>
          </w:p>
        </w:tc>
      </w:tr>
      <w:tr w:rsidR="004B729E" w:rsidRPr="007C3060" w14:paraId="6EE4593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F6A6599" w14:textId="77777777" w:rsidR="000A2A2B" w:rsidRPr="007C3060" w:rsidRDefault="000A2A2B" w:rsidP="007C3060">
            <w:r w:rsidRPr="007C3060">
              <w:t>3605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FC87F65"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CBECE2" w14:textId="77777777" w:rsidR="000A2A2B" w:rsidRPr="007C3060" w:rsidRDefault="000A2A2B" w:rsidP="007C3060">
            <w:r w:rsidRPr="007C3060">
              <w:t>Arbeids- og velferdsetaten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4B4D8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E91891"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60502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F10F4A" w14:textId="77777777" w:rsidR="000A2A2B" w:rsidRPr="007C3060" w:rsidRDefault="000A2A2B" w:rsidP="007C3060"/>
        </w:tc>
      </w:tr>
      <w:tr w:rsidR="004B729E" w:rsidRPr="007C3060" w14:paraId="0714025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94013F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A4B8596"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509990" w14:textId="77777777" w:rsidR="000A2A2B" w:rsidRPr="007C3060" w:rsidRDefault="000A2A2B" w:rsidP="007C3060">
            <w:r w:rsidRPr="007C3060">
              <w:t>Administrasjonsvederlag</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2033DA" w14:textId="77777777" w:rsidR="000A2A2B" w:rsidRPr="007C3060" w:rsidRDefault="000A2A2B" w:rsidP="007C3060">
            <w:r w:rsidRPr="007C3060">
              <w:t>11 481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722CDA"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2F8E60" w14:textId="77777777" w:rsidR="000A2A2B" w:rsidRPr="007C3060" w:rsidRDefault="000A2A2B" w:rsidP="007C3060">
            <w:r w:rsidRPr="007C3060">
              <w:t>-2 600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75B0FF" w14:textId="77777777" w:rsidR="000A2A2B" w:rsidRPr="007C3060" w:rsidRDefault="000A2A2B" w:rsidP="007C3060">
            <w:r w:rsidRPr="007C3060">
              <w:t>8 881</w:t>
            </w:r>
          </w:p>
        </w:tc>
      </w:tr>
      <w:tr w:rsidR="004B729E" w:rsidRPr="007C3060" w14:paraId="138831D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5AAF6C3" w14:textId="77777777" w:rsidR="000A2A2B" w:rsidRPr="007C3060" w:rsidRDefault="000A2A2B" w:rsidP="007C3060">
            <w:r w:rsidRPr="007C3060">
              <w:t>3634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AC955E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F2630E" w14:textId="77777777" w:rsidR="000A2A2B" w:rsidRPr="007C3060" w:rsidRDefault="000A2A2B" w:rsidP="007C3060">
            <w:r w:rsidRPr="007C3060">
              <w:t>Arbeidsmarkedstiltak</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CED08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22869C"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92F80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41C0A4" w14:textId="77777777" w:rsidR="000A2A2B" w:rsidRPr="007C3060" w:rsidRDefault="000A2A2B" w:rsidP="007C3060"/>
        </w:tc>
      </w:tr>
      <w:tr w:rsidR="004B729E" w:rsidRPr="007C3060" w14:paraId="799D92D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AECCBE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9579C70" w14:textId="77777777" w:rsidR="000A2A2B" w:rsidRPr="007C3060" w:rsidRDefault="000A2A2B" w:rsidP="007C3060">
            <w:r w:rsidRPr="007C306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1932A7" w14:textId="77777777" w:rsidR="000A2A2B" w:rsidRPr="007C3060" w:rsidRDefault="000A2A2B" w:rsidP="007C3060">
            <w:r w:rsidRPr="007C3060">
              <w:t>Innfordring av feilutbetalinger, -arbeidsmarkedstiltak</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B912D3" w14:textId="77777777" w:rsidR="000A2A2B" w:rsidRPr="007C3060" w:rsidRDefault="000A2A2B" w:rsidP="007C3060">
            <w:r w:rsidRPr="007C3060">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14008B"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65B0CE" w14:textId="77777777" w:rsidR="000A2A2B" w:rsidRPr="007C3060" w:rsidRDefault="000A2A2B" w:rsidP="007C3060">
            <w:r w:rsidRPr="007C3060">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3CC6A6" w14:textId="77777777" w:rsidR="000A2A2B" w:rsidRPr="007C3060" w:rsidRDefault="000A2A2B" w:rsidP="007C3060">
            <w:r w:rsidRPr="007C3060">
              <w:t>0</w:t>
            </w:r>
          </w:p>
        </w:tc>
      </w:tr>
      <w:tr w:rsidR="004B729E" w:rsidRPr="007C3060" w14:paraId="4F084D9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D1809D8" w14:textId="77777777" w:rsidR="000A2A2B" w:rsidRPr="007C3060" w:rsidRDefault="000A2A2B" w:rsidP="007C3060">
            <w:r w:rsidRPr="007C3060">
              <w:t>3635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E3E6A2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7A327B" w14:textId="77777777" w:rsidR="000A2A2B" w:rsidRPr="007C3060" w:rsidRDefault="000A2A2B" w:rsidP="007C3060">
            <w:r w:rsidRPr="007C3060">
              <w:t>Ventelønn mv.</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EF5EE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18323D"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4C06B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AB1318" w14:textId="77777777" w:rsidR="000A2A2B" w:rsidRPr="007C3060" w:rsidRDefault="000A2A2B" w:rsidP="007C3060"/>
        </w:tc>
      </w:tr>
      <w:tr w:rsidR="004B729E" w:rsidRPr="007C3060" w14:paraId="67831FB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C94A95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E3042A5"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7992F3" w14:textId="77777777" w:rsidR="000A2A2B" w:rsidRPr="007C3060" w:rsidRDefault="000A2A2B" w:rsidP="007C3060">
            <w:r w:rsidRPr="007C3060">
              <w:t>Refusjon statlig virksomhet mv.</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075A68" w14:textId="77777777" w:rsidR="000A2A2B" w:rsidRPr="007C3060" w:rsidRDefault="000A2A2B" w:rsidP="007C3060">
            <w:r w:rsidRPr="007C3060">
              <w:t>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24115D"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BADE7F" w14:textId="77777777" w:rsidR="000A2A2B" w:rsidRPr="007C3060" w:rsidRDefault="000A2A2B" w:rsidP="007C3060">
            <w:r w:rsidRPr="007C3060">
              <w:t>80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F69371" w14:textId="77777777" w:rsidR="000A2A2B" w:rsidRPr="007C3060" w:rsidRDefault="000A2A2B" w:rsidP="007C3060">
            <w:r w:rsidRPr="007C3060">
              <w:t>180</w:t>
            </w:r>
          </w:p>
        </w:tc>
      </w:tr>
      <w:tr w:rsidR="004B729E" w:rsidRPr="007C3060" w14:paraId="6BD65E7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C642B70" w14:textId="77777777" w:rsidR="000A2A2B" w:rsidRPr="007C3060" w:rsidRDefault="000A2A2B" w:rsidP="007C3060">
            <w:r w:rsidRPr="007C3060">
              <w:t>3672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9E3228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AF9F42" w14:textId="77777777" w:rsidR="000A2A2B" w:rsidRPr="007C3060" w:rsidRDefault="000A2A2B" w:rsidP="007C3060">
            <w:r w:rsidRPr="007C3060">
              <w:t>Opplæring i norsk og samfunnskunnskap for voksne innvandrere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7D6C2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AA474A"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7DD42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408FB7" w14:textId="77777777" w:rsidR="000A2A2B" w:rsidRPr="007C3060" w:rsidRDefault="000A2A2B" w:rsidP="007C3060"/>
        </w:tc>
      </w:tr>
      <w:tr w:rsidR="004B729E" w:rsidRPr="007C3060" w14:paraId="55C5A9C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9F3906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FF721F9"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DF1889" w14:textId="77777777" w:rsidR="000A2A2B" w:rsidRPr="007C3060" w:rsidRDefault="000A2A2B" w:rsidP="007C3060">
            <w:r w:rsidRPr="007C3060">
              <w:t>Norskopplæring i mottak, ODA-godkjente utgifter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BD19C3" w14:textId="77777777" w:rsidR="000A2A2B" w:rsidRPr="007C3060" w:rsidRDefault="000A2A2B" w:rsidP="007C3060">
            <w:r w:rsidRPr="007C3060">
              <w:t>68 726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920716"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26A824" w14:textId="77777777" w:rsidR="000A2A2B" w:rsidRPr="007C3060" w:rsidRDefault="000A2A2B" w:rsidP="007C3060">
            <w:r w:rsidRPr="007C3060">
              <w:t>6 400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0D3C0D" w14:textId="77777777" w:rsidR="000A2A2B" w:rsidRPr="007C3060" w:rsidRDefault="000A2A2B" w:rsidP="007C3060">
            <w:r w:rsidRPr="007C3060">
              <w:t>75 126</w:t>
            </w:r>
          </w:p>
        </w:tc>
      </w:tr>
      <w:tr w:rsidR="004B729E" w:rsidRPr="007C3060" w14:paraId="758FAC7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B0FC03E" w14:textId="77777777" w:rsidR="000A2A2B" w:rsidRPr="007C3060" w:rsidRDefault="000A2A2B" w:rsidP="007C3060">
            <w:r w:rsidRPr="007C3060">
              <w:t>3710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64EC8C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79C50C" w14:textId="77777777" w:rsidR="000A2A2B" w:rsidRPr="007C3060" w:rsidRDefault="000A2A2B" w:rsidP="007C3060">
            <w:r w:rsidRPr="007C3060">
              <w:t>Vaksiner mv.</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894B2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140ECD"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8891D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4F7D89" w14:textId="77777777" w:rsidR="000A2A2B" w:rsidRPr="007C3060" w:rsidRDefault="000A2A2B" w:rsidP="007C3060"/>
        </w:tc>
      </w:tr>
      <w:tr w:rsidR="004B729E" w:rsidRPr="007C3060" w14:paraId="42CAD5A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3D9085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821854F" w14:textId="77777777" w:rsidR="000A2A2B" w:rsidRPr="007C3060" w:rsidRDefault="000A2A2B" w:rsidP="007C3060">
            <w:r w:rsidRPr="007C3060">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041F23" w14:textId="77777777" w:rsidR="000A2A2B" w:rsidRPr="007C3060" w:rsidRDefault="000A2A2B" w:rsidP="007C3060">
            <w:r w:rsidRPr="007C3060">
              <w:t>Vaksinesalg</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2B49B8" w14:textId="77777777" w:rsidR="000A2A2B" w:rsidRPr="007C3060" w:rsidRDefault="000A2A2B" w:rsidP="007C3060">
            <w:r w:rsidRPr="007C3060">
              <w:t>340 486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B80709"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F2D363" w14:textId="77777777" w:rsidR="000A2A2B" w:rsidRPr="007C3060" w:rsidRDefault="000A2A2B" w:rsidP="007C3060">
            <w:r w:rsidRPr="007C3060">
              <w:t>-48 325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A46531" w14:textId="77777777" w:rsidR="000A2A2B" w:rsidRPr="007C3060" w:rsidRDefault="000A2A2B" w:rsidP="007C3060">
            <w:r w:rsidRPr="007C3060">
              <w:t>292 161</w:t>
            </w:r>
          </w:p>
        </w:tc>
      </w:tr>
      <w:tr w:rsidR="004B729E" w:rsidRPr="007C3060" w14:paraId="4F1A628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7A74359F" w14:textId="77777777" w:rsidR="000A2A2B" w:rsidRPr="007C3060" w:rsidRDefault="000A2A2B" w:rsidP="007C3060">
            <w:r w:rsidRPr="007C3060">
              <w:t>3740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73A048E"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CD95B9" w14:textId="77777777" w:rsidR="000A2A2B" w:rsidRPr="007C3060" w:rsidRDefault="000A2A2B" w:rsidP="007C3060">
            <w:r w:rsidRPr="007C3060">
              <w:t>Helsedirektoratet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F5C7C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FD0004"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F68F8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ED8529" w14:textId="77777777" w:rsidR="000A2A2B" w:rsidRPr="007C3060" w:rsidRDefault="000A2A2B" w:rsidP="007C3060"/>
        </w:tc>
      </w:tr>
      <w:tr w:rsidR="004B729E" w:rsidRPr="007C3060" w14:paraId="404ED8E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243308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6A8C60B" w14:textId="77777777" w:rsidR="000A2A2B" w:rsidRPr="007C3060" w:rsidRDefault="000A2A2B" w:rsidP="007C3060">
            <w:r w:rsidRPr="007C3060">
              <w:t>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C24D2B" w14:textId="77777777" w:rsidR="000A2A2B" w:rsidRPr="007C3060" w:rsidRDefault="000A2A2B" w:rsidP="007C3060">
            <w:r w:rsidRPr="007C3060">
              <w:t>Helsetjenester til utenlandsboende mv.</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1734CD" w14:textId="77777777" w:rsidR="000A2A2B" w:rsidRPr="007C3060" w:rsidRDefault="000A2A2B" w:rsidP="007C3060">
            <w:r w:rsidRPr="007C3060">
              <w:t>66 000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516F91"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31F860" w14:textId="77777777" w:rsidR="000A2A2B" w:rsidRPr="007C3060" w:rsidRDefault="000A2A2B" w:rsidP="007C3060">
            <w:r w:rsidRPr="007C3060">
              <w:t>47 000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124788" w14:textId="77777777" w:rsidR="000A2A2B" w:rsidRPr="007C3060" w:rsidRDefault="000A2A2B" w:rsidP="007C3060">
            <w:r w:rsidRPr="007C3060">
              <w:t>113 000</w:t>
            </w:r>
          </w:p>
        </w:tc>
      </w:tr>
      <w:tr w:rsidR="004B729E" w:rsidRPr="007C3060" w14:paraId="4CFF9DB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BE45ECD" w14:textId="77777777" w:rsidR="000A2A2B" w:rsidRPr="007C3060" w:rsidRDefault="000A2A2B" w:rsidP="007C3060">
            <w:r w:rsidRPr="007C3060">
              <w:t>3745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315B77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2D0829" w14:textId="77777777" w:rsidR="000A2A2B" w:rsidRPr="007C3060" w:rsidRDefault="000A2A2B" w:rsidP="007C3060">
            <w:r w:rsidRPr="007C3060">
              <w:t>Folkehelseinstituttet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9EC6F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43C2CE"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9520D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19C74C" w14:textId="77777777" w:rsidR="000A2A2B" w:rsidRPr="007C3060" w:rsidRDefault="000A2A2B" w:rsidP="007C3060"/>
        </w:tc>
      </w:tr>
      <w:tr w:rsidR="004B729E" w:rsidRPr="007C3060" w14:paraId="5D36DB8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552D0B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51E0F1D" w14:textId="77777777" w:rsidR="000A2A2B" w:rsidRPr="007C3060" w:rsidRDefault="000A2A2B" w:rsidP="007C3060">
            <w:r w:rsidRPr="007C306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36B76E" w14:textId="77777777" w:rsidR="000A2A2B" w:rsidRPr="007C3060" w:rsidRDefault="000A2A2B" w:rsidP="007C3060">
            <w:r w:rsidRPr="007C3060">
              <w:t>Diverse 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27E661" w14:textId="77777777" w:rsidR="000A2A2B" w:rsidRPr="007C3060" w:rsidRDefault="000A2A2B" w:rsidP="007C3060">
            <w:r w:rsidRPr="007C3060">
              <w:t>280 244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BDF4FA"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6BD736" w14:textId="77777777" w:rsidR="000A2A2B" w:rsidRPr="007C3060" w:rsidRDefault="000A2A2B" w:rsidP="007C3060">
            <w:r w:rsidRPr="007C3060">
              <w:t>44 000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2C1BE4" w14:textId="77777777" w:rsidR="000A2A2B" w:rsidRPr="007C3060" w:rsidRDefault="000A2A2B" w:rsidP="007C3060">
            <w:r w:rsidRPr="007C3060">
              <w:t>324 244</w:t>
            </w:r>
          </w:p>
        </w:tc>
      </w:tr>
      <w:tr w:rsidR="004B729E" w:rsidRPr="007C3060" w14:paraId="204C434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C90EB37" w14:textId="77777777" w:rsidR="000A2A2B" w:rsidRPr="007C3060" w:rsidRDefault="000A2A2B" w:rsidP="007C3060">
            <w:r w:rsidRPr="007C3060">
              <w:t>3855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E9C6BA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DADB3B" w14:textId="77777777" w:rsidR="000A2A2B" w:rsidRPr="007C3060" w:rsidRDefault="000A2A2B" w:rsidP="007C3060">
            <w:r w:rsidRPr="007C3060">
              <w:t>Statlig forvaltning av barnevernet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19401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BDCF5C"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C8DE0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FB8C8F" w14:textId="77777777" w:rsidR="000A2A2B" w:rsidRPr="007C3060" w:rsidRDefault="000A2A2B" w:rsidP="007C3060"/>
        </w:tc>
      </w:tr>
      <w:tr w:rsidR="004B729E" w:rsidRPr="007C3060" w14:paraId="2D733DD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8BD17D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947626C" w14:textId="77777777" w:rsidR="000A2A2B" w:rsidRPr="007C3060" w:rsidRDefault="000A2A2B" w:rsidP="007C3060">
            <w:r w:rsidRPr="007C306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97BD99" w14:textId="77777777" w:rsidR="000A2A2B" w:rsidRPr="007C3060" w:rsidRDefault="000A2A2B" w:rsidP="007C3060">
            <w:r w:rsidRPr="007C3060">
              <w:t>Kommunale egenandeler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5173DE" w14:textId="77777777" w:rsidR="000A2A2B" w:rsidRPr="007C3060" w:rsidRDefault="000A2A2B" w:rsidP="007C3060">
            <w:r w:rsidRPr="007C3060">
              <w:t>2 690 308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D6EAF6"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0094A4" w14:textId="77777777" w:rsidR="000A2A2B" w:rsidRPr="007C3060" w:rsidRDefault="000A2A2B" w:rsidP="007C3060">
            <w:r w:rsidRPr="007C3060">
              <w:t>104 000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533709" w14:textId="77777777" w:rsidR="000A2A2B" w:rsidRPr="007C3060" w:rsidRDefault="000A2A2B" w:rsidP="007C3060">
            <w:r w:rsidRPr="007C3060">
              <w:t>2 794 308</w:t>
            </w:r>
          </w:p>
        </w:tc>
      </w:tr>
      <w:tr w:rsidR="004B729E" w:rsidRPr="007C3060" w14:paraId="0421681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9185EB0" w14:textId="77777777" w:rsidR="000A2A2B" w:rsidRPr="007C3060" w:rsidRDefault="000A2A2B" w:rsidP="007C3060">
            <w:r w:rsidRPr="007C3060">
              <w:t>3856</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6F549E5"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20CCBB" w14:textId="77777777" w:rsidR="000A2A2B" w:rsidRPr="007C3060" w:rsidRDefault="000A2A2B" w:rsidP="007C3060">
            <w:r w:rsidRPr="007C3060">
              <w:t>Barnevernets omsorgssenter for enslige, mindreårige asylsøkere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5AE33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CAD705"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A7BD5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17D3B4" w14:textId="77777777" w:rsidR="000A2A2B" w:rsidRPr="007C3060" w:rsidRDefault="000A2A2B" w:rsidP="007C3060"/>
        </w:tc>
      </w:tr>
      <w:tr w:rsidR="004B729E" w:rsidRPr="007C3060" w14:paraId="653880B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0A35A6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5CFFAA8" w14:textId="77777777" w:rsidR="000A2A2B" w:rsidRPr="007C3060" w:rsidRDefault="000A2A2B" w:rsidP="007C3060">
            <w:r w:rsidRPr="007C3060">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CFE5AE" w14:textId="77777777" w:rsidR="000A2A2B" w:rsidRPr="007C3060" w:rsidRDefault="000A2A2B" w:rsidP="007C3060">
            <w:r w:rsidRPr="007C3060">
              <w:t>Refusjon av ODA-godkjente utgifter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AB3E92" w14:textId="77777777" w:rsidR="000A2A2B" w:rsidRPr="007C3060" w:rsidRDefault="000A2A2B" w:rsidP="007C3060">
            <w:r w:rsidRPr="007C3060">
              <w:t>277 278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8C3257"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74227F" w14:textId="77777777" w:rsidR="000A2A2B" w:rsidRPr="007C3060" w:rsidRDefault="000A2A2B" w:rsidP="007C3060">
            <w:r w:rsidRPr="007C3060">
              <w:t>-14 046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5C5BC0" w14:textId="77777777" w:rsidR="000A2A2B" w:rsidRPr="007C3060" w:rsidRDefault="000A2A2B" w:rsidP="007C3060">
            <w:r w:rsidRPr="007C3060">
              <w:t>263 232</w:t>
            </w:r>
          </w:p>
        </w:tc>
      </w:tr>
      <w:tr w:rsidR="004B729E" w:rsidRPr="007C3060" w14:paraId="03F670E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3AF77AD" w14:textId="77777777" w:rsidR="000A2A2B" w:rsidRPr="007C3060" w:rsidRDefault="000A2A2B" w:rsidP="007C3060">
            <w:r w:rsidRPr="007C3060">
              <w:lastRenderedPageBreak/>
              <w:t>3902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D8EF75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B3E075" w14:textId="77777777" w:rsidR="000A2A2B" w:rsidRPr="007C3060" w:rsidRDefault="000A2A2B" w:rsidP="007C3060">
            <w:proofErr w:type="spellStart"/>
            <w:r w:rsidRPr="007C3060">
              <w:t>Justervesenet</w:t>
            </w:r>
            <w:proofErr w:type="spellEnd"/>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B6BB2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36880F"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0E669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837399" w14:textId="77777777" w:rsidR="000A2A2B" w:rsidRPr="007C3060" w:rsidRDefault="000A2A2B" w:rsidP="007C3060"/>
        </w:tc>
      </w:tr>
      <w:tr w:rsidR="004B729E" w:rsidRPr="007C3060" w14:paraId="0CD7CA0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05609D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FC522C0" w14:textId="77777777" w:rsidR="000A2A2B" w:rsidRPr="007C3060" w:rsidRDefault="000A2A2B" w:rsidP="007C3060">
            <w:r w:rsidRPr="007C3060">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D2F3D1" w14:textId="77777777" w:rsidR="000A2A2B" w:rsidRPr="007C3060" w:rsidRDefault="000A2A2B" w:rsidP="007C3060">
            <w:r w:rsidRPr="007C3060">
              <w:t>Oppdragsinntekter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E0917B" w14:textId="77777777" w:rsidR="000A2A2B" w:rsidRPr="007C3060" w:rsidRDefault="000A2A2B" w:rsidP="007C3060">
            <w:r w:rsidRPr="007C3060">
              <w:t>109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3A25D9"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CAF3F1" w14:textId="77777777" w:rsidR="000A2A2B" w:rsidRPr="007C3060" w:rsidRDefault="000A2A2B" w:rsidP="007C3060">
            <w:r w:rsidRPr="007C3060">
              <w:t>-109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FD0C90" w14:textId="77777777" w:rsidR="000A2A2B" w:rsidRPr="007C3060" w:rsidRDefault="000A2A2B" w:rsidP="007C3060">
            <w:r w:rsidRPr="007C3060">
              <w:t>0</w:t>
            </w:r>
          </w:p>
        </w:tc>
      </w:tr>
      <w:tr w:rsidR="004B729E" w:rsidRPr="007C3060" w14:paraId="6E943A1D" w14:textId="77777777">
        <w:trPr>
          <w:trHeight w:val="380"/>
        </w:trPr>
        <w:tc>
          <w:tcPr>
            <w:tcW w:w="580" w:type="dxa"/>
            <w:tcBorders>
              <w:top w:val="single" w:sz="4" w:space="0" w:color="000000"/>
              <w:left w:val="single" w:sz="4" w:space="0" w:color="000000"/>
              <w:bottom w:val="nil"/>
              <w:right w:val="single" w:sz="4" w:space="0" w:color="000000"/>
            </w:tcBorders>
            <w:tcMar>
              <w:top w:w="128" w:type="dxa"/>
              <w:left w:w="43" w:type="dxa"/>
              <w:bottom w:w="43" w:type="dxa"/>
              <w:right w:w="103" w:type="dxa"/>
            </w:tcMar>
          </w:tcPr>
          <w:p w14:paraId="4D6D631A" w14:textId="77777777" w:rsidR="000A2A2B" w:rsidRPr="007C3060" w:rsidRDefault="000A2A2B" w:rsidP="007C3060">
            <w:r w:rsidRPr="007C3060">
              <w:t>3910</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vAlign w:val="bottom"/>
          </w:tcPr>
          <w:p w14:paraId="787FB502"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6500264" w14:textId="77777777" w:rsidR="000A2A2B" w:rsidRPr="007C3060" w:rsidRDefault="000A2A2B" w:rsidP="007C3060">
            <w:r w:rsidRPr="007C3060">
              <w:t>Sjøfartsdirektoratet</w:t>
            </w:r>
          </w:p>
        </w:tc>
        <w:tc>
          <w:tcPr>
            <w:tcW w:w="114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678891F"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9315F73" w14:textId="77777777" w:rsidR="000A2A2B" w:rsidRPr="007C3060" w:rsidRDefault="000A2A2B" w:rsidP="007C3060"/>
        </w:tc>
        <w:tc>
          <w:tcPr>
            <w:tcW w:w="12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6279BEA"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8953161" w14:textId="77777777" w:rsidR="000A2A2B" w:rsidRPr="007C3060" w:rsidRDefault="000A2A2B" w:rsidP="007C3060"/>
        </w:tc>
      </w:tr>
      <w:tr w:rsidR="004B729E" w:rsidRPr="007C3060" w14:paraId="656229E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7866F9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B747DEE" w14:textId="77777777" w:rsidR="000A2A2B" w:rsidRPr="007C3060" w:rsidRDefault="000A2A2B" w:rsidP="007C3060">
            <w:r w:rsidRPr="007C306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0FC72A" w14:textId="77777777" w:rsidR="000A2A2B" w:rsidRPr="007C3060" w:rsidRDefault="000A2A2B" w:rsidP="007C3060">
            <w:r w:rsidRPr="007C3060">
              <w:t>Maritime personellsertifikater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585678" w14:textId="77777777" w:rsidR="000A2A2B" w:rsidRPr="007C3060" w:rsidRDefault="000A2A2B" w:rsidP="007C3060">
            <w:r w:rsidRPr="007C3060">
              <w:t>22 903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FA2CFC"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9C8EE6" w14:textId="77777777" w:rsidR="000A2A2B" w:rsidRPr="007C3060" w:rsidRDefault="000A2A2B" w:rsidP="007C3060">
            <w:r w:rsidRPr="007C3060">
              <w:t>3 400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22CEBE" w14:textId="77777777" w:rsidR="000A2A2B" w:rsidRPr="007C3060" w:rsidRDefault="000A2A2B" w:rsidP="007C3060">
            <w:r w:rsidRPr="007C3060">
              <w:t>26 303</w:t>
            </w:r>
          </w:p>
        </w:tc>
      </w:tr>
      <w:tr w:rsidR="004B729E" w:rsidRPr="007C3060" w14:paraId="467F3F2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1EEB627" w14:textId="77777777" w:rsidR="000A2A2B" w:rsidRPr="007C3060" w:rsidRDefault="000A2A2B" w:rsidP="007C3060">
            <w:r w:rsidRPr="007C3060">
              <w:t>3917</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DCE95D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5812C2" w14:textId="77777777" w:rsidR="000A2A2B" w:rsidRPr="007C3060" w:rsidRDefault="000A2A2B" w:rsidP="007C3060">
            <w:r w:rsidRPr="007C3060">
              <w:t>Fiskeridirektoratet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D4744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7E3697"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01146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7974B6" w14:textId="77777777" w:rsidR="000A2A2B" w:rsidRPr="007C3060" w:rsidRDefault="000A2A2B" w:rsidP="007C3060"/>
        </w:tc>
      </w:tr>
      <w:tr w:rsidR="004B729E" w:rsidRPr="007C3060" w14:paraId="595EC67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AA6E7F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01D503D"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9BEA68" w14:textId="77777777" w:rsidR="000A2A2B" w:rsidRPr="007C3060" w:rsidRDefault="000A2A2B" w:rsidP="007C3060">
            <w:r w:rsidRPr="007C3060">
              <w:t>Diverse 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7C851A" w14:textId="77777777" w:rsidR="000A2A2B" w:rsidRPr="007C3060" w:rsidRDefault="000A2A2B" w:rsidP="007C3060">
            <w:r w:rsidRPr="007C3060">
              <w:t>1 301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0B10CF"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90B149" w14:textId="77777777" w:rsidR="000A2A2B" w:rsidRPr="007C3060" w:rsidRDefault="000A2A2B" w:rsidP="007C3060">
            <w:r w:rsidRPr="007C3060">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EE206C" w14:textId="77777777" w:rsidR="000A2A2B" w:rsidRPr="007C3060" w:rsidRDefault="000A2A2B" w:rsidP="007C3060">
            <w:r w:rsidRPr="007C3060">
              <w:t>5 301</w:t>
            </w:r>
          </w:p>
        </w:tc>
      </w:tr>
      <w:tr w:rsidR="004B729E" w:rsidRPr="007C3060" w14:paraId="6416021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3EFDCE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3F978EF" w14:textId="77777777" w:rsidR="000A2A2B" w:rsidRPr="007C3060" w:rsidRDefault="000A2A2B" w:rsidP="007C3060">
            <w:r w:rsidRPr="007C3060">
              <w:t>13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A13074" w14:textId="77777777" w:rsidR="000A2A2B" w:rsidRPr="007C3060" w:rsidRDefault="000A2A2B" w:rsidP="007C3060">
            <w:r w:rsidRPr="007C3060">
              <w:t>Inntekter fra salg av oppdrettstillatelser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CCC4DB" w14:textId="77777777" w:rsidR="000A2A2B" w:rsidRPr="007C3060" w:rsidRDefault="000A2A2B" w:rsidP="007C3060">
            <w:r w:rsidRPr="007C3060">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A8E2EC"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1637A6" w14:textId="77777777" w:rsidR="000A2A2B" w:rsidRPr="007C3060" w:rsidRDefault="000A2A2B" w:rsidP="007C3060">
            <w:r w:rsidRPr="007C3060">
              <w:t>65 100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61B2D2" w14:textId="77777777" w:rsidR="000A2A2B" w:rsidRPr="007C3060" w:rsidRDefault="000A2A2B" w:rsidP="007C3060">
            <w:r w:rsidRPr="007C3060">
              <w:t>65 100</w:t>
            </w:r>
          </w:p>
        </w:tc>
      </w:tr>
      <w:tr w:rsidR="004B729E" w:rsidRPr="007C3060" w14:paraId="0CA7D0C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B5C4551" w14:textId="77777777" w:rsidR="000A2A2B" w:rsidRPr="007C3060" w:rsidRDefault="000A2A2B" w:rsidP="007C3060">
            <w:r w:rsidRPr="007C3060">
              <w:t>3923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DDBF70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A10077" w14:textId="77777777" w:rsidR="000A2A2B" w:rsidRPr="007C3060" w:rsidRDefault="000A2A2B" w:rsidP="007C3060">
            <w:r w:rsidRPr="007C3060">
              <w:t>Havforskningsinstituttet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9BBA2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418413"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7483F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F7D4B4" w14:textId="77777777" w:rsidR="000A2A2B" w:rsidRPr="007C3060" w:rsidRDefault="000A2A2B" w:rsidP="007C3060"/>
        </w:tc>
      </w:tr>
      <w:tr w:rsidR="004B729E" w:rsidRPr="007C3060" w14:paraId="4A80B5E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D018F3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FE08699"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989651" w14:textId="77777777" w:rsidR="000A2A2B" w:rsidRPr="007C3060" w:rsidRDefault="000A2A2B" w:rsidP="007C3060">
            <w:r w:rsidRPr="007C3060">
              <w:t>Oppdragsinntekter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CB6922" w14:textId="77777777" w:rsidR="000A2A2B" w:rsidRPr="007C3060" w:rsidRDefault="000A2A2B" w:rsidP="007C3060">
            <w:r w:rsidRPr="007C3060">
              <w:t>481 816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8D10AC"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C56FB9" w14:textId="77777777" w:rsidR="000A2A2B" w:rsidRPr="007C3060" w:rsidRDefault="000A2A2B" w:rsidP="007C3060">
            <w:r w:rsidRPr="007C3060">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5BF2DD" w14:textId="77777777" w:rsidR="000A2A2B" w:rsidRPr="007C3060" w:rsidRDefault="000A2A2B" w:rsidP="007C3060">
            <w:r w:rsidRPr="007C3060">
              <w:t>478 816</w:t>
            </w:r>
          </w:p>
        </w:tc>
      </w:tr>
      <w:tr w:rsidR="004B729E" w:rsidRPr="007C3060" w14:paraId="5EED3DC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6CFC39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B8FAC82" w14:textId="77777777" w:rsidR="000A2A2B" w:rsidRPr="007C3060" w:rsidRDefault="000A2A2B" w:rsidP="007C3060">
            <w:r w:rsidRPr="007C306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D9CE98" w14:textId="77777777" w:rsidR="000A2A2B" w:rsidRPr="007C3060" w:rsidRDefault="000A2A2B" w:rsidP="007C3060">
            <w:r w:rsidRPr="007C3060">
              <w:t>Oppdragsinntekter forskningsfartøy</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D76F1D" w14:textId="77777777" w:rsidR="000A2A2B" w:rsidRPr="007C3060" w:rsidRDefault="000A2A2B" w:rsidP="007C3060">
            <w:r w:rsidRPr="007C3060">
              <w:t>211 226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CE99D4"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F0423D" w14:textId="77777777" w:rsidR="000A2A2B" w:rsidRPr="007C3060" w:rsidRDefault="000A2A2B" w:rsidP="007C3060">
            <w:r w:rsidRPr="007C3060">
              <w:t>2 200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2A1179" w14:textId="77777777" w:rsidR="000A2A2B" w:rsidRPr="007C3060" w:rsidRDefault="000A2A2B" w:rsidP="007C3060">
            <w:r w:rsidRPr="007C3060">
              <w:t>213 426</w:t>
            </w:r>
          </w:p>
        </w:tc>
      </w:tr>
      <w:tr w:rsidR="004B729E" w:rsidRPr="007C3060" w14:paraId="15D5686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E67C7A5" w14:textId="77777777" w:rsidR="000A2A2B" w:rsidRPr="007C3060" w:rsidRDefault="000A2A2B" w:rsidP="007C3060">
            <w:r w:rsidRPr="007C3060">
              <w:t>3950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E62E24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908A40" w14:textId="77777777" w:rsidR="000A2A2B" w:rsidRPr="007C3060" w:rsidRDefault="000A2A2B" w:rsidP="007C3060">
            <w:r w:rsidRPr="007C3060">
              <w:t>Forvaltning av statlig eierskap</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1490D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056EE9"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7C9C3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81ACF7" w14:textId="77777777" w:rsidR="000A2A2B" w:rsidRPr="007C3060" w:rsidRDefault="000A2A2B" w:rsidP="007C3060"/>
        </w:tc>
      </w:tr>
      <w:tr w:rsidR="004B729E" w:rsidRPr="007C3060" w14:paraId="2817898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7132E2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5DF70BA" w14:textId="77777777" w:rsidR="000A2A2B" w:rsidRPr="007C3060" w:rsidRDefault="000A2A2B" w:rsidP="007C3060">
            <w:r w:rsidRPr="007C3060">
              <w:t>96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F47D7E" w14:textId="77777777" w:rsidR="000A2A2B" w:rsidRPr="007C3060" w:rsidRDefault="000A2A2B" w:rsidP="007C3060">
            <w:r w:rsidRPr="007C3060">
              <w:t>Salg av aksjer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7F103C" w14:textId="77777777" w:rsidR="000A2A2B" w:rsidRPr="007C3060" w:rsidRDefault="000A2A2B" w:rsidP="007C3060">
            <w:r w:rsidRPr="007C3060">
              <w:t>25 000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9E8FE2"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02B2E1" w14:textId="77777777" w:rsidR="000A2A2B" w:rsidRPr="007C3060" w:rsidRDefault="000A2A2B" w:rsidP="007C3060">
            <w:r w:rsidRPr="007C3060">
              <w:t>1 687 800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956384" w14:textId="77777777" w:rsidR="000A2A2B" w:rsidRPr="007C3060" w:rsidRDefault="000A2A2B" w:rsidP="007C3060">
            <w:r w:rsidRPr="007C3060">
              <w:t>1 712 800</w:t>
            </w:r>
          </w:p>
        </w:tc>
      </w:tr>
      <w:tr w:rsidR="004B729E" w:rsidRPr="007C3060" w14:paraId="57591C5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A030FCD" w14:textId="77777777" w:rsidR="000A2A2B" w:rsidRPr="007C3060" w:rsidRDefault="000A2A2B" w:rsidP="007C3060">
            <w:r w:rsidRPr="007C3060">
              <w:t>3952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282019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82E633" w14:textId="77777777" w:rsidR="000A2A2B" w:rsidRPr="007C3060" w:rsidRDefault="000A2A2B" w:rsidP="007C3060">
            <w:proofErr w:type="spellStart"/>
            <w:r w:rsidRPr="007C3060">
              <w:t>Investinor</w:t>
            </w:r>
            <w:proofErr w:type="spellEnd"/>
            <w:r w:rsidRPr="007C3060">
              <w:t xml:space="preserve"> AS</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C61A2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E62C07"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33C48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088EC0" w14:textId="77777777" w:rsidR="000A2A2B" w:rsidRPr="007C3060" w:rsidRDefault="000A2A2B" w:rsidP="007C3060"/>
        </w:tc>
      </w:tr>
      <w:tr w:rsidR="004B729E" w:rsidRPr="007C3060" w14:paraId="7A915E8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0A0FF1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B67B648" w14:textId="77777777" w:rsidR="000A2A2B" w:rsidRPr="007C3060" w:rsidRDefault="000A2A2B" w:rsidP="007C3060">
            <w:r w:rsidRPr="007C306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C8AB38" w14:textId="77777777" w:rsidR="000A2A2B" w:rsidRPr="007C3060" w:rsidRDefault="000A2A2B" w:rsidP="007C3060">
            <w:r w:rsidRPr="007C3060">
              <w:t>Tilbakeført kapital, såkornfond</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5D4CA0" w14:textId="77777777" w:rsidR="000A2A2B" w:rsidRPr="007C3060" w:rsidRDefault="000A2A2B" w:rsidP="007C3060">
            <w:r w:rsidRPr="007C3060">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516254"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35FFF0" w14:textId="77777777" w:rsidR="000A2A2B" w:rsidRPr="007C3060" w:rsidRDefault="000A2A2B" w:rsidP="007C3060">
            <w:r w:rsidRPr="007C3060">
              <w:t>136 000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A888B5" w14:textId="77777777" w:rsidR="000A2A2B" w:rsidRPr="007C3060" w:rsidRDefault="000A2A2B" w:rsidP="007C3060">
            <w:r w:rsidRPr="007C3060">
              <w:t>136 000</w:t>
            </w:r>
          </w:p>
        </w:tc>
      </w:tr>
      <w:tr w:rsidR="004B729E" w:rsidRPr="007C3060" w14:paraId="17E0375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5E3FB32" w14:textId="77777777" w:rsidR="000A2A2B" w:rsidRPr="007C3060" w:rsidRDefault="000A2A2B" w:rsidP="007C3060">
            <w:r w:rsidRPr="007C3060">
              <w:t>4354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6286FC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54EB20" w14:textId="77777777" w:rsidR="000A2A2B" w:rsidRPr="007C3060" w:rsidRDefault="000A2A2B" w:rsidP="007C3060">
            <w:r w:rsidRPr="007C3060">
              <w:t>Statens jernbanetilsyn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CD0F8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DA87C2"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97212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DEA803" w14:textId="77777777" w:rsidR="000A2A2B" w:rsidRPr="007C3060" w:rsidRDefault="000A2A2B" w:rsidP="007C3060"/>
        </w:tc>
      </w:tr>
      <w:tr w:rsidR="004B729E" w:rsidRPr="007C3060" w14:paraId="7B306BF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FB7933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0978EEF"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531428" w14:textId="77777777" w:rsidR="000A2A2B" w:rsidRPr="007C3060" w:rsidRDefault="000A2A2B" w:rsidP="007C3060">
            <w:r w:rsidRPr="007C3060">
              <w:t>Gebyrer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391841" w14:textId="77777777" w:rsidR="000A2A2B" w:rsidRPr="007C3060" w:rsidRDefault="000A2A2B" w:rsidP="007C3060">
            <w:r w:rsidRPr="007C3060">
              <w:t>15 600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64214C"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5E367B" w14:textId="77777777" w:rsidR="000A2A2B" w:rsidRPr="007C3060" w:rsidRDefault="000A2A2B" w:rsidP="007C3060">
            <w:r w:rsidRPr="007C3060">
              <w:t>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5CC64E" w14:textId="77777777" w:rsidR="000A2A2B" w:rsidRPr="007C3060" w:rsidRDefault="000A2A2B" w:rsidP="007C3060">
            <w:r w:rsidRPr="007C3060">
              <w:t>15 900</w:t>
            </w:r>
          </w:p>
        </w:tc>
      </w:tr>
      <w:tr w:rsidR="004B729E" w:rsidRPr="007C3060" w14:paraId="7F7FBFD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BAA9D1A" w14:textId="77777777" w:rsidR="000A2A2B" w:rsidRPr="007C3060" w:rsidRDefault="000A2A2B" w:rsidP="007C3060">
            <w:r w:rsidRPr="007C3060">
              <w:t>4355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B59B51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858B4D" w14:textId="77777777" w:rsidR="000A2A2B" w:rsidRPr="007C3060" w:rsidRDefault="000A2A2B" w:rsidP="007C3060">
            <w:r w:rsidRPr="007C3060">
              <w:t>Flytoget AS</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3DCF2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41F91F"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FED2D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EB148A" w14:textId="77777777" w:rsidR="000A2A2B" w:rsidRPr="007C3060" w:rsidRDefault="000A2A2B" w:rsidP="007C3060"/>
        </w:tc>
      </w:tr>
      <w:tr w:rsidR="004B729E" w:rsidRPr="007C3060" w14:paraId="174BB8E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2EF361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DFA8618" w14:textId="77777777" w:rsidR="000A2A2B" w:rsidRPr="007C3060" w:rsidRDefault="000A2A2B" w:rsidP="007C3060">
            <w:r w:rsidRPr="007C3060">
              <w:t>96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F6FE9D" w14:textId="77777777" w:rsidR="000A2A2B" w:rsidRPr="007C3060" w:rsidRDefault="000A2A2B" w:rsidP="007C3060">
            <w:r w:rsidRPr="007C3060">
              <w:t>Tilbakebetaling av aksjekapital</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92BA35" w14:textId="77777777" w:rsidR="000A2A2B" w:rsidRPr="007C3060" w:rsidRDefault="000A2A2B" w:rsidP="007C3060">
            <w:r w:rsidRPr="007C3060">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FE4FAE"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43AA89" w14:textId="77777777" w:rsidR="000A2A2B" w:rsidRPr="007C3060" w:rsidRDefault="000A2A2B" w:rsidP="007C3060">
            <w:r w:rsidRPr="007C3060">
              <w:t>970 000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F2524B" w14:textId="77777777" w:rsidR="000A2A2B" w:rsidRPr="007C3060" w:rsidRDefault="000A2A2B" w:rsidP="007C3060">
            <w:r w:rsidRPr="007C3060">
              <w:t>970 000</w:t>
            </w:r>
          </w:p>
        </w:tc>
      </w:tr>
      <w:tr w:rsidR="004B729E" w:rsidRPr="007C3060" w14:paraId="02D2BFA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F021FFB" w14:textId="77777777" w:rsidR="000A2A2B" w:rsidRPr="007C3060" w:rsidRDefault="000A2A2B" w:rsidP="007C3060">
            <w:r w:rsidRPr="007C3060">
              <w:lastRenderedPageBreak/>
              <w:t>4420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F91CFC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DBE459" w14:textId="77777777" w:rsidR="000A2A2B" w:rsidRPr="007C3060" w:rsidRDefault="000A2A2B" w:rsidP="007C3060">
            <w:r w:rsidRPr="007C3060">
              <w:t>Miljødirektoratet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D3FDE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BF6886"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19909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CD5F6E" w14:textId="77777777" w:rsidR="000A2A2B" w:rsidRPr="007C3060" w:rsidRDefault="000A2A2B" w:rsidP="007C3060"/>
        </w:tc>
      </w:tr>
      <w:tr w:rsidR="004B729E" w:rsidRPr="007C3060" w14:paraId="268BB58F"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A0E2D9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3CF82392" w14:textId="77777777" w:rsidR="000A2A2B" w:rsidRPr="007C3060" w:rsidRDefault="000A2A2B" w:rsidP="007C3060">
            <w:r w:rsidRPr="007C3060">
              <w:t>40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79727B" w14:textId="77777777" w:rsidR="000A2A2B" w:rsidRPr="007C3060" w:rsidRDefault="000A2A2B" w:rsidP="007C3060">
            <w:r w:rsidRPr="007C3060">
              <w:t>Salg av eiendom og innløsning av feste-tomter i statlig sikrede friluftslivsområder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299560" w14:textId="77777777" w:rsidR="000A2A2B" w:rsidRPr="007C3060" w:rsidRDefault="000A2A2B" w:rsidP="007C3060">
            <w:r w:rsidRPr="007C3060">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5462A8"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59BE9E" w14:textId="77777777" w:rsidR="000A2A2B" w:rsidRPr="007C3060" w:rsidRDefault="000A2A2B" w:rsidP="007C3060">
            <w:r w:rsidRPr="007C3060">
              <w:t>4 785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F28957" w14:textId="77777777" w:rsidR="000A2A2B" w:rsidRPr="007C3060" w:rsidRDefault="000A2A2B" w:rsidP="007C3060">
            <w:r w:rsidRPr="007C3060">
              <w:t>4 785</w:t>
            </w:r>
          </w:p>
        </w:tc>
      </w:tr>
      <w:tr w:rsidR="004B729E" w:rsidRPr="007C3060" w14:paraId="0DC3D21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8C0F874" w14:textId="77777777" w:rsidR="000A2A2B" w:rsidRPr="007C3060" w:rsidRDefault="000A2A2B" w:rsidP="007C3060">
            <w:r w:rsidRPr="007C3060">
              <w:t>4471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E085B3F"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A16950" w14:textId="77777777" w:rsidR="000A2A2B" w:rsidRPr="007C3060" w:rsidRDefault="000A2A2B" w:rsidP="007C3060">
            <w:r w:rsidRPr="007C3060">
              <w:t>Norsk Polarinstitutt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51EB6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C13B0C"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02E04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63B280" w14:textId="77777777" w:rsidR="000A2A2B" w:rsidRPr="007C3060" w:rsidRDefault="000A2A2B" w:rsidP="007C3060"/>
        </w:tc>
      </w:tr>
      <w:tr w:rsidR="004B729E" w:rsidRPr="007C3060" w14:paraId="17B2EF6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C604E7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5AE2FD4" w14:textId="77777777" w:rsidR="000A2A2B" w:rsidRPr="007C3060" w:rsidRDefault="000A2A2B" w:rsidP="007C3060">
            <w:r w:rsidRPr="007C3060">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6D8547" w14:textId="77777777" w:rsidR="000A2A2B" w:rsidRPr="007C3060" w:rsidRDefault="000A2A2B" w:rsidP="007C3060">
            <w:r w:rsidRPr="007C3060">
              <w:t>Inntekter fra diverse tjenesteyting</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9E9D2E" w14:textId="77777777" w:rsidR="000A2A2B" w:rsidRPr="007C3060" w:rsidRDefault="000A2A2B" w:rsidP="007C3060">
            <w:r w:rsidRPr="007C3060">
              <w:t>75 737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00C3E2"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67643B" w14:textId="77777777" w:rsidR="000A2A2B" w:rsidRPr="007C3060" w:rsidRDefault="000A2A2B" w:rsidP="007C3060">
            <w:r w:rsidRPr="007C3060">
              <w:t>74 263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7D0EF0" w14:textId="77777777" w:rsidR="000A2A2B" w:rsidRPr="007C3060" w:rsidRDefault="000A2A2B" w:rsidP="007C3060">
            <w:r w:rsidRPr="007C3060">
              <w:t>150 000</w:t>
            </w:r>
          </w:p>
        </w:tc>
      </w:tr>
      <w:tr w:rsidR="004B729E" w:rsidRPr="007C3060" w14:paraId="1B8F813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697BABB" w14:textId="77777777" w:rsidR="000A2A2B" w:rsidRPr="007C3060" w:rsidRDefault="000A2A2B" w:rsidP="007C3060">
            <w:r w:rsidRPr="007C3060">
              <w:t>4481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5E3702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514D72" w14:textId="77777777" w:rsidR="000A2A2B" w:rsidRPr="007C3060" w:rsidRDefault="000A2A2B" w:rsidP="007C3060">
            <w:r w:rsidRPr="007C3060">
              <w:t>Salg av klimakvoter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14F5B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244002"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B8593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43F15D" w14:textId="77777777" w:rsidR="000A2A2B" w:rsidRPr="007C3060" w:rsidRDefault="000A2A2B" w:rsidP="007C3060"/>
        </w:tc>
      </w:tr>
      <w:tr w:rsidR="004B729E" w:rsidRPr="007C3060" w14:paraId="3B19CD3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B5BC06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9F18244"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1F49F1" w14:textId="77777777" w:rsidR="000A2A2B" w:rsidRPr="007C3060" w:rsidRDefault="000A2A2B" w:rsidP="007C3060">
            <w:r w:rsidRPr="007C3060">
              <w:t>Salgsinntekter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6450DC" w14:textId="77777777" w:rsidR="000A2A2B" w:rsidRPr="007C3060" w:rsidRDefault="000A2A2B" w:rsidP="007C3060">
            <w:r w:rsidRPr="007C3060">
              <w:t>3 135 116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7EC524"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5DC46B" w14:textId="77777777" w:rsidR="000A2A2B" w:rsidRPr="007C3060" w:rsidRDefault="000A2A2B" w:rsidP="007C3060">
            <w:r w:rsidRPr="007C3060">
              <w:t>-777 000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44FFE5" w14:textId="77777777" w:rsidR="000A2A2B" w:rsidRPr="007C3060" w:rsidRDefault="000A2A2B" w:rsidP="007C3060">
            <w:r w:rsidRPr="007C3060">
              <w:t>2 358 116</w:t>
            </w:r>
          </w:p>
        </w:tc>
      </w:tr>
      <w:tr w:rsidR="004B729E" w:rsidRPr="007C3060" w14:paraId="7289EEF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7E23C00" w14:textId="77777777" w:rsidR="000A2A2B" w:rsidRPr="007C3060" w:rsidRDefault="000A2A2B" w:rsidP="007C3060">
            <w:r w:rsidRPr="007C3060">
              <w:t>4510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D24AC5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F50F87" w14:textId="77777777" w:rsidR="000A2A2B" w:rsidRPr="007C3060" w:rsidRDefault="000A2A2B" w:rsidP="007C3060">
            <w:r w:rsidRPr="007C3060">
              <w:t>Departementenes sikkerhets- og -serviceorganisasjon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617A3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9B924F"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48CF3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426E30" w14:textId="77777777" w:rsidR="000A2A2B" w:rsidRPr="007C3060" w:rsidRDefault="000A2A2B" w:rsidP="007C3060"/>
        </w:tc>
      </w:tr>
      <w:tr w:rsidR="004B729E" w:rsidRPr="007C3060" w14:paraId="3036F3D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0A2720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2FD0B72" w14:textId="77777777" w:rsidR="000A2A2B" w:rsidRPr="007C3060" w:rsidRDefault="000A2A2B" w:rsidP="007C3060">
            <w:r w:rsidRPr="007C3060">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AD0841" w14:textId="77777777" w:rsidR="000A2A2B" w:rsidRPr="007C3060" w:rsidRDefault="000A2A2B" w:rsidP="007C3060">
            <w:r w:rsidRPr="007C3060">
              <w:t>Brukerbetaling</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227869" w14:textId="77777777" w:rsidR="000A2A2B" w:rsidRPr="007C3060" w:rsidRDefault="000A2A2B" w:rsidP="007C3060">
            <w:r w:rsidRPr="007C3060">
              <w:t>43 037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7222F9"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B4613A" w14:textId="77777777" w:rsidR="000A2A2B" w:rsidRPr="007C3060" w:rsidRDefault="000A2A2B" w:rsidP="007C3060">
            <w:r w:rsidRPr="007C3060">
              <w:t>-1 449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02E5CE" w14:textId="77777777" w:rsidR="000A2A2B" w:rsidRPr="007C3060" w:rsidRDefault="000A2A2B" w:rsidP="007C3060">
            <w:r w:rsidRPr="007C3060">
              <w:t>41 588</w:t>
            </w:r>
          </w:p>
        </w:tc>
      </w:tr>
      <w:tr w:rsidR="004B729E" w:rsidRPr="007C3060" w14:paraId="373CC6B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73651EE" w14:textId="77777777" w:rsidR="000A2A2B" w:rsidRPr="007C3060" w:rsidRDefault="000A2A2B" w:rsidP="007C3060">
            <w:r w:rsidRPr="007C3060">
              <w:t>4515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9F1FFD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F08F8F" w14:textId="0505CD57" w:rsidR="000A2A2B" w:rsidRPr="007C3060" w:rsidRDefault="000A2A2B" w:rsidP="007C3060">
            <w:r w:rsidRPr="007C3060">
              <w:t>Departementenes digitaliseringsorganisasjon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C01A1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B6E172"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F37F2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619924" w14:textId="77777777" w:rsidR="000A2A2B" w:rsidRPr="007C3060" w:rsidRDefault="000A2A2B" w:rsidP="007C3060"/>
        </w:tc>
      </w:tr>
      <w:tr w:rsidR="004B729E" w:rsidRPr="007C3060" w14:paraId="5FEF56C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1A0C6C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FF7A2A0" w14:textId="77777777" w:rsidR="000A2A2B" w:rsidRPr="007C3060" w:rsidRDefault="000A2A2B" w:rsidP="007C3060">
            <w:r w:rsidRPr="007C306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26D380" w14:textId="77777777" w:rsidR="000A2A2B" w:rsidRPr="007C3060" w:rsidRDefault="000A2A2B" w:rsidP="007C3060">
            <w:r w:rsidRPr="007C3060">
              <w:t>Brukerbetalinger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8CCD9D" w14:textId="77777777" w:rsidR="000A2A2B" w:rsidRPr="007C3060" w:rsidRDefault="000A2A2B" w:rsidP="007C3060">
            <w:r w:rsidRPr="007C3060">
              <w:t>33 200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B8BA08"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C58F03" w14:textId="77777777" w:rsidR="000A2A2B" w:rsidRPr="007C3060" w:rsidRDefault="000A2A2B" w:rsidP="007C3060">
            <w:r w:rsidRPr="007C3060">
              <w:t>1 449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0C3238" w14:textId="77777777" w:rsidR="000A2A2B" w:rsidRPr="007C3060" w:rsidRDefault="000A2A2B" w:rsidP="007C3060">
            <w:r w:rsidRPr="007C3060">
              <w:t>34 649</w:t>
            </w:r>
          </w:p>
        </w:tc>
      </w:tr>
      <w:tr w:rsidR="004B729E" w:rsidRPr="007C3060" w14:paraId="610FF3C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7BE1C2BF" w14:textId="77777777" w:rsidR="000A2A2B" w:rsidRPr="007C3060" w:rsidRDefault="000A2A2B" w:rsidP="007C3060">
            <w:r w:rsidRPr="007C3060">
              <w:t>4565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EF91625"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D34D8D" w14:textId="4AA323A6" w:rsidR="000A2A2B" w:rsidRPr="007C3060" w:rsidRDefault="000A2A2B" w:rsidP="007C3060">
            <w:r w:rsidRPr="007C3060">
              <w:t>Boliglånsordningen i Statens pensjonskasse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52F85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0DB41E"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C3913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A65B79" w14:textId="77777777" w:rsidR="000A2A2B" w:rsidRPr="007C3060" w:rsidRDefault="000A2A2B" w:rsidP="007C3060"/>
        </w:tc>
      </w:tr>
      <w:tr w:rsidR="004B729E" w:rsidRPr="007C3060" w14:paraId="3FC21AC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C088D7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F28A69D"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8CA356" w14:textId="77777777" w:rsidR="000A2A2B" w:rsidRPr="007C3060" w:rsidRDefault="000A2A2B" w:rsidP="007C3060">
            <w:r w:rsidRPr="007C3060">
              <w:t>Gebyrinntekter, lån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62ECF7" w14:textId="77777777" w:rsidR="000A2A2B" w:rsidRPr="007C3060" w:rsidRDefault="000A2A2B" w:rsidP="007C3060">
            <w:r w:rsidRPr="007C3060">
              <w:t>46 000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298796"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4366C0" w14:textId="77777777" w:rsidR="000A2A2B" w:rsidRPr="007C3060" w:rsidRDefault="000A2A2B" w:rsidP="007C3060">
            <w:r w:rsidRPr="007C3060">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C9A4BF" w14:textId="77777777" w:rsidR="000A2A2B" w:rsidRPr="007C3060" w:rsidRDefault="000A2A2B" w:rsidP="007C3060">
            <w:r w:rsidRPr="007C3060">
              <w:t>50 000</w:t>
            </w:r>
          </w:p>
        </w:tc>
      </w:tr>
      <w:tr w:rsidR="004B729E" w:rsidRPr="007C3060" w14:paraId="1B167F4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48A845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1039FA0" w14:textId="77777777" w:rsidR="000A2A2B" w:rsidRPr="007C3060" w:rsidRDefault="000A2A2B" w:rsidP="007C3060">
            <w:r w:rsidRPr="007C306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0F8270" w14:textId="77777777" w:rsidR="000A2A2B" w:rsidRPr="007C3060" w:rsidRDefault="000A2A2B" w:rsidP="007C3060">
            <w:r w:rsidRPr="007C3060">
              <w:t>Tilbakebetaling av lån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0BB6D7" w14:textId="77777777" w:rsidR="000A2A2B" w:rsidRPr="007C3060" w:rsidRDefault="000A2A2B" w:rsidP="007C3060">
            <w:r w:rsidRPr="007C3060">
              <w:t>15 500 000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7219C4"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534EDE" w14:textId="77777777" w:rsidR="000A2A2B" w:rsidRPr="007C3060" w:rsidRDefault="000A2A2B" w:rsidP="007C3060">
            <w:r w:rsidRPr="007C3060">
              <w:t>3 800 000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056C3E" w14:textId="77777777" w:rsidR="000A2A2B" w:rsidRPr="007C3060" w:rsidRDefault="000A2A2B" w:rsidP="007C3060">
            <w:r w:rsidRPr="007C3060">
              <w:t>19 300 000</w:t>
            </w:r>
          </w:p>
        </w:tc>
      </w:tr>
      <w:tr w:rsidR="004B729E" w:rsidRPr="007C3060" w14:paraId="699F916A" w14:textId="77777777">
        <w:trPr>
          <w:trHeight w:val="380"/>
        </w:trPr>
        <w:tc>
          <w:tcPr>
            <w:tcW w:w="580" w:type="dxa"/>
            <w:tcBorders>
              <w:top w:val="single" w:sz="4" w:space="0" w:color="000000"/>
              <w:left w:val="single" w:sz="4" w:space="0" w:color="000000"/>
              <w:bottom w:val="nil"/>
              <w:right w:val="single" w:sz="4" w:space="0" w:color="000000"/>
            </w:tcBorders>
            <w:tcMar>
              <w:top w:w="128" w:type="dxa"/>
              <w:left w:w="43" w:type="dxa"/>
              <w:bottom w:w="43" w:type="dxa"/>
              <w:right w:w="103" w:type="dxa"/>
            </w:tcMar>
          </w:tcPr>
          <w:p w14:paraId="491ECC0C" w14:textId="77777777" w:rsidR="000A2A2B" w:rsidRPr="007C3060" w:rsidRDefault="000A2A2B" w:rsidP="007C3060">
            <w:r w:rsidRPr="007C3060">
              <w:t>4600</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vAlign w:val="bottom"/>
          </w:tcPr>
          <w:p w14:paraId="3D86B3BD"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3AA2928" w14:textId="77777777" w:rsidR="000A2A2B" w:rsidRPr="007C3060" w:rsidRDefault="000A2A2B" w:rsidP="007C3060">
            <w:r w:rsidRPr="007C3060">
              <w:t>Finansdepartementet</w:t>
            </w:r>
          </w:p>
        </w:tc>
        <w:tc>
          <w:tcPr>
            <w:tcW w:w="114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1F9D904"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9076776" w14:textId="77777777" w:rsidR="000A2A2B" w:rsidRPr="007C3060" w:rsidRDefault="000A2A2B" w:rsidP="007C3060"/>
        </w:tc>
        <w:tc>
          <w:tcPr>
            <w:tcW w:w="12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C19011E"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64CC147" w14:textId="77777777" w:rsidR="000A2A2B" w:rsidRPr="007C3060" w:rsidRDefault="000A2A2B" w:rsidP="007C3060"/>
        </w:tc>
      </w:tr>
      <w:tr w:rsidR="004B729E" w:rsidRPr="007C3060" w14:paraId="31934B4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99A7A6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657AF85" w14:textId="77777777" w:rsidR="000A2A2B" w:rsidRPr="007C3060" w:rsidRDefault="000A2A2B" w:rsidP="007C3060">
            <w:r w:rsidRPr="007C3060">
              <w:t>95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F547D4" w14:textId="77777777" w:rsidR="000A2A2B" w:rsidRPr="007C3060" w:rsidRDefault="000A2A2B" w:rsidP="007C3060">
            <w:r w:rsidRPr="007C3060">
              <w:t>Fondskapital</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D14092" w14:textId="77777777" w:rsidR="000A2A2B" w:rsidRPr="007C3060" w:rsidRDefault="000A2A2B" w:rsidP="007C3060">
            <w:r w:rsidRPr="007C3060">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A6EF7D"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3E6F11" w14:textId="77777777" w:rsidR="000A2A2B" w:rsidRPr="007C3060" w:rsidRDefault="000A2A2B" w:rsidP="007C3060">
            <w:r w:rsidRPr="007C3060">
              <w:t>50 957 245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37C526" w14:textId="77777777" w:rsidR="000A2A2B" w:rsidRPr="007C3060" w:rsidRDefault="000A2A2B" w:rsidP="007C3060">
            <w:r w:rsidRPr="007C3060">
              <w:t>50 957 245</w:t>
            </w:r>
          </w:p>
        </w:tc>
      </w:tr>
      <w:tr w:rsidR="004B729E" w:rsidRPr="007C3060" w14:paraId="28DE035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7ABAA73F" w14:textId="77777777" w:rsidR="000A2A2B" w:rsidRPr="007C3060" w:rsidRDefault="000A2A2B" w:rsidP="007C3060">
            <w:r w:rsidRPr="007C3060">
              <w:t>4602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5AF034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1DFAD7" w14:textId="77777777" w:rsidR="000A2A2B" w:rsidRPr="007C3060" w:rsidRDefault="000A2A2B" w:rsidP="007C3060">
            <w:r w:rsidRPr="007C3060">
              <w:t>Finanstilsynet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2CAC1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D40CF0"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01075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835843" w14:textId="77777777" w:rsidR="000A2A2B" w:rsidRPr="007C3060" w:rsidRDefault="000A2A2B" w:rsidP="007C3060"/>
        </w:tc>
      </w:tr>
      <w:tr w:rsidR="004B729E" w:rsidRPr="007C3060" w14:paraId="4D459F4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833FEE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DC6778D" w14:textId="77777777" w:rsidR="000A2A2B" w:rsidRPr="007C3060" w:rsidRDefault="000A2A2B" w:rsidP="007C3060">
            <w:r w:rsidRPr="007C3060">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E52654" w14:textId="77777777" w:rsidR="000A2A2B" w:rsidRPr="007C3060" w:rsidRDefault="000A2A2B" w:rsidP="007C3060">
            <w:r w:rsidRPr="007C3060">
              <w:t>Saksbehandlingsgebyr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FC30A5" w14:textId="77777777" w:rsidR="000A2A2B" w:rsidRPr="007C3060" w:rsidRDefault="000A2A2B" w:rsidP="007C3060">
            <w:r w:rsidRPr="007C3060">
              <w:t>18 700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E2F265"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79FF54" w14:textId="77777777" w:rsidR="000A2A2B" w:rsidRPr="007C3060" w:rsidRDefault="000A2A2B" w:rsidP="007C3060">
            <w:r w:rsidRPr="007C3060">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45366B" w14:textId="77777777" w:rsidR="000A2A2B" w:rsidRPr="007C3060" w:rsidRDefault="000A2A2B" w:rsidP="007C3060">
            <w:r w:rsidRPr="007C3060">
              <w:t>20 700</w:t>
            </w:r>
          </w:p>
        </w:tc>
      </w:tr>
      <w:tr w:rsidR="004B729E" w:rsidRPr="007C3060" w14:paraId="09ECC7C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2FC631A" w14:textId="77777777" w:rsidR="000A2A2B" w:rsidRPr="007C3060" w:rsidRDefault="000A2A2B" w:rsidP="007C3060">
            <w:r w:rsidRPr="007C3060">
              <w:t>4610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7729D0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FF2BC6" w14:textId="77777777" w:rsidR="000A2A2B" w:rsidRPr="007C3060" w:rsidRDefault="000A2A2B" w:rsidP="007C3060">
            <w:r w:rsidRPr="007C3060">
              <w:t>Tolletaten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3F430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FBB712"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AAD84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36D742" w14:textId="77777777" w:rsidR="000A2A2B" w:rsidRPr="007C3060" w:rsidRDefault="000A2A2B" w:rsidP="007C3060"/>
        </w:tc>
      </w:tr>
      <w:tr w:rsidR="004B729E" w:rsidRPr="007C3060" w14:paraId="1838B3C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BBA18F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D5C30CB" w14:textId="77777777" w:rsidR="000A2A2B" w:rsidRPr="007C3060" w:rsidRDefault="000A2A2B" w:rsidP="007C3060">
            <w:r w:rsidRPr="007C306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C8A1A8" w14:textId="77777777" w:rsidR="000A2A2B" w:rsidRPr="007C3060" w:rsidRDefault="000A2A2B" w:rsidP="007C3060">
            <w:r w:rsidRPr="007C3060">
              <w:t>Andre 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EE6F91" w14:textId="77777777" w:rsidR="000A2A2B" w:rsidRPr="007C3060" w:rsidRDefault="000A2A2B" w:rsidP="007C3060">
            <w:r w:rsidRPr="007C3060">
              <w:t>2 492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3AD6BB"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4CA199" w14:textId="77777777" w:rsidR="000A2A2B" w:rsidRPr="007C3060" w:rsidRDefault="000A2A2B" w:rsidP="007C3060">
            <w:r w:rsidRPr="007C3060">
              <w:t>1 008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E02002" w14:textId="77777777" w:rsidR="000A2A2B" w:rsidRPr="007C3060" w:rsidRDefault="000A2A2B" w:rsidP="007C3060">
            <w:r w:rsidRPr="007C3060">
              <w:t>3 500</w:t>
            </w:r>
          </w:p>
        </w:tc>
      </w:tr>
      <w:tr w:rsidR="004B729E" w:rsidRPr="007C3060" w14:paraId="33E4184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254FAC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126AF2B" w14:textId="77777777" w:rsidR="000A2A2B" w:rsidRPr="007C3060" w:rsidRDefault="000A2A2B" w:rsidP="007C3060">
            <w:r w:rsidRPr="007C3060">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1AC189" w14:textId="77777777" w:rsidR="000A2A2B" w:rsidRPr="007C3060" w:rsidRDefault="000A2A2B" w:rsidP="007C3060">
            <w:r w:rsidRPr="007C3060">
              <w:t>Diverse refusjoner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7F9875" w14:textId="77777777" w:rsidR="000A2A2B" w:rsidRPr="007C3060" w:rsidRDefault="000A2A2B" w:rsidP="007C3060">
            <w:r w:rsidRPr="007C3060">
              <w:t>1 193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08ABBA"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B0D5B7" w14:textId="77777777" w:rsidR="000A2A2B" w:rsidRPr="007C3060" w:rsidRDefault="000A2A2B" w:rsidP="007C3060">
            <w:r w:rsidRPr="007C3060">
              <w:t>-443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038A79" w14:textId="77777777" w:rsidR="000A2A2B" w:rsidRPr="007C3060" w:rsidRDefault="000A2A2B" w:rsidP="007C3060">
            <w:r w:rsidRPr="007C3060">
              <w:t>750</w:t>
            </w:r>
          </w:p>
        </w:tc>
      </w:tr>
      <w:tr w:rsidR="004B729E" w:rsidRPr="007C3060" w14:paraId="0EB734A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083365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4C8F223" w14:textId="77777777" w:rsidR="000A2A2B" w:rsidRPr="007C3060" w:rsidRDefault="000A2A2B" w:rsidP="007C3060">
            <w:r w:rsidRPr="007C306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FE0195" w14:textId="77777777" w:rsidR="000A2A2B" w:rsidRPr="007C3060" w:rsidRDefault="000A2A2B" w:rsidP="007C3060">
            <w:r w:rsidRPr="007C3060">
              <w:t>Tvangsmulkt og overtredelsesgebyr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8F74F1" w14:textId="77777777" w:rsidR="000A2A2B" w:rsidRPr="007C3060" w:rsidRDefault="000A2A2B" w:rsidP="007C3060">
            <w:r w:rsidRPr="007C3060">
              <w:t>12 500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8603CA"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4C25BE" w14:textId="77777777" w:rsidR="000A2A2B" w:rsidRPr="007C3060" w:rsidRDefault="000A2A2B" w:rsidP="007C3060">
            <w:r w:rsidRPr="007C3060">
              <w:t>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5096D4" w14:textId="77777777" w:rsidR="000A2A2B" w:rsidRPr="007C3060" w:rsidRDefault="000A2A2B" w:rsidP="007C3060">
            <w:r w:rsidRPr="007C3060">
              <w:t>13 000</w:t>
            </w:r>
          </w:p>
        </w:tc>
      </w:tr>
      <w:tr w:rsidR="004B729E" w:rsidRPr="007C3060" w14:paraId="001525D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56CE61B" w14:textId="77777777" w:rsidR="000A2A2B" w:rsidRPr="007C3060" w:rsidRDefault="000A2A2B" w:rsidP="007C3060">
            <w:r w:rsidRPr="007C3060">
              <w:t>4618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DC46D0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98845B" w14:textId="77777777" w:rsidR="000A2A2B" w:rsidRPr="007C3060" w:rsidRDefault="000A2A2B" w:rsidP="007C3060">
            <w:r w:rsidRPr="007C3060">
              <w:t>Skatteetaten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1A81D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F39C00"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B47AC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D5EDEB" w14:textId="77777777" w:rsidR="000A2A2B" w:rsidRPr="007C3060" w:rsidRDefault="000A2A2B" w:rsidP="007C3060"/>
        </w:tc>
      </w:tr>
      <w:tr w:rsidR="004B729E" w:rsidRPr="007C3060" w14:paraId="04B1B14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65A72C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6F2919E" w14:textId="77777777" w:rsidR="000A2A2B" w:rsidRPr="007C3060" w:rsidRDefault="000A2A2B" w:rsidP="007C3060">
            <w:r w:rsidRPr="007C3060">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C92087" w14:textId="77777777" w:rsidR="000A2A2B" w:rsidRPr="007C3060" w:rsidRDefault="000A2A2B" w:rsidP="007C3060">
            <w:r w:rsidRPr="007C3060">
              <w:t>Andre 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F1DBD9" w14:textId="77777777" w:rsidR="000A2A2B" w:rsidRPr="007C3060" w:rsidRDefault="000A2A2B" w:rsidP="007C3060">
            <w:r w:rsidRPr="007C3060">
              <w:t>7 044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8BD099"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CE6356" w14:textId="77777777" w:rsidR="000A2A2B" w:rsidRPr="007C3060" w:rsidRDefault="000A2A2B" w:rsidP="007C3060">
            <w:r w:rsidRPr="007C3060">
              <w:t>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C5A758" w14:textId="77777777" w:rsidR="000A2A2B" w:rsidRPr="007C3060" w:rsidRDefault="000A2A2B" w:rsidP="007C3060">
            <w:r w:rsidRPr="007C3060">
              <w:t>14 044</w:t>
            </w:r>
          </w:p>
        </w:tc>
      </w:tr>
      <w:tr w:rsidR="004B729E" w:rsidRPr="007C3060" w14:paraId="4644F21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FEB20F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A5BE58A" w14:textId="77777777" w:rsidR="000A2A2B" w:rsidRPr="007C3060" w:rsidRDefault="000A2A2B" w:rsidP="007C3060">
            <w:r w:rsidRPr="007C3060">
              <w:t>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81C21C" w14:textId="77777777" w:rsidR="000A2A2B" w:rsidRPr="007C3060" w:rsidRDefault="000A2A2B" w:rsidP="007C3060">
            <w:r w:rsidRPr="007C3060">
              <w:t>Gebyr for utleggsforretninger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00AA5A" w14:textId="77777777" w:rsidR="000A2A2B" w:rsidRPr="007C3060" w:rsidRDefault="000A2A2B" w:rsidP="007C3060">
            <w:r w:rsidRPr="007C3060">
              <w:t>64 000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941409"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D19933" w14:textId="77777777" w:rsidR="000A2A2B" w:rsidRPr="007C3060" w:rsidRDefault="000A2A2B" w:rsidP="007C3060">
            <w:r w:rsidRPr="007C3060">
              <w:t>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EF2400" w14:textId="77777777" w:rsidR="000A2A2B" w:rsidRPr="007C3060" w:rsidRDefault="000A2A2B" w:rsidP="007C3060">
            <w:r w:rsidRPr="007C3060">
              <w:t>84 000</w:t>
            </w:r>
          </w:p>
        </w:tc>
      </w:tr>
      <w:tr w:rsidR="004B729E" w:rsidRPr="007C3060" w14:paraId="70F2636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E08FB6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9A19974" w14:textId="77777777" w:rsidR="000A2A2B" w:rsidRPr="007C3060" w:rsidRDefault="000A2A2B" w:rsidP="007C3060">
            <w:r w:rsidRPr="007C306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88B45B" w14:textId="77777777" w:rsidR="000A2A2B" w:rsidRPr="007C3060" w:rsidRDefault="000A2A2B" w:rsidP="007C3060">
            <w:r w:rsidRPr="007C3060">
              <w:t>Inngått på tapsførte lån mv.</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7BF043" w14:textId="77777777" w:rsidR="000A2A2B" w:rsidRPr="007C3060" w:rsidRDefault="000A2A2B" w:rsidP="007C3060">
            <w:r w:rsidRPr="007C3060">
              <w:t>300 000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BCEEB6"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1EBB0C" w14:textId="77777777" w:rsidR="000A2A2B" w:rsidRPr="007C3060" w:rsidRDefault="000A2A2B" w:rsidP="007C3060">
            <w:r w:rsidRPr="007C3060">
              <w:t>-60 000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FAA0A9" w14:textId="77777777" w:rsidR="000A2A2B" w:rsidRPr="007C3060" w:rsidRDefault="000A2A2B" w:rsidP="007C3060">
            <w:r w:rsidRPr="007C3060">
              <w:t>240 000</w:t>
            </w:r>
          </w:p>
        </w:tc>
      </w:tr>
      <w:tr w:rsidR="004B729E" w:rsidRPr="007C3060" w14:paraId="7702186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DDCA24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449CC91" w14:textId="77777777" w:rsidR="000A2A2B" w:rsidRPr="007C3060" w:rsidRDefault="000A2A2B" w:rsidP="007C3060">
            <w:r w:rsidRPr="007C3060">
              <w:t>86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39A38E" w14:textId="77777777" w:rsidR="000A2A2B" w:rsidRPr="007C3060" w:rsidRDefault="000A2A2B" w:rsidP="007C3060">
            <w:r w:rsidRPr="007C3060">
              <w:t>Bøter, inndragninger mv.</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443FFF" w14:textId="77777777" w:rsidR="000A2A2B" w:rsidRPr="007C3060" w:rsidRDefault="000A2A2B" w:rsidP="007C3060">
            <w:r w:rsidRPr="007C3060">
              <w:t>2 000 000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58096E"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6E9B1A" w14:textId="77777777" w:rsidR="000A2A2B" w:rsidRPr="007C3060" w:rsidRDefault="000A2A2B" w:rsidP="007C3060">
            <w:r w:rsidRPr="007C3060">
              <w:t>-100 000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40FBA1" w14:textId="77777777" w:rsidR="000A2A2B" w:rsidRPr="007C3060" w:rsidRDefault="000A2A2B" w:rsidP="007C3060">
            <w:r w:rsidRPr="007C3060">
              <w:t>1 900 000</w:t>
            </w:r>
          </w:p>
        </w:tc>
      </w:tr>
      <w:tr w:rsidR="004B729E" w:rsidRPr="007C3060" w14:paraId="35773B2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66EAA6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E8C8889" w14:textId="77777777" w:rsidR="000A2A2B" w:rsidRPr="007C3060" w:rsidRDefault="000A2A2B" w:rsidP="007C3060">
            <w:r w:rsidRPr="007C3060">
              <w:t>89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5EDC6A" w14:textId="77777777" w:rsidR="000A2A2B" w:rsidRPr="007C3060" w:rsidRDefault="000A2A2B" w:rsidP="007C3060">
            <w:r w:rsidRPr="007C3060">
              <w:t>Overtredelsesgebyr og tvangsmulkt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3AB709" w14:textId="77777777" w:rsidR="000A2A2B" w:rsidRPr="007C3060" w:rsidRDefault="000A2A2B" w:rsidP="007C3060">
            <w:r w:rsidRPr="007C3060">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8C96BC"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7F6233" w14:textId="77777777" w:rsidR="000A2A2B" w:rsidRPr="007C3060" w:rsidRDefault="000A2A2B" w:rsidP="007C3060">
            <w:r w:rsidRPr="007C3060">
              <w:t>25 000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E6F5FA" w14:textId="77777777" w:rsidR="000A2A2B" w:rsidRPr="007C3060" w:rsidRDefault="000A2A2B" w:rsidP="007C3060">
            <w:r w:rsidRPr="007C3060">
              <w:t>30 000</w:t>
            </w:r>
          </w:p>
        </w:tc>
      </w:tr>
      <w:tr w:rsidR="004B729E" w:rsidRPr="007C3060" w14:paraId="0C2BBC9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A2638DD" w14:textId="77777777" w:rsidR="000A2A2B" w:rsidRPr="007C3060" w:rsidRDefault="000A2A2B" w:rsidP="007C3060">
            <w:r w:rsidRPr="007C3060">
              <w:t>4700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760585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2ADF11" w14:textId="77777777" w:rsidR="000A2A2B" w:rsidRPr="007C3060" w:rsidRDefault="000A2A2B" w:rsidP="007C3060">
            <w:r w:rsidRPr="007C3060">
              <w:t>Forsvarsdepartementet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BC95F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D2429C"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52034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54CC3A" w14:textId="77777777" w:rsidR="000A2A2B" w:rsidRPr="007C3060" w:rsidRDefault="000A2A2B" w:rsidP="007C3060"/>
        </w:tc>
      </w:tr>
      <w:tr w:rsidR="004B729E" w:rsidRPr="007C3060" w14:paraId="2933C08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4EDC4F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0A92938"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9F10C0" w14:textId="77777777" w:rsidR="000A2A2B" w:rsidRPr="007C3060" w:rsidRDefault="000A2A2B" w:rsidP="007C3060">
            <w:r w:rsidRPr="007C3060">
              <w:t>Driftsinntekter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52738F" w14:textId="77777777" w:rsidR="000A2A2B" w:rsidRPr="007C3060" w:rsidRDefault="000A2A2B" w:rsidP="007C3060">
            <w:r w:rsidRPr="007C3060">
              <w:t>13 245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281EAD"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2D91A4" w14:textId="77777777" w:rsidR="000A2A2B" w:rsidRPr="007C3060" w:rsidRDefault="000A2A2B" w:rsidP="007C3060">
            <w:r w:rsidRPr="007C3060">
              <w:t>1 300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38FC4C" w14:textId="77777777" w:rsidR="000A2A2B" w:rsidRPr="007C3060" w:rsidRDefault="000A2A2B" w:rsidP="007C3060">
            <w:r w:rsidRPr="007C3060">
              <w:t>14 545</w:t>
            </w:r>
          </w:p>
        </w:tc>
      </w:tr>
      <w:tr w:rsidR="004B729E" w:rsidRPr="007C3060" w14:paraId="2C61C2D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16E01D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449662E" w14:textId="77777777" w:rsidR="000A2A2B" w:rsidRPr="007C3060" w:rsidRDefault="000A2A2B" w:rsidP="007C3060">
            <w:r w:rsidRPr="007C306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E1BAB7" w14:textId="77777777" w:rsidR="000A2A2B" w:rsidRPr="007C3060" w:rsidRDefault="000A2A2B" w:rsidP="007C3060">
            <w:r w:rsidRPr="007C3060">
              <w:t>Aksjeutbytte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C4EDAD" w14:textId="77777777" w:rsidR="000A2A2B" w:rsidRPr="007C3060" w:rsidRDefault="000A2A2B" w:rsidP="007C3060">
            <w:r w:rsidRPr="007C3060">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DECE9B"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8D218" w14:textId="77777777" w:rsidR="000A2A2B" w:rsidRPr="007C3060" w:rsidRDefault="000A2A2B" w:rsidP="007C3060">
            <w:r w:rsidRPr="007C3060">
              <w:t>15 000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90CEFD" w14:textId="77777777" w:rsidR="000A2A2B" w:rsidRPr="007C3060" w:rsidRDefault="000A2A2B" w:rsidP="007C3060">
            <w:r w:rsidRPr="007C3060">
              <w:t>15 000</w:t>
            </w:r>
          </w:p>
        </w:tc>
      </w:tr>
      <w:tr w:rsidR="004B729E" w:rsidRPr="007C3060" w14:paraId="4518765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D7B65A0" w14:textId="77777777" w:rsidR="000A2A2B" w:rsidRPr="007C3060" w:rsidRDefault="000A2A2B" w:rsidP="007C3060">
            <w:r w:rsidRPr="007C3060">
              <w:t>4710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1F69094"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15555C" w14:textId="77777777" w:rsidR="000A2A2B" w:rsidRPr="007C3060" w:rsidRDefault="000A2A2B" w:rsidP="007C3060">
            <w:r w:rsidRPr="007C3060">
              <w:t>Forsvarsbygg og nybygg og nyanlegg</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786AD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A85BDA"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D8A39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09D40A" w14:textId="77777777" w:rsidR="000A2A2B" w:rsidRPr="007C3060" w:rsidRDefault="000A2A2B" w:rsidP="007C3060"/>
        </w:tc>
      </w:tr>
      <w:tr w:rsidR="004B729E" w:rsidRPr="007C3060" w14:paraId="2FC6AA6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68111B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0909994"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609A48" w14:textId="77777777" w:rsidR="000A2A2B" w:rsidRPr="007C3060" w:rsidRDefault="000A2A2B" w:rsidP="007C3060">
            <w:r w:rsidRPr="007C3060">
              <w:t>Driftsinntekter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0B9BFE" w14:textId="77777777" w:rsidR="000A2A2B" w:rsidRPr="007C3060" w:rsidRDefault="000A2A2B" w:rsidP="007C3060">
            <w:r w:rsidRPr="007C3060">
              <w:t>6 246 013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6C1EF6"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ECAC57" w14:textId="77777777" w:rsidR="000A2A2B" w:rsidRPr="007C3060" w:rsidRDefault="000A2A2B" w:rsidP="007C3060">
            <w:r w:rsidRPr="007C3060">
              <w:t>224 274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9C71CC" w14:textId="77777777" w:rsidR="000A2A2B" w:rsidRPr="007C3060" w:rsidRDefault="000A2A2B" w:rsidP="007C3060">
            <w:r w:rsidRPr="007C3060">
              <w:t>6 470 287</w:t>
            </w:r>
          </w:p>
        </w:tc>
      </w:tr>
      <w:tr w:rsidR="004B729E" w:rsidRPr="007C3060" w14:paraId="0307EC7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7383FEAB" w14:textId="77777777" w:rsidR="000A2A2B" w:rsidRPr="007C3060" w:rsidRDefault="000A2A2B" w:rsidP="007C3060">
            <w:r w:rsidRPr="007C3060">
              <w:t>4720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9CDCA6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D9A036" w14:textId="77777777" w:rsidR="000A2A2B" w:rsidRPr="007C3060" w:rsidRDefault="000A2A2B" w:rsidP="007C3060">
            <w:r w:rsidRPr="007C3060">
              <w:t>Forsvaret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E4219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E88B5F"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37914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CE3659" w14:textId="77777777" w:rsidR="000A2A2B" w:rsidRPr="007C3060" w:rsidRDefault="000A2A2B" w:rsidP="007C3060"/>
        </w:tc>
      </w:tr>
      <w:tr w:rsidR="004B729E" w:rsidRPr="007C3060" w14:paraId="7D811D9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2068B7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021E51F"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5FB546" w14:textId="77777777" w:rsidR="000A2A2B" w:rsidRPr="007C3060" w:rsidRDefault="000A2A2B" w:rsidP="007C3060">
            <w:r w:rsidRPr="007C3060">
              <w:t>Driftsinntekter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B9FE32" w14:textId="77777777" w:rsidR="000A2A2B" w:rsidRPr="007C3060" w:rsidRDefault="000A2A2B" w:rsidP="007C3060">
            <w:r w:rsidRPr="007C3060">
              <w:t>1 042 384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598DBF"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9F9A19" w14:textId="77777777" w:rsidR="000A2A2B" w:rsidRPr="007C3060" w:rsidRDefault="000A2A2B" w:rsidP="007C3060">
            <w:r w:rsidRPr="007C3060">
              <w:t>12 405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E79664" w14:textId="77777777" w:rsidR="000A2A2B" w:rsidRPr="007C3060" w:rsidRDefault="000A2A2B" w:rsidP="007C3060">
            <w:r w:rsidRPr="007C3060">
              <w:t>1 054 789</w:t>
            </w:r>
          </w:p>
        </w:tc>
      </w:tr>
      <w:tr w:rsidR="004B729E" w:rsidRPr="007C3060" w14:paraId="2153FEF6"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D5A2571" w14:textId="77777777" w:rsidR="000A2A2B" w:rsidRPr="007C3060" w:rsidRDefault="000A2A2B" w:rsidP="007C3060">
            <w:r w:rsidRPr="007C3060">
              <w:t>4760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65B416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E82491" w14:textId="77777777" w:rsidR="000A2A2B" w:rsidRPr="007C3060" w:rsidRDefault="000A2A2B" w:rsidP="007C3060">
            <w:r w:rsidRPr="007C3060">
              <w:t>Forsvarsmateriell og større anskaffelser og vedlikehold</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CFB1F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EAD154"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6D6EB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3E1FBB" w14:textId="77777777" w:rsidR="000A2A2B" w:rsidRPr="007C3060" w:rsidRDefault="000A2A2B" w:rsidP="007C3060"/>
        </w:tc>
      </w:tr>
      <w:tr w:rsidR="004B729E" w:rsidRPr="007C3060" w14:paraId="13E68DB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E68D56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6D0509A" w14:textId="77777777" w:rsidR="000A2A2B" w:rsidRPr="007C3060" w:rsidRDefault="000A2A2B" w:rsidP="007C3060">
            <w:r w:rsidRPr="007C306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B0D88D" w14:textId="77777777" w:rsidR="000A2A2B" w:rsidRPr="007C3060" w:rsidRDefault="000A2A2B" w:rsidP="007C3060">
            <w:r w:rsidRPr="007C3060">
              <w:t>Driftsinntekter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7039F8" w14:textId="77777777" w:rsidR="000A2A2B" w:rsidRPr="007C3060" w:rsidRDefault="000A2A2B" w:rsidP="007C3060">
            <w:r w:rsidRPr="007C3060">
              <w:t>36 324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6CA108"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6A8F40" w14:textId="77777777" w:rsidR="000A2A2B" w:rsidRPr="007C3060" w:rsidRDefault="000A2A2B" w:rsidP="007C3060">
            <w:r w:rsidRPr="007C3060">
              <w:t>17 000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067C98" w14:textId="77777777" w:rsidR="000A2A2B" w:rsidRPr="007C3060" w:rsidRDefault="000A2A2B" w:rsidP="007C3060">
            <w:r w:rsidRPr="007C3060">
              <w:t>53 324</w:t>
            </w:r>
          </w:p>
        </w:tc>
      </w:tr>
      <w:tr w:rsidR="004B729E" w:rsidRPr="007C3060" w14:paraId="2587A1A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ED8602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DEEA803" w14:textId="77777777" w:rsidR="000A2A2B" w:rsidRPr="007C3060" w:rsidRDefault="000A2A2B" w:rsidP="007C3060">
            <w:r w:rsidRPr="007C3060">
              <w:t>48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B04091" w14:textId="77777777" w:rsidR="000A2A2B" w:rsidRPr="007C3060" w:rsidRDefault="000A2A2B" w:rsidP="007C3060">
            <w:r w:rsidRPr="007C3060">
              <w:t>Fellesfinansierte investeringer, 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A9DB41" w14:textId="77777777" w:rsidR="000A2A2B" w:rsidRPr="007C3060" w:rsidRDefault="000A2A2B" w:rsidP="007C3060">
            <w:r w:rsidRPr="007C3060">
              <w:t>650 000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4D51FC"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4F16AC" w14:textId="77777777" w:rsidR="000A2A2B" w:rsidRPr="007C3060" w:rsidRDefault="000A2A2B" w:rsidP="007C3060">
            <w:r w:rsidRPr="007C3060">
              <w:t>-120 000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25B46E" w14:textId="77777777" w:rsidR="000A2A2B" w:rsidRPr="007C3060" w:rsidRDefault="000A2A2B" w:rsidP="007C3060">
            <w:r w:rsidRPr="007C3060">
              <w:t>530 000</w:t>
            </w:r>
          </w:p>
        </w:tc>
      </w:tr>
      <w:tr w:rsidR="004B729E" w:rsidRPr="007C3060" w14:paraId="60D93A3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F5228C9" w14:textId="77777777" w:rsidR="000A2A2B" w:rsidRPr="007C3060" w:rsidRDefault="000A2A2B" w:rsidP="007C3060">
            <w:r w:rsidRPr="007C3060">
              <w:t>5310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DF3970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F62350" w14:textId="77777777" w:rsidR="000A2A2B" w:rsidRPr="007C3060" w:rsidRDefault="000A2A2B" w:rsidP="007C3060">
            <w:r w:rsidRPr="007C3060">
              <w:t>Statens lånekasse for utdanning</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B5956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311BA9"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FEDF5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C9CD64" w14:textId="77777777" w:rsidR="000A2A2B" w:rsidRPr="007C3060" w:rsidRDefault="000A2A2B" w:rsidP="007C3060"/>
        </w:tc>
      </w:tr>
      <w:tr w:rsidR="004B729E" w:rsidRPr="007C3060" w14:paraId="46D97F1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89A1A8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AF7A341" w14:textId="77777777" w:rsidR="000A2A2B" w:rsidRPr="007C3060" w:rsidRDefault="000A2A2B" w:rsidP="007C3060">
            <w:r w:rsidRPr="007C3060">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3EA6AB" w14:textId="77777777" w:rsidR="000A2A2B" w:rsidRPr="007C3060" w:rsidRDefault="000A2A2B" w:rsidP="007C3060">
            <w:r w:rsidRPr="007C3060">
              <w:t>Refusjon av ODA-godkjente utgifter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8CAE7C" w14:textId="77777777" w:rsidR="000A2A2B" w:rsidRPr="007C3060" w:rsidRDefault="000A2A2B" w:rsidP="007C3060">
            <w:r w:rsidRPr="007C3060">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0EA603"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038832" w14:textId="77777777" w:rsidR="000A2A2B" w:rsidRPr="007C3060" w:rsidRDefault="000A2A2B" w:rsidP="007C3060">
            <w:r w:rsidRPr="007C3060">
              <w:t>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8CCE77" w14:textId="77777777" w:rsidR="000A2A2B" w:rsidRPr="007C3060" w:rsidRDefault="000A2A2B" w:rsidP="007C3060">
            <w:r w:rsidRPr="007C3060">
              <w:t>2 500</w:t>
            </w:r>
          </w:p>
        </w:tc>
      </w:tr>
      <w:tr w:rsidR="004B729E" w:rsidRPr="007C3060" w14:paraId="5958D4E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0ECDF8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A493AC1" w14:textId="77777777" w:rsidR="000A2A2B" w:rsidRPr="007C3060" w:rsidRDefault="000A2A2B" w:rsidP="007C3060">
            <w:r w:rsidRPr="007C3060">
              <w:t>29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5FD4BB" w14:textId="77777777" w:rsidR="000A2A2B" w:rsidRPr="007C3060" w:rsidRDefault="000A2A2B" w:rsidP="007C3060">
            <w:r w:rsidRPr="007C3060">
              <w:t>Termingebyrer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70E2E0" w14:textId="77777777" w:rsidR="000A2A2B" w:rsidRPr="007C3060" w:rsidRDefault="000A2A2B" w:rsidP="007C3060">
            <w:r w:rsidRPr="007C3060">
              <w:t>1 870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BC7628"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0D9AA5" w14:textId="77777777" w:rsidR="000A2A2B" w:rsidRPr="007C3060" w:rsidRDefault="000A2A2B" w:rsidP="007C3060">
            <w:r w:rsidRPr="007C3060">
              <w:t>-170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F29C09" w14:textId="77777777" w:rsidR="000A2A2B" w:rsidRPr="007C3060" w:rsidRDefault="000A2A2B" w:rsidP="007C3060">
            <w:r w:rsidRPr="007C3060">
              <w:t>1 700</w:t>
            </w:r>
          </w:p>
        </w:tc>
      </w:tr>
      <w:tr w:rsidR="004B729E" w:rsidRPr="007C3060" w14:paraId="21DCF0C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FED186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5CF24BB" w14:textId="77777777" w:rsidR="000A2A2B" w:rsidRPr="007C3060" w:rsidRDefault="000A2A2B" w:rsidP="007C3060">
            <w:r w:rsidRPr="007C3060">
              <w:t>89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C0DB91" w14:textId="77777777" w:rsidR="000A2A2B" w:rsidRPr="007C3060" w:rsidRDefault="000A2A2B" w:rsidP="007C3060">
            <w:r w:rsidRPr="007C3060">
              <w:t>Purregebyrer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B44E5F" w14:textId="77777777" w:rsidR="000A2A2B" w:rsidRPr="007C3060" w:rsidRDefault="000A2A2B" w:rsidP="007C3060">
            <w:r w:rsidRPr="007C3060">
              <w:t>109 229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2F86BA"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505CD7" w14:textId="77777777" w:rsidR="000A2A2B" w:rsidRPr="007C3060" w:rsidRDefault="000A2A2B" w:rsidP="007C3060">
            <w:r w:rsidRPr="007C3060">
              <w:t>7 569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06AB0D" w14:textId="77777777" w:rsidR="000A2A2B" w:rsidRPr="007C3060" w:rsidRDefault="000A2A2B" w:rsidP="007C3060">
            <w:r w:rsidRPr="007C3060">
              <w:t>116 798</w:t>
            </w:r>
          </w:p>
        </w:tc>
      </w:tr>
      <w:tr w:rsidR="004B729E" w:rsidRPr="007C3060" w14:paraId="1F361FB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40EFBE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DE3C548" w14:textId="77777777" w:rsidR="000A2A2B" w:rsidRPr="007C3060" w:rsidRDefault="000A2A2B" w:rsidP="007C3060">
            <w:r w:rsidRPr="007C306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14439B" w14:textId="77777777" w:rsidR="000A2A2B" w:rsidRPr="007C3060" w:rsidRDefault="000A2A2B" w:rsidP="007C3060">
            <w:r w:rsidRPr="007C3060">
              <w:t>Redusert lån og rentegjeld</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727317" w14:textId="77777777" w:rsidR="000A2A2B" w:rsidRPr="007C3060" w:rsidRDefault="000A2A2B" w:rsidP="007C3060">
            <w:r w:rsidRPr="007C3060">
              <w:t>14 754 325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B614C4"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47941F" w14:textId="77777777" w:rsidR="000A2A2B" w:rsidRPr="007C3060" w:rsidRDefault="000A2A2B" w:rsidP="007C3060">
            <w:r w:rsidRPr="007C3060">
              <w:t>-468 188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0A38E9" w14:textId="77777777" w:rsidR="000A2A2B" w:rsidRPr="007C3060" w:rsidRDefault="000A2A2B" w:rsidP="007C3060">
            <w:r w:rsidRPr="007C3060">
              <w:t>14 286 137</w:t>
            </w:r>
          </w:p>
        </w:tc>
      </w:tr>
      <w:tr w:rsidR="004B729E" w:rsidRPr="007C3060" w14:paraId="1CFF9E5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7A6B2D2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CB03F87" w14:textId="77777777" w:rsidR="000A2A2B" w:rsidRPr="007C3060" w:rsidRDefault="000A2A2B" w:rsidP="007C3060">
            <w:r w:rsidRPr="007C3060">
              <w:t>93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8222BF" w14:textId="77777777" w:rsidR="000A2A2B" w:rsidRPr="007C3060" w:rsidRDefault="000A2A2B" w:rsidP="007C3060">
            <w:r w:rsidRPr="007C3060">
              <w:t>Omgjøring av utdanningslån til stipend</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7BA0DF" w14:textId="77777777" w:rsidR="000A2A2B" w:rsidRPr="007C3060" w:rsidRDefault="000A2A2B" w:rsidP="007C3060">
            <w:r w:rsidRPr="007C3060">
              <w:t>8 651 746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D780A7"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6F4109" w14:textId="77777777" w:rsidR="000A2A2B" w:rsidRPr="007C3060" w:rsidRDefault="000A2A2B" w:rsidP="007C3060">
            <w:r w:rsidRPr="007C3060">
              <w:t>-255 494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1EE337" w14:textId="77777777" w:rsidR="000A2A2B" w:rsidRPr="007C3060" w:rsidRDefault="000A2A2B" w:rsidP="007C3060">
            <w:r w:rsidRPr="007C3060">
              <w:t>8 396 252</w:t>
            </w:r>
          </w:p>
        </w:tc>
      </w:tr>
      <w:tr w:rsidR="004B729E" w:rsidRPr="007C3060" w14:paraId="01AB008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569E532" w14:textId="77777777" w:rsidR="000A2A2B" w:rsidRPr="007C3060" w:rsidRDefault="000A2A2B" w:rsidP="007C3060">
            <w:r w:rsidRPr="007C3060">
              <w:t>5312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A8A592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89EFAD" w14:textId="77777777" w:rsidR="000A2A2B" w:rsidRPr="007C3060" w:rsidRDefault="000A2A2B" w:rsidP="007C3060">
            <w:r w:rsidRPr="007C3060">
              <w:t>Husbanken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BC8B8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417F0D"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B3FAC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A96596" w14:textId="77777777" w:rsidR="000A2A2B" w:rsidRPr="007C3060" w:rsidRDefault="000A2A2B" w:rsidP="007C3060"/>
        </w:tc>
      </w:tr>
      <w:tr w:rsidR="004B729E" w:rsidRPr="007C3060" w14:paraId="0B3C4B4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84067D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9DC049C" w14:textId="77777777" w:rsidR="000A2A2B" w:rsidRPr="007C3060" w:rsidRDefault="000A2A2B" w:rsidP="007C3060">
            <w:r w:rsidRPr="007C306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A9C84A" w14:textId="77777777" w:rsidR="000A2A2B" w:rsidRPr="007C3060" w:rsidRDefault="000A2A2B" w:rsidP="007C3060">
            <w:r w:rsidRPr="007C3060">
              <w:t>Avdrag</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757CD8" w14:textId="77777777" w:rsidR="000A2A2B" w:rsidRPr="007C3060" w:rsidRDefault="000A2A2B" w:rsidP="007C3060">
            <w:r w:rsidRPr="007C3060">
              <w:t>15 113 000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4372FD"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9F2BF3" w14:textId="77777777" w:rsidR="000A2A2B" w:rsidRPr="007C3060" w:rsidRDefault="000A2A2B" w:rsidP="007C3060">
            <w:r w:rsidRPr="007C3060">
              <w:t>-1 819 600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65F387" w14:textId="77777777" w:rsidR="000A2A2B" w:rsidRPr="007C3060" w:rsidRDefault="000A2A2B" w:rsidP="007C3060">
            <w:r w:rsidRPr="007C3060">
              <w:t>13 293 400</w:t>
            </w:r>
          </w:p>
        </w:tc>
      </w:tr>
      <w:tr w:rsidR="004B729E" w:rsidRPr="007C3060" w14:paraId="1B89F671" w14:textId="77777777">
        <w:trPr>
          <w:trHeight w:val="380"/>
        </w:trPr>
        <w:tc>
          <w:tcPr>
            <w:tcW w:w="580" w:type="dxa"/>
            <w:tcBorders>
              <w:top w:val="single" w:sz="4" w:space="0" w:color="000000"/>
              <w:left w:val="single" w:sz="4" w:space="0" w:color="000000"/>
              <w:bottom w:val="nil"/>
              <w:right w:val="single" w:sz="4" w:space="0" w:color="000000"/>
            </w:tcBorders>
            <w:tcMar>
              <w:top w:w="128" w:type="dxa"/>
              <w:left w:w="43" w:type="dxa"/>
              <w:bottom w:w="43" w:type="dxa"/>
              <w:right w:w="103" w:type="dxa"/>
            </w:tcMar>
          </w:tcPr>
          <w:p w14:paraId="231F9B7C" w14:textId="77777777" w:rsidR="000A2A2B" w:rsidRPr="007C3060" w:rsidRDefault="000A2A2B" w:rsidP="007C3060">
            <w:r w:rsidRPr="007C3060">
              <w:t>5325</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vAlign w:val="bottom"/>
          </w:tcPr>
          <w:p w14:paraId="0E9CB798"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D3C0A00" w14:textId="77777777" w:rsidR="000A2A2B" w:rsidRPr="007C3060" w:rsidRDefault="000A2A2B" w:rsidP="007C3060">
            <w:r w:rsidRPr="007C3060">
              <w:t>Innovasjon Norge</w:t>
            </w:r>
          </w:p>
        </w:tc>
        <w:tc>
          <w:tcPr>
            <w:tcW w:w="114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3587C49"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4A4F801" w14:textId="77777777" w:rsidR="000A2A2B" w:rsidRPr="007C3060" w:rsidRDefault="000A2A2B" w:rsidP="007C3060"/>
        </w:tc>
        <w:tc>
          <w:tcPr>
            <w:tcW w:w="12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7CAFF06"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1A68003" w14:textId="77777777" w:rsidR="000A2A2B" w:rsidRPr="007C3060" w:rsidRDefault="000A2A2B" w:rsidP="007C3060"/>
        </w:tc>
      </w:tr>
      <w:tr w:rsidR="004B729E" w:rsidRPr="007C3060" w14:paraId="19746F07"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6C0109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6148310A" w14:textId="77777777" w:rsidR="000A2A2B" w:rsidRPr="007C3060" w:rsidRDefault="000A2A2B" w:rsidP="007C3060">
            <w:r w:rsidRPr="007C3060">
              <w:t>53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8E2679" w14:textId="77777777" w:rsidR="000A2A2B" w:rsidRPr="007C3060" w:rsidRDefault="000A2A2B" w:rsidP="007C3060">
            <w:r w:rsidRPr="007C3060">
              <w:t>Tilbakeføring av ubrukte -tiltakspakkemidler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66C1A1" w14:textId="77777777" w:rsidR="000A2A2B" w:rsidRPr="007C3060" w:rsidRDefault="000A2A2B" w:rsidP="007C3060">
            <w:r w:rsidRPr="007C3060">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1F16E0"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BD83F7" w14:textId="77777777" w:rsidR="000A2A2B" w:rsidRPr="007C3060" w:rsidRDefault="000A2A2B" w:rsidP="007C3060">
            <w:r w:rsidRPr="007C3060">
              <w:t>73 850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7C667C" w14:textId="77777777" w:rsidR="000A2A2B" w:rsidRPr="007C3060" w:rsidRDefault="000A2A2B" w:rsidP="007C3060">
            <w:r w:rsidRPr="007C3060">
              <w:t>73 850</w:t>
            </w:r>
          </w:p>
        </w:tc>
      </w:tr>
      <w:tr w:rsidR="004B729E" w:rsidRPr="007C3060" w14:paraId="0675C69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2D41A1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DF8AC55"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F80E87" w14:textId="77777777" w:rsidR="000A2A2B" w:rsidRPr="007C3060" w:rsidRDefault="000A2A2B" w:rsidP="007C3060">
            <w:r w:rsidRPr="007C3060">
              <w:t>Låneprovisjoner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51F5C2" w14:textId="77777777" w:rsidR="000A2A2B" w:rsidRPr="007C3060" w:rsidRDefault="000A2A2B" w:rsidP="007C3060">
            <w:r w:rsidRPr="007C3060">
              <w:t>70 000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4DED78"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9BCDD7" w14:textId="77777777" w:rsidR="000A2A2B" w:rsidRPr="007C3060" w:rsidRDefault="000A2A2B" w:rsidP="007C3060">
            <w:r w:rsidRPr="007C3060">
              <w:t>-2 700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348240" w14:textId="77777777" w:rsidR="000A2A2B" w:rsidRPr="007C3060" w:rsidRDefault="000A2A2B" w:rsidP="007C3060">
            <w:r w:rsidRPr="007C3060">
              <w:t>67 300</w:t>
            </w:r>
          </w:p>
        </w:tc>
      </w:tr>
      <w:tr w:rsidR="004B729E" w:rsidRPr="007C3060" w14:paraId="251FECB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F5053B6" w14:textId="77777777" w:rsidR="000A2A2B" w:rsidRPr="007C3060" w:rsidRDefault="000A2A2B" w:rsidP="007C3060">
            <w:r w:rsidRPr="007C3060">
              <w:t>5351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7A86A8B"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0C5966" w14:textId="77777777" w:rsidR="000A2A2B" w:rsidRPr="007C3060" w:rsidRDefault="000A2A2B" w:rsidP="007C3060">
            <w:r w:rsidRPr="007C3060">
              <w:t>Overføring fra Norges Bank</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CE5E1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FD8A5B"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B1764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13B553" w14:textId="77777777" w:rsidR="000A2A2B" w:rsidRPr="007C3060" w:rsidRDefault="000A2A2B" w:rsidP="007C3060"/>
        </w:tc>
      </w:tr>
      <w:tr w:rsidR="004B729E" w:rsidRPr="007C3060" w14:paraId="722E37B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4C9383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67D987A" w14:textId="77777777" w:rsidR="000A2A2B" w:rsidRPr="007C3060" w:rsidRDefault="000A2A2B" w:rsidP="007C3060">
            <w:r w:rsidRPr="007C306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4F50A4" w14:textId="77777777" w:rsidR="000A2A2B" w:rsidRPr="007C3060" w:rsidRDefault="000A2A2B" w:rsidP="007C3060">
            <w:r w:rsidRPr="007C3060">
              <w:t>Overføring</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D598FF" w14:textId="77777777" w:rsidR="000A2A2B" w:rsidRPr="007C3060" w:rsidRDefault="000A2A2B" w:rsidP="007C3060">
            <w:r w:rsidRPr="007C3060">
              <w:t>18 974 000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5B13F3"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193CA7" w14:textId="77777777" w:rsidR="000A2A2B" w:rsidRPr="007C3060" w:rsidRDefault="000A2A2B" w:rsidP="007C3060">
            <w:r w:rsidRPr="007C3060">
              <w:t>11 128 800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389163" w14:textId="77777777" w:rsidR="000A2A2B" w:rsidRPr="007C3060" w:rsidRDefault="000A2A2B" w:rsidP="007C3060">
            <w:r w:rsidRPr="007C3060">
              <w:t>30 102 800</w:t>
            </w:r>
          </w:p>
        </w:tc>
      </w:tr>
      <w:tr w:rsidR="004B729E" w:rsidRPr="007C3060" w14:paraId="7032C258" w14:textId="77777777">
        <w:trPr>
          <w:trHeight w:val="380"/>
        </w:trPr>
        <w:tc>
          <w:tcPr>
            <w:tcW w:w="626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103" w:type="dxa"/>
            </w:tcMar>
          </w:tcPr>
          <w:p w14:paraId="721C3C86" w14:textId="77777777" w:rsidR="000A2A2B" w:rsidRPr="007C3060" w:rsidRDefault="000A2A2B" w:rsidP="007C3060">
            <w:r w:rsidRPr="007C3060">
              <w:t>Sum endringer Inntekter under departementene</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4ACC5A" w14:textId="77777777" w:rsidR="000A2A2B" w:rsidRPr="007C3060" w:rsidRDefault="000A2A2B" w:rsidP="007C3060">
            <w:r w:rsidRPr="007C3060">
              <w:t>-</w:t>
            </w: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08E7349" w14:textId="77777777" w:rsidR="000A2A2B" w:rsidRPr="007C3060" w:rsidRDefault="000A2A2B" w:rsidP="007C3060">
            <w:r w:rsidRPr="007C3060">
              <w:t>65 006 977</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3E98226" w14:textId="77777777" w:rsidR="000A2A2B" w:rsidRPr="007C3060" w:rsidRDefault="000A2A2B" w:rsidP="007C3060"/>
        </w:tc>
      </w:tr>
      <w:tr w:rsidR="004B729E" w:rsidRPr="007C3060" w14:paraId="4C4B4A8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656A24D" w14:textId="77777777" w:rsidR="000A2A2B" w:rsidRPr="007C3060" w:rsidRDefault="000A2A2B" w:rsidP="007C3060">
            <w:r w:rsidRPr="007C3060">
              <w:t>5440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49D5963"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7AF6A4" w14:textId="77777777" w:rsidR="000A2A2B" w:rsidRPr="007C3060" w:rsidRDefault="000A2A2B" w:rsidP="007C3060">
            <w:r w:rsidRPr="007C3060">
              <w:t>Statens direkte økonomiske engasjement i petroleumsvirksomheten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54DCF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AD3B48"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C80D4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B31C24" w14:textId="77777777" w:rsidR="000A2A2B" w:rsidRPr="007C3060" w:rsidRDefault="000A2A2B" w:rsidP="007C3060"/>
        </w:tc>
      </w:tr>
      <w:tr w:rsidR="004B729E" w:rsidRPr="007C3060" w14:paraId="464E0E3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7F77C2E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07D4D9F" w14:textId="77777777" w:rsidR="000A2A2B" w:rsidRPr="007C3060" w:rsidRDefault="000A2A2B" w:rsidP="007C3060">
            <w:r w:rsidRPr="007C3060">
              <w:t>24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1792AB" w14:textId="77777777" w:rsidR="000A2A2B" w:rsidRPr="007C3060" w:rsidRDefault="000A2A2B" w:rsidP="007C3060">
            <w:r w:rsidRPr="007C3060">
              <w:t>Driftsresultat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629604" w14:textId="77777777" w:rsidR="000A2A2B" w:rsidRPr="007C3060" w:rsidRDefault="000A2A2B" w:rsidP="007C3060">
            <w:r w:rsidRPr="007C3060">
              <w:t>218 710 000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2206DE"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6E76C0" w14:textId="77777777" w:rsidR="000A2A2B" w:rsidRPr="007C3060" w:rsidRDefault="000A2A2B" w:rsidP="007C3060">
            <w:r w:rsidRPr="007C3060">
              <w:t>30 390 000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CE6037" w14:textId="77777777" w:rsidR="000A2A2B" w:rsidRPr="007C3060" w:rsidRDefault="000A2A2B" w:rsidP="007C3060">
            <w:r w:rsidRPr="007C3060">
              <w:t>249 100 000</w:t>
            </w:r>
          </w:p>
        </w:tc>
      </w:tr>
      <w:tr w:rsidR="004B729E" w:rsidRPr="007C3060" w14:paraId="78AF350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B847E4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4EDD810" w14:textId="77777777" w:rsidR="000A2A2B" w:rsidRPr="007C3060" w:rsidRDefault="000A2A2B" w:rsidP="007C3060">
            <w:r w:rsidRPr="007C3060">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86CF55" w14:textId="77777777" w:rsidR="000A2A2B" w:rsidRPr="007C3060" w:rsidRDefault="000A2A2B" w:rsidP="007C3060">
            <w:r w:rsidRPr="007C3060">
              <w:t>Avskrivninger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CCAA79" w14:textId="77777777" w:rsidR="000A2A2B" w:rsidRPr="007C3060" w:rsidRDefault="000A2A2B" w:rsidP="007C3060">
            <w:r w:rsidRPr="007C3060">
              <w:t>32 100 000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B4BF73"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2149F0" w14:textId="77777777" w:rsidR="000A2A2B" w:rsidRPr="007C3060" w:rsidRDefault="000A2A2B" w:rsidP="007C3060">
            <w:r w:rsidRPr="007C3060">
              <w:t>1 400 000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1E47A3" w14:textId="77777777" w:rsidR="000A2A2B" w:rsidRPr="007C3060" w:rsidRDefault="000A2A2B" w:rsidP="007C3060">
            <w:r w:rsidRPr="007C3060">
              <w:t>33 500 000</w:t>
            </w:r>
          </w:p>
        </w:tc>
      </w:tr>
      <w:tr w:rsidR="004B729E" w:rsidRPr="007C3060" w14:paraId="0054BB5F" w14:textId="77777777">
        <w:trPr>
          <w:trHeight w:val="380"/>
        </w:trPr>
        <w:tc>
          <w:tcPr>
            <w:tcW w:w="626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492D85C" w14:textId="77777777" w:rsidR="000A2A2B" w:rsidRPr="007C3060" w:rsidRDefault="000A2A2B" w:rsidP="007C3060">
            <w:r w:rsidRPr="007C3060">
              <w:t>Sum endringer Inntekter fra statlig petroleumsvirksomhet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833AE2" w14:textId="77777777" w:rsidR="000A2A2B" w:rsidRPr="007C3060" w:rsidRDefault="000A2A2B" w:rsidP="007C3060">
            <w:r w:rsidRPr="007C3060">
              <w:t>-</w:t>
            </w: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576B484" w14:textId="77777777" w:rsidR="000A2A2B" w:rsidRPr="007C3060" w:rsidRDefault="000A2A2B" w:rsidP="007C3060">
            <w:r w:rsidRPr="007C3060">
              <w:t>31 790 000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5F7D936" w14:textId="77777777" w:rsidR="000A2A2B" w:rsidRPr="007C3060" w:rsidRDefault="000A2A2B" w:rsidP="007C3060"/>
        </w:tc>
      </w:tr>
      <w:tr w:rsidR="004B729E" w:rsidRPr="007C3060" w14:paraId="0B789FF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DA4DB51" w14:textId="77777777" w:rsidR="000A2A2B" w:rsidRPr="007C3060" w:rsidRDefault="000A2A2B" w:rsidP="007C3060">
            <w:r w:rsidRPr="007C3060">
              <w:t>5460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87E87E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313443" w14:textId="77777777" w:rsidR="000A2A2B" w:rsidRPr="007C3060" w:rsidRDefault="000A2A2B" w:rsidP="007C3060">
            <w:r w:rsidRPr="007C3060">
              <w:t>Eksportfinansiering Norge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AECBC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CC582C"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5F89B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341E3C" w14:textId="77777777" w:rsidR="000A2A2B" w:rsidRPr="007C3060" w:rsidRDefault="000A2A2B" w:rsidP="007C3060"/>
        </w:tc>
      </w:tr>
      <w:tr w:rsidR="004B729E" w:rsidRPr="007C3060" w14:paraId="7FF5F7D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D9D9B1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1253FC28"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FD377D" w14:textId="77777777" w:rsidR="000A2A2B" w:rsidRPr="007C3060" w:rsidRDefault="000A2A2B" w:rsidP="007C3060">
            <w:r w:rsidRPr="007C3060">
              <w:t>Tilbakeføring fra avviklede garanti-ordninger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468FA7" w14:textId="77777777" w:rsidR="000A2A2B" w:rsidRPr="007C3060" w:rsidRDefault="000A2A2B" w:rsidP="007C3060">
            <w:r w:rsidRPr="007C3060">
              <w:t>28 800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01B9F4"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47BFFF" w14:textId="77777777" w:rsidR="000A2A2B" w:rsidRPr="007C3060" w:rsidRDefault="000A2A2B" w:rsidP="007C3060">
            <w:r w:rsidRPr="007C3060">
              <w:t>25 000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9D8B4D" w14:textId="77777777" w:rsidR="000A2A2B" w:rsidRPr="007C3060" w:rsidRDefault="000A2A2B" w:rsidP="007C3060">
            <w:r w:rsidRPr="007C3060">
              <w:t>53 800</w:t>
            </w:r>
          </w:p>
        </w:tc>
      </w:tr>
      <w:tr w:rsidR="004B729E" w:rsidRPr="007C3060" w14:paraId="226AE69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A32D2E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2AD16D8A" w14:textId="77777777" w:rsidR="000A2A2B" w:rsidRPr="007C3060" w:rsidRDefault="000A2A2B" w:rsidP="007C3060">
            <w:r w:rsidRPr="007C306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641283" w14:textId="77777777" w:rsidR="000A2A2B" w:rsidRPr="007C3060" w:rsidRDefault="000A2A2B" w:rsidP="007C3060">
            <w:r w:rsidRPr="007C3060">
              <w:t>Inntekter fra avviklede midlertidige -ordninger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26FB16" w14:textId="77777777" w:rsidR="000A2A2B" w:rsidRPr="007C3060" w:rsidRDefault="000A2A2B" w:rsidP="007C3060">
            <w:r w:rsidRPr="007C3060">
              <w:t>21 650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7B707A"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96F155" w14:textId="77777777" w:rsidR="000A2A2B" w:rsidRPr="007C3060" w:rsidRDefault="000A2A2B" w:rsidP="007C3060">
            <w:r w:rsidRPr="007C3060">
              <w:t>463 200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B50AC5" w14:textId="77777777" w:rsidR="000A2A2B" w:rsidRPr="007C3060" w:rsidRDefault="000A2A2B" w:rsidP="007C3060">
            <w:r w:rsidRPr="007C3060">
              <w:t>484 850</w:t>
            </w:r>
          </w:p>
        </w:tc>
      </w:tr>
      <w:tr w:rsidR="004B729E" w:rsidRPr="007C3060" w14:paraId="282B4E3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7A1CB2C0" w14:textId="77777777" w:rsidR="000A2A2B" w:rsidRPr="007C3060" w:rsidRDefault="000A2A2B" w:rsidP="007C3060">
            <w:r w:rsidRPr="007C3060">
              <w:t>5470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A025AA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5D5A1F" w14:textId="77777777" w:rsidR="000A2A2B" w:rsidRPr="007C3060" w:rsidRDefault="000A2A2B" w:rsidP="007C3060">
            <w:r w:rsidRPr="007C3060">
              <w:t>Statens pensjonskasse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56FE6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697BAB"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BA444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DB67D6" w14:textId="77777777" w:rsidR="000A2A2B" w:rsidRPr="007C3060" w:rsidRDefault="000A2A2B" w:rsidP="007C3060"/>
        </w:tc>
      </w:tr>
      <w:tr w:rsidR="004B729E" w:rsidRPr="007C3060" w14:paraId="3E8266C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063724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224351C" w14:textId="77777777" w:rsidR="000A2A2B" w:rsidRPr="007C3060" w:rsidRDefault="000A2A2B" w:rsidP="007C3060">
            <w:r w:rsidRPr="007C3060">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163DCC" w14:textId="77777777" w:rsidR="000A2A2B" w:rsidRPr="007C3060" w:rsidRDefault="000A2A2B" w:rsidP="007C3060">
            <w:r w:rsidRPr="007C3060">
              <w:t>Avsetning til investeringsformål</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4DB805" w14:textId="77777777" w:rsidR="000A2A2B" w:rsidRPr="007C3060" w:rsidRDefault="000A2A2B" w:rsidP="007C3060">
            <w:r w:rsidRPr="007C3060">
              <w:t>55 000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99436C"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BC7B80" w14:textId="77777777" w:rsidR="000A2A2B" w:rsidRPr="007C3060" w:rsidRDefault="000A2A2B" w:rsidP="007C3060">
            <w:r w:rsidRPr="007C3060">
              <w:t>21 000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DA9B3D" w14:textId="77777777" w:rsidR="000A2A2B" w:rsidRPr="007C3060" w:rsidRDefault="000A2A2B" w:rsidP="007C3060">
            <w:r w:rsidRPr="007C3060">
              <w:t>76 000</w:t>
            </w:r>
          </w:p>
        </w:tc>
      </w:tr>
      <w:tr w:rsidR="004B729E" w:rsidRPr="007C3060" w14:paraId="0BF325D3" w14:textId="77777777">
        <w:trPr>
          <w:trHeight w:val="880"/>
        </w:trPr>
        <w:tc>
          <w:tcPr>
            <w:tcW w:w="626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BAD9E2F" w14:textId="77777777" w:rsidR="000A2A2B" w:rsidRPr="007C3060" w:rsidRDefault="000A2A2B" w:rsidP="007C3060">
            <w:r w:rsidRPr="007C3060">
              <w:t>Sum endringer Avskrivninger, avsetninger til investeringsformål og inntekter av statens forvaltningsbedrifter i samband med nybygg, anlegg mv.</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E9A4C43" w14:textId="77777777" w:rsidR="000A2A2B" w:rsidRPr="007C3060" w:rsidRDefault="000A2A2B" w:rsidP="007C3060">
            <w:r w:rsidRPr="007C3060">
              <w:t>-</w:t>
            </w: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6C825A" w14:textId="77777777" w:rsidR="000A2A2B" w:rsidRPr="007C3060" w:rsidRDefault="000A2A2B" w:rsidP="007C3060">
            <w:r w:rsidRPr="007C3060">
              <w:t>509 200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DD192A2" w14:textId="77777777" w:rsidR="000A2A2B" w:rsidRPr="007C3060" w:rsidRDefault="000A2A2B" w:rsidP="007C3060"/>
        </w:tc>
      </w:tr>
      <w:tr w:rsidR="004B729E" w:rsidRPr="007C3060" w14:paraId="34F09CE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9FEC262" w14:textId="77777777" w:rsidR="000A2A2B" w:rsidRPr="007C3060" w:rsidRDefault="000A2A2B" w:rsidP="007C3060">
            <w:r w:rsidRPr="007C3060">
              <w:t>5501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D73DBF5"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C9FBE1" w14:textId="77777777" w:rsidR="000A2A2B" w:rsidRPr="007C3060" w:rsidRDefault="000A2A2B" w:rsidP="007C3060">
            <w:r w:rsidRPr="007C3060">
              <w:t>Skatter på formue og inntekt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D0B13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2B79F4"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F2397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9464EE" w14:textId="77777777" w:rsidR="000A2A2B" w:rsidRPr="007C3060" w:rsidRDefault="000A2A2B" w:rsidP="007C3060"/>
        </w:tc>
      </w:tr>
      <w:tr w:rsidR="004B729E" w:rsidRPr="007C3060" w14:paraId="05383E0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DBF5A3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0F4428A"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A96876" w14:textId="77777777" w:rsidR="000A2A2B" w:rsidRPr="007C3060" w:rsidRDefault="000A2A2B" w:rsidP="007C3060">
            <w:r w:rsidRPr="007C3060">
              <w:t>Trinnskatt og formuesskatt mv.</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193B2A" w14:textId="77777777" w:rsidR="000A2A2B" w:rsidRPr="007C3060" w:rsidRDefault="000A2A2B" w:rsidP="007C3060">
            <w:r w:rsidRPr="007C3060">
              <w:t>136 080 500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FFA21C"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FADC91" w14:textId="77777777" w:rsidR="000A2A2B" w:rsidRPr="007C3060" w:rsidRDefault="000A2A2B" w:rsidP="007C3060">
            <w:r w:rsidRPr="007C3060">
              <w:t>-50 000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ECA310" w14:textId="77777777" w:rsidR="000A2A2B" w:rsidRPr="007C3060" w:rsidRDefault="000A2A2B" w:rsidP="007C3060">
            <w:r w:rsidRPr="007C3060">
              <w:t>136 030 500</w:t>
            </w:r>
          </w:p>
        </w:tc>
      </w:tr>
      <w:tr w:rsidR="004B729E" w:rsidRPr="007C3060" w14:paraId="64AEFC7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9AF981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06B4BA7"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422B91" w14:textId="77777777" w:rsidR="000A2A2B" w:rsidRPr="007C3060" w:rsidRDefault="000A2A2B" w:rsidP="007C3060">
            <w:r w:rsidRPr="007C3060">
              <w:t>Fellesskatt mv. fra personlige skattytere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8E5B13" w14:textId="77777777" w:rsidR="000A2A2B" w:rsidRPr="007C3060" w:rsidRDefault="000A2A2B" w:rsidP="007C3060">
            <w:r w:rsidRPr="007C3060">
              <w:t>151 372 500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48DC6A"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3CB9A8" w14:textId="77777777" w:rsidR="000A2A2B" w:rsidRPr="007C3060" w:rsidRDefault="000A2A2B" w:rsidP="007C3060">
            <w:r w:rsidRPr="007C3060">
              <w:t>-100 000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AB3222" w14:textId="77777777" w:rsidR="000A2A2B" w:rsidRPr="007C3060" w:rsidRDefault="000A2A2B" w:rsidP="007C3060">
            <w:r w:rsidRPr="007C3060">
              <w:t>151 272 500</w:t>
            </w:r>
          </w:p>
        </w:tc>
      </w:tr>
      <w:tr w:rsidR="004B729E" w:rsidRPr="007C3060" w14:paraId="011EFA2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8196C2E" w14:textId="77777777" w:rsidR="000A2A2B" w:rsidRPr="007C3060" w:rsidRDefault="000A2A2B" w:rsidP="007C3060">
            <w:r w:rsidRPr="007C3060">
              <w:t>5521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257E498"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E98ACA" w14:textId="77777777" w:rsidR="000A2A2B" w:rsidRPr="007C3060" w:rsidRDefault="000A2A2B" w:rsidP="007C3060">
            <w:r w:rsidRPr="007C3060">
              <w:t>Merverdiavgift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7E2CB2"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855CD1"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46819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E63229" w14:textId="77777777" w:rsidR="000A2A2B" w:rsidRPr="007C3060" w:rsidRDefault="000A2A2B" w:rsidP="007C3060"/>
        </w:tc>
      </w:tr>
      <w:tr w:rsidR="004B729E" w:rsidRPr="007C3060" w14:paraId="0EAE1E9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C6E9669"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98D0C7E"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2514A8" w14:textId="77777777" w:rsidR="000A2A2B" w:rsidRPr="007C3060" w:rsidRDefault="000A2A2B" w:rsidP="007C3060">
            <w:r w:rsidRPr="007C3060">
              <w:t>Merverdiavgift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9628C8" w14:textId="77777777" w:rsidR="000A2A2B" w:rsidRPr="007C3060" w:rsidRDefault="000A2A2B" w:rsidP="007C3060">
            <w:r w:rsidRPr="007C3060">
              <w:t>409 258 000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A73986"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56C4B7" w14:textId="77777777" w:rsidR="000A2A2B" w:rsidRPr="007C3060" w:rsidRDefault="000A2A2B" w:rsidP="007C3060">
            <w:r w:rsidRPr="007C3060">
              <w:t>670 000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C55DD8" w14:textId="77777777" w:rsidR="000A2A2B" w:rsidRPr="007C3060" w:rsidRDefault="000A2A2B" w:rsidP="007C3060">
            <w:r w:rsidRPr="007C3060">
              <w:t>409 928 000</w:t>
            </w:r>
          </w:p>
        </w:tc>
      </w:tr>
      <w:tr w:rsidR="004B729E" w:rsidRPr="007C3060" w14:paraId="2434A3F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8D8F2CE" w14:textId="77777777" w:rsidR="000A2A2B" w:rsidRPr="007C3060" w:rsidRDefault="000A2A2B" w:rsidP="007C3060">
            <w:r w:rsidRPr="007C3060">
              <w:t>5541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5E7A22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44796C" w14:textId="77777777" w:rsidR="000A2A2B" w:rsidRPr="007C3060" w:rsidRDefault="000A2A2B" w:rsidP="007C3060">
            <w:r w:rsidRPr="007C3060">
              <w:t>Avgift på elektrisk kraft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F31A7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4B5F8F"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9DD56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11A6B1" w14:textId="77777777" w:rsidR="000A2A2B" w:rsidRPr="007C3060" w:rsidRDefault="000A2A2B" w:rsidP="007C3060"/>
        </w:tc>
      </w:tr>
      <w:tr w:rsidR="004B729E" w:rsidRPr="007C3060" w14:paraId="1B44949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2827E5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3359A03"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6226BB" w14:textId="77777777" w:rsidR="000A2A2B" w:rsidRPr="007C3060" w:rsidRDefault="000A2A2B" w:rsidP="007C3060">
            <w:r w:rsidRPr="007C3060">
              <w:t>Avgift på elektrisk kraft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748BE8" w14:textId="77777777" w:rsidR="000A2A2B" w:rsidRPr="007C3060" w:rsidRDefault="000A2A2B" w:rsidP="007C3060">
            <w:r w:rsidRPr="007C3060">
              <w:t>10 803 000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28110F"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2334C1" w14:textId="77777777" w:rsidR="000A2A2B" w:rsidRPr="007C3060" w:rsidRDefault="000A2A2B" w:rsidP="007C3060">
            <w:r w:rsidRPr="007C3060">
              <w:t>-732 500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ABB4D2" w14:textId="77777777" w:rsidR="000A2A2B" w:rsidRPr="007C3060" w:rsidRDefault="000A2A2B" w:rsidP="007C3060">
            <w:r w:rsidRPr="007C3060">
              <w:t>10 070 500</w:t>
            </w:r>
          </w:p>
        </w:tc>
      </w:tr>
      <w:tr w:rsidR="004B729E" w:rsidRPr="007C3060" w14:paraId="3F2051F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1041B99" w14:textId="77777777" w:rsidR="000A2A2B" w:rsidRPr="007C3060" w:rsidRDefault="000A2A2B" w:rsidP="007C3060">
            <w:r w:rsidRPr="007C3060">
              <w:lastRenderedPageBreak/>
              <w:t>5543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5A39AC5"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753767" w14:textId="77777777" w:rsidR="000A2A2B" w:rsidRPr="007C3060" w:rsidRDefault="000A2A2B" w:rsidP="007C3060">
            <w:r w:rsidRPr="007C3060">
              <w:t>Miljøavgift på mineralske produkter mv.</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DB615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31B78C"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5B3C2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1F1974" w14:textId="77777777" w:rsidR="000A2A2B" w:rsidRPr="007C3060" w:rsidRDefault="000A2A2B" w:rsidP="007C3060"/>
        </w:tc>
      </w:tr>
      <w:tr w:rsidR="004B729E" w:rsidRPr="007C3060" w14:paraId="2EB1E57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5F4DD2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DD5D187"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D3FB23" w14:textId="77777777" w:rsidR="000A2A2B" w:rsidRPr="007C3060" w:rsidRDefault="000A2A2B" w:rsidP="007C3060">
            <w:r w:rsidRPr="007C3060">
              <w:t>CO</w:t>
            </w:r>
            <w:r w:rsidRPr="007C3060">
              <w:rPr>
                <w:rStyle w:val="skrift-senket"/>
              </w:rPr>
              <w:t>2</w:t>
            </w:r>
            <w:r w:rsidRPr="007C3060">
              <w:t>-avgift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56586A" w14:textId="77777777" w:rsidR="000A2A2B" w:rsidRPr="007C3060" w:rsidRDefault="000A2A2B" w:rsidP="007C3060">
            <w:r w:rsidRPr="007C3060">
              <w:t>18 437 000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8AA728"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3BA2C3" w14:textId="77777777" w:rsidR="000A2A2B" w:rsidRPr="007C3060" w:rsidRDefault="000A2A2B" w:rsidP="007C3060">
            <w:r w:rsidRPr="007C3060">
              <w:t>-416 250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E00F26" w14:textId="77777777" w:rsidR="000A2A2B" w:rsidRPr="007C3060" w:rsidRDefault="000A2A2B" w:rsidP="007C3060">
            <w:r w:rsidRPr="007C3060">
              <w:t>18 020 750</w:t>
            </w:r>
          </w:p>
        </w:tc>
      </w:tr>
      <w:tr w:rsidR="004B729E" w:rsidRPr="007C3060" w14:paraId="3CD1223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79BCFD11" w14:textId="77777777" w:rsidR="000A2A2B" w:rsidRPr="007C3060" w:rsidRDefault="000A2A2B" w:rsidP="007C3060">
            <w:r w:rsidRPr="007C3060">
              <w:t>5574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2455DA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2714F5" w14:textId="77777777" w:rsidR="000A2A2B" w:rsidRPr="007C3060" w:rsidRDefault="000A2A2B" w:rsidP="007C3060">
            <w:r w:rsidRPr="007C3060">
              <w:t>Sektoravgifter under Nærings- og fiskeridepartementet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5BB87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BFC528"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FB5DE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4E66F8" w14:textId="77777777" w:rsidR="000A2A2B" w:rsidRPr="007C3060" w:rsidRDefault="000A2A2B" w:rsidP="007C3060"/>
        </w:tc>
      </w:tr>
      <w:tr w:rsidR="004B729E" w:rsidRPr="007C3060" w14:paraId="6F22351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E19936F"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639D6CC" w14:textId="77777777" w:rsidR="000A2A2B" w:rsidRPr="007C3060" w:rsidRDefault="000A2A2B" w:rsidP="007C3060">
            <w:r w:rsidRPr="007C306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F24945" w14:textId="77777777" w:rsidR="000A2A2B" w:rsidRPr="007C3060" w:rsidRDefault="000A2A2B" w:rsidP="007C3060">
            <w:r w:rsidRPr="007C3060">
              <w:t>Fiskeriforskningsavgift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F1AAF8" w14:textId="77777777" w:rsidR="000A2A2B" w:rsidRPr="007C3060" w:rsidRDefault="000A2A2B" w:rsidP="007C3060">
            <w:r w:rsidRPr="007C3060">
              <w:t>340 900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38A9D5"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D843FF" w14:textId="77777777" w:rsidR="000A2A2B" w:rsidRPr="007C3060" w:rsidRDefault="000A2A2B" w:rsidP="007C3060">
            <w:r w:rsidRPr="007C3060">
              <w:t>42 500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B54B9A" w14:textId="77777777" w:rsidR="000A2A2B" w:rsidRPr="007C3060" w:rsidRDefault="000A2A2B" w:rsidP="007C3060">
            <w:r w:rsidRPr="007C3060">
              <w:t>383 400</w:t>
            </w:r>
          </w:p>
        </w:tc>
      </w:tr>
      <w:tr w:rsidR="004B729E" w:rsidRPr="007C3060" w14:paraId="3289388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E5C155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DAB7DD9" w14:textId="77777777" w:rsidR="000A2A2B" w:rsidRPr="007C3060" w:rsidRDefault="000A2A2B" w:rsidP="007C3060">
            <w:r w:rsidRPr="007C306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07E678" w14:textId="77777777" w:rsidR="000A2A2B" w:rsidRPr="007C3060" w:rsidRDefault="000A2A2B" w:rsidP="007C3060">
            <w:r w:rsidRPr="007C3060">
              <w:t>Kontrollavgift fiskeflåten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214E27" w14:textId="77777777" w:rsidR="000A2A2B" w:rsidRPr="007C3060" w:rsidRDefault="000A2A2B" w:rsidP="007C3060">
            <w:r w:rsidRPr="007C3060">
              <w:t>44 400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C00FBA"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281914" w14:textId="77777777" w:rsidR="000A2A2B" w:rsidRPr="007C3060" w:rsidRDefault="000A2A2B" w:rsidP="007C3060">
            <w:r w:rsidRPr="007C3060">
              <w:t>5 600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56EB2F" w14:textId="77777777" w:rsidR="000A2A2B" w:rsidRPr="007C3060" w:rsidRDefault="000A2A2B" w:rsidP="007C3060">
            <w:r w:rsidRPr="007C3060">
              <w:t>50 000</w:t>
            </w:r>
          </w:p>
        </w:tc>
      </w:tr>
      <w:tr w:rsidR="004B729E" w:rsidRPr="007C3060" w14:paraId="02DD7953" w14:textId="77777777">
        <w:trPr>
          <w:trHeight w:val="380"/>
        </w:trPr>
        <w:tc>
          <w:tcPr>
            <w:tcW w:w="580" w:type="dxa"/>
            <w:tcBorders>
              <w:top w:val="single" w:sz="4" w:space="0" w:color="000000"/>
              <w:left w:val="single" w:sz="4" w:space="0" w:color="000000"/>
              <w:bottom w:val="nil"/>
              <w:right w:val="single" w:sz="4" w:space="0" w:color="000000"/>
            </w:tcBorders>
            <w:tcMar>
              <w:top w:w="128" w:type="dxa"/>
              <w:left w:w="43" w:type="dxa"/>
              <w:bottom w:w="43" w:type="dxa"/>
              <w:right w:w="103" w:type="dxa"/>
            </w:tcMar>
          </w:tcPr>
          <w:p w14:paraId="554A4D56" w14:textId="77777777" w:rsidR="000A2A2B" w:rsidRPr="007C3060" w:rsidRDefault="000A2A2B" w:rsidP="007C3060"/>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vAlign w:val="bottom"/>
          </w:tcPr>
          <w:p w14:paraId="1E85C239" w14:textId="77777777" w:rsidR="000A2A2B" w:rsidRPr="007C3060" w:rsidRDefault="000A2A2B" w:rsidP="007C3060">
            <w:r w:rsidRPr="007C3060">
              <w:t>77</w:t>
            </w:r>
          </w:p>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C78C05A" w14:textId="77777777" w:rsidR="000A2A2B" w:rsidRPr="007C3060" w:rsidRDefault="000A2A2B" w:rsidP="007C3060">
            <w:r w:rsidRPr="007C3060">
              <w:t>Sektoravgifter Kystverket</w:t>
            </w:r>
          </w:p>
        </w:tc>
        <w:tc>
          <w:tcPr>
            <w:tcW w:w="114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F7806A7" w14:textId="77777777" w:rsidR="000A2A2B" w:rsidRPr="007C3060" w:rsidRDefault="000A2A2B" w:rsidP="007C3060">
            <w:r w:rsidRPr="007C3060">
              <w:t>1 061 771</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AA3F2DD" w14:textId="77777777" w:rsidR="000A2A2B" w:rsidRPr="007C3060" w:rsidRDefault="000A2A2B" w:rsidP="007C3060">
            <w:r w:rsidRPr="007C3060">
              <w:t>-</w:t>
            </w:r>
          </w:p>
        </w:tc>
        <w:tc>
          <w:tcPr>
            <w:tcW w:w="12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EA8B29E" w14:textId="77777777" w:rsidR="000A2A2B" w:rsidRPr="007C3060" w:rsidRDefault="000A2A2B" w:rsidP="007C3060">
            <w:r w:rsidRPr="007C3060">
              <w:t>155 700</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8D9494A" w14:textId="77777777" w:rsidR="000A2A2B" w:rsidRPr="007C3060" w:rsidRDefault="000A2A2B" w:rsidP="007C3060">
            <w:r w:rsidRPr="007C3060">
              <w:t>1 217 471</w:t>
            </w:r>
          </w:p>
        </w:tc>
      </w:tr>
      <w:tr w:rsidR="004B729E" w:rsidRPr="007C3060" w14:paraId="4871B30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58405AD" w14:textId="77777777" w:rsidR="000A2A2B" w:rsidRPr="007C3060" w:rsidRDefault="000A2A2B" w:rsidP="007C3060">
            <w:r w:rsidRPr="007C3060">
              <w:t>5578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4DA6AE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4330F1" w14:textId="6F9B751D" w:rsidR="000A2A2B" w:rsidRPr="007C3060" w:rsidRDefault="000A2A2B" w:rsidP="007C3060">
            <w:r w:rsidRPr="007C3060">
              <w:t>Sektoravgifter under Klima- og miljødepartementet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B957C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68E400"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FFC01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7A4339" w14:textId="77777777" w:rsidR="000A2A2B" w:rsidRPr="007C3060" w:rsidRDefault="000A2A2B" w:rsidP="007C3060"/>
        </w:tc>
      </w:tr>
      <w:tr w:rsidR="004B729E" w:rsidRPr="007C3060" w14:paraId="421D828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CED0A4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CB00243"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538E38" w14:textId="77777777" w:rsidR="000A2A2B" w:rsidRPr="007C3060" w:rsidRDefault="000A2A2B" w:rsidP="007C3060">
            <w:proofErr w:type="spellStart"/>
            <w:r w:rsidRPr="007C3060">
              <w:t>Fiskeravgifter</w:t>
            </w:r>
            <w:proofErr w:type="spellEnd"/>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83D7ED" w14:textId="77777777" w:rsidR="000A2A2B" w:rsidRPr="007C3060" w:rsidRDefault="000A2A2B" w:rsidP="007C3060">
            <w:r w:rsidRPr="007C3060">
              <w:t>19 074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FF9A48"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CE874F" w14:textId="77777777" w:rsidR="000A2A2B" w:rsidRPr="007C3060" w:rsidRDefault="000A2A2B" w:rsidP="007C3060">
            <w:r w:rsidRPr="007C3060">
              <w:t>-2 374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29C2A8" w14:textId="77777777" w:rsidR="000A2A2B" w:rsidRPr="007C3060" w:rsidRDefault="000A2A2B" w:rsidP="007C3060">
            <w:r w:rsidRPr="007C3060">
              <w:t>16 700</w:t>
            </w:r>
          </w:p>
        </w:tc>
      </w:tr>
      <w:tr w:rsidR="004B729E" w:rsidRPr="007C3060" w14:paraId="782E4C1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124F9D8" w14:textId="77777777" w:rsidR="000A2A2B" w:rsidRPr="007C3060" w:rsidRDefault="000A2A2B" w:rsidP="007C3060">
            <w:r w:rsidRPr="007C3060">
              <w:t>5580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291789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CADC6B" w14:textId="77777777" w:rsidR="000A2A2B" w:rsidRPr="007C3060" w:rsidRDefault="000A2A2B" w:rsidP="007C3060">
            <w:r w:rsidRPr="007C3060">
              <w:t>Sektoravgifter under Finansdepartementet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76CB5F"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64EC8B"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D3577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CED780" w14:textId="77777777" w:rsidR="000A2A2B" w:rsidRPr="007C3060" w:rsidRDefault="000A2A2B" w:rsidP="007C3060"/>
        </w:tc>
      </w:tr>
      <w:tr w:rsidR="004B729E" w:rsidRPr="007C3060" w14:paraId="4EAC30C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32A4C00"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8B26BA7"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D89C5D" w14:textId="77777777" w:rsidR="000A2A2B" w:rsidRPr="007C3060" w:rsidRDefault="000A2A2B" w:rsidP="007C3060">
            <w:r w:rsidRPr="007C3060">
              <w:t>Finanstilsynet, bidrag fra tilsynsenhetene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F38C8E" w14:textId="77777777" w:rsidR="000A2A2B" w:rsidRPr="007C3060" w:rsidRDefault="000A2A2B" w:rsidP="007C3060">
            <w:r w:rsidRPr="007C3060">
              <w:t>606 417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63E53A"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5D9A0A" w14:textId="77777777" w:rsidR="000A2A2B" w:rsidRPr="007C3060" w:rsidRDefault="000A2A2B" w:rsidP="007C3060">
            <w:r w:rsidRPr="007C3060">
              <w:t>10 071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EB65C6" w14:textId="77777777" w:rsidR="000A2A2B" w:rsidRPr="007C3060" w:rsidRDefault="000A2A2B" w:rsidP="007C3060">
            <w:r w:rsidRPr="007C3060">
              <w:t>616 488</w:t>
            </w:r>
          </w:p>
        </w:tc>
      </w:tr>
      <w:tr w:rsidR="004B729E" w:rsidRPr="007C3060" w14:paraId="49F46CDE" w14:textId="77777777">
        <w:trPr>
          <w:trHeight w:val="380"/>
        </w:trPr>
        <w:tc>
          <w:tcPr>
            <w:tcW w:w="626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103" w:type="dxa"/>
            </w:tcMar>
          </w:tcPr>
          <w:p w14:paraId="3ED7FF96" w14:textId="77777777" w:rsidR="000A2A2B" w:rsidRPr="007C3060" w:rsidRDefault="000A2A2B" w:rsidP="007C3060">
            <w:r w:rsidRPr="007C3060">
              <w:t>Sum endringer Skatter og avgifter</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F74E74B" w14:textId="77777777" w:rsidR="000A2A2B" w:rsidRPr="007C3060" w:rsidRDefault="000A2A2B" w:rsidP="007C3060">
            <w:r w:rsidRPr="007C3060">
              <w:t>-</w:t>
            </w: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2DA253A" w14:textId="77777777" w:rsidR="000A2A2B" w:rsidRPr="007C3060" w:rsidRDefault="000A2A2B" w:rsidP="007C3060">
            <w:r w:rsidRPr="007C3060">
              <w:t>-417 253</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5D2FB03" w14:textId="77777777" w:rsidR="000A2A2B" w:rsidRPr="007C3060" w:rsidRDefault="000A2A2B" w:rsidP="007C3060"/>
        </w:tc>
      </w:tr>
      <w:tr w:rsidR="004B729E" w:rsidRPr="007C3060" w14:paraId="785EA93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1016521" w14:textId="77777777" w:rsidR="000A2A2B" w:rsidRPr="007C3060" w:rsidRDefault="000A2A2B" w:rsidP="007C3060">
            <w:r w:rsidRPr="007C3060">
              <w:t>5603</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D916CB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049E7D" w14:textId="77777777" w:rsidR="000A2A2B" w:rsidRPr="007C3060" w:rsidRDefault="000A2A2B" w:rsidP="007C3060">
            <w:r w:rsidRPr="007C3060">
              <w:t>Renter av statens kapital i statens -forvaltningsbedrifter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4124E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1D018"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08ED4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839E59" w14:textId="77777777" w:rsidR="000A2A2B" w:rsidRPr="007C3060" w:rsidRDefault="000A2A2B" w:rsidP="007C3060"/>
        </w:tc>
      </w:tr>
      <w:tr w:rsidR="004B729E" w:rsidRPr="007C3060" w14:paraId="4865979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28E06E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DAAE197" w14:textId="77777777" w:rsidR="000A2A2B" w:rsidRPr="007C3060" w:rsidRDefault="000A2A2B" w:rsidP="007C3060">
            <w:r w:rsidRPr="007C306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9D67BA" w14:textId="77777777" w:rsidR="000A2A2B" w:rsidRPr="007C3060" w:rsidRDefault="000A2A2B" w:rsidP="007C3060">
            <w:r w:rsidRPr="007C3060">
              <w:t>Renter av statens faste kapital</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A1066F" w14:textId="77777777" w:rsidR="000A2A2B" w:rsidRPr="007C3060" w:rsidRDefault="000A2A2B" w:rsidP="007C3060">
            <w:r w:rsidRPr="007C3060">
              <w:t>2 593 000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80D58C"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8D3433" w14:textId="77777777" w:rsidR="000A2A2B" w:rsidRPr="007C3060" w:rsidRDefault="000A2A2B" w:rsidP="007C3060">
            <w:r w:rsidRPr="007C3060">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186849" w14:textId="77777777" w:rsidR="000A2A2B" w:rsidRPr="007C3060" w:rsidRDefault="000A2A2B" w:rsidP="007C3060">
            <w:r w:rsidRPr="007C3060">
              <w:t>2 594 000</w:t>
            </w:r>
          </w:p>
        </w:tc>
      </w:tr>
      <w:tr w:rsidR="004B729E" w:rsidRPr="007C3060" w14:paraId="2B3D45B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7C75DC0A" w14:textId="77777777" w:rsidR="000A2A2B" w:rsidRPr="007C3060" w:rsidRDefault="000A2A2B" w:rsidP="007C3060">
            <w:r w:rsidRPr="007C3060">
              <w:t>5605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0875774"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32E5AA" w14:textId="77777777" w:rsidR="000A2A2B" w:rsidRPr="007C3060" w:rsidRDefault="000A2A2B" w:rsidP="007C3060">
            <w:r w:rsidRPr="007C3060">
              <w:t>Renter av statskassens kontantbeholdning og andre fordringer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A1938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A4B9AC"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73ADF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E69DB6" w14:textId="77777777" w:rsidR="000A2A2B" w:rsidRPr="007C3060" w:rsidRDefault="000A2A2B" w:rsidP="007C3060"/>
        </w:tc>
      </w:tr>
      <w:tr w:rsidR="004B729E" w:rsidRPr="007C3060" w14:paraId="78AB5D8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8A8DF1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1834C20" w14:textId="77777777" w:rsidR="000A2A2B" w:rsidRPr="007C3060" w:rsidRDefault="000A2A2B" w:rsidP="007C3060">
            <w:r w:rsidRPr="007C306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0C2824" w14:textId="77777777" w:rsidR="000A2A2B" w:rsidRPr="007C3060" w:rsidRDefault="000A2A2B" w:rsidP="007C3060">
            <w:r w:rsidRPr="007C3060">
              <w:t>Av statskassens foliokonto i Norges Bank</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6CAF9E" w14:textId="77777777" w:rsidR="000A2A2B" w:rsidRPr="007C3060" w:rsidRDefault="000A2A2B" w:rsidP="007C3060">
            <w:r w:rsidRPr="007C3060">
              <w:t>10 465 000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99FF43"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E29665" w14:textId="77777777" w:rsidR="000A2A2B" w:rsidRPr="007C3060" w:rsidRDefault="000A2A2B" w:rsidP="007C3060">
            <w:r w:rsidRPr="007C3060">
              <w:t>-2 565 000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B04748" w14:textId="77777777" w:rsidR="000A2A2B" w:rsidRPr="007C3060" w:rsidRDefault="000A2A2B" w:rsidP="007C3060">
            <w:r w:rsidRPr="007C3060">
              <w:t>7 900 000</w:t>
            </w:r>
          </w:p>
        </w:tc>
      </w:tr>
      <w:tr w:rsidR="004B729E" w:rsidRPr="007C3060" w14:paraId="3D21FAD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13047F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444D1D4" w14:textId="77777777" w:rsidR="000A2A2B" w:rsidRPr="007C3060" w:rsidRDefault="000A2A2B" w:rsidP="007C3060">
            <w:r w:rsidRPr="007C3060">
              <w:t>82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326D5C" w14:textId="77777777" w:rsidR="000A2A2B" w:rsidRPr="007C3060" w:rsidRDefault="000A2A2B" w:rsidP="007C3060">
            <w:r w:rsidRPr="007C3060">
              <w:t>Av innenlandske verdipapirer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9A36DE" w14:textId="77777777" w:rsidR="000A2A2B" w:rsidRPr="007C3060" w:rsidRDefault="000A2A2B" w:rsidP="007C3060">
            <w:r w:rsidRPr="007C3060">
              <w:t>1 859 300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37B154"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9A8C5B" w14:textId="77777777" w:rsidR="000A2A2B" w:rsidRPr="007C3060" w:rsidRDefault="000A2A2B" w:rsidP="007C3060">
            <w:r w:rsidRPr="007C3060">
              <w:t>-80 900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07324F" w14:textId="77777777" w:rsidR="000A2A2B" w:rsidRPr="007C3060" w:rsidRDefault="000A2A2B" w:rsidP="007C3060">
            <w:r w:rsidRPr="007C3060">
              <w:t>1 778 400</w:t>
            </w:r>
          </w:p>
        </w:tc>
      </w:tr>
      <w:tr w:rsidR="004B729E" w:rsidRPr="007C3060" w14:paraId="15E90A8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BA03E0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D796AEA" w14:textId="77777777" w:rsidR="000A2A2B" w:rsidRPr="007C3060" w:rsidRDefault="000A2A2B" w:rsidP="007C3060">
            <w:r w:rsidRPr="007C3060">
              <w:t>84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0765F5" w14:textId="77777777" w:rsidR="000A2A2B" w:rsidRPr="007C3060" w:rsidRDefault="000A2A2B" w:rsidP="007C3060">
            <w:r w:rsidRPr="007C3060">
              <w:t>Av driftskreditt til statsbedrifter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DF1E68" w14:textId="77777777" w:rsidR="000A2A2B" w:rsidRPr="007C3060" w:rsidRDefault="000A2A2B" w:rsidP="007C3060">
            <w:r w:rsidRPr="007C3060">
              <w:t>3 163 200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9E2A4F"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CA1130" w14:textId="77777777" w:rsidR="000A2A2B" w:rsidRPr="007C3060" w:rsidRDefault="000A2A2B" w:rsidP="007C3060">
            <w:r w:rsidRPr="007C3060">
              <w:t>-159 600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0214EA" w14:textId="77777777" w:rsidR="000A2A2B" w:rsidRPr="007C3060" w:rsidRDefault="000A2A2B" w:rsidP="007C3060">
            <w:r w:rsidRPr="007C3060">
              <w:t>3 003 600</w:t>
            </w:r>
          </w:p>
        </w:tc>
      </w:tr>
      <w:tr w:rsidR="004B729E" w:rsidRPr="007C3060" w14:paraId="67971E8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844EB3B" w14:textId="77777777" w:rsidR="000A2A2B" w:rsidRPr="007C3060" w:rsidRDefault="000A2A2B" w:rsidP="007C3060">
            <w:r w:rsidRPr="007C3060">
              <w:lastRenderedPageBreak/>
              <w:t>5607</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700ED47"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9BBB7E" w14:textId="77777777" w:rsidR="000A2A2B" w:rsidRPr="007C3060" w:rsidRDefault="000A2A2B" w:rsidP="007C3060">
            <w:r w:rsidRPr="007C3060">
              <w:t>Renter av boliglånsordningen i Statens pensjonskasse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74D6F8"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67CE39"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5F2A4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E61A99" w14:textId="77777777" w:rsidR="000A2A2B" w:rsidRPr="007C3060" w:rsidRDefault="000A2A2B" w:rsidP="007C3060"/>
        </w:tc>
      </w:tr>
      <w:tr w:rsidR="004B729E" w:rsidRPr="007C3060" w14:paraId="0CDEC00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B7AC45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FCADFED" w14:textId="77777777" w:rsidR="000A2A2B" w:rsidRPr="007C3060" w:rsidRDefault="000A2A2B" w:rsidP="007C3060">
            <w:r w:rsidRPr="007C306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FD41EB" w14:textId="77777777" w:rsidR="000A2A2B" w:rsidRPr="007C3060" w:rsidRDefault="000A2A2B" w:rsidP="007C3060">
            <w:r w:rsidRPr="007C3060">
              <w:t>Renter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D69E67" w14:textId="77777777" w:rsidR="000A2A2B" w:rsidRPr="007C3060" w:rsidRDefault="000A2A2B" w:rsidP="007C3060">
            <w:r w:rsidRPr="007C3060">
              <w:t>3 944 000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879A94"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41EC57" w14:textId="77777777" w:rsidR="000A2A2B" w:rsidRPr="007C3060" w:rsidRDefault="000A2A2B" w:rsidP="007C3060">
            <w:r w:rsidRPr="007C3060">
              <w:t>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14B7DF" w14:textId="77777777" w:rsidR="000A2A2B" w:rsidRPr="007C3060" w:rsidRDefault="000A2A2B" w:rsidP="007C3060">
            <w:r w:rsidRPr="007C3060">
              <w:t>3 951 000</w:t>
            </w:r>
          </w:p>
        </w:tc>
      </w:tr>
      <w:tr w:rsidR="004B729E" w:rsidRPr="007C3060" w14:paraId="44D1785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8789F9B" w14:textId="77777777" w:rsidR="000A2A2B" w:rsidRPr="007C3060" w:rsidRDefault="000A2A2B" w:rsidP="007C3060">
            <w:r w:rsidRPr="007C3060">
              <w:t>5615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68FF4D2"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AFEB43" w14:textId="77777777" w:rsidR="000A2A2B" w:rsidRPr="007C3060" w:rsidRDefault="000A2A2B" w:rsidP="007C3060">
            <w:r w:rsidRPr="007C3060">
              <w:t>Husbanken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E1546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702FB7"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E344B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CFF408" w14:textId="77777777" w:rsidR="000A2A2B" w:rsidRPr="007C3060" w:rsidRDefault="000A2A2B" w:rsidP="007C3060"/>
        </w:tc>
      </w:tr>
      <w:tr w:rsidR="004B729E" w:rsidRPr="007C3060" w14:paraId="0E2CB88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301E27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A58E9A2" w14:textId="77777777" w:rsidR="000A2A2B" w:rsidRPr="007C3060" w:rsidRDefault="000A2A2B" w:rsidP="007C3060">
            <w:r w:rsidRPr="007C306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07CADC" w14:textId="77777777" w:rsidR="000A2A2B" w:rsidRPr="007C3060" w:rsidRDefault="000A2A2B" w:rsidP="007C3060">
            <w:r w:rsidRPr="007C3060">
              <w:t>Renter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FE400C" w14:textId="77777777" w:rsidR="000A2A2B" w:rsidRPr="007C3060" w:rsidRDefault="000A2A2B" w:rsidP="007C3060">
            <w:r w:rsidRPr="007C3060">
              <w:t>7 661 000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EBFC61"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3DDDFF" w14:textId="77777777" w:rsidR="000A2A2B" w:rsidRPr="007C3060" w:rsidRDefault="000A2A2B" w:rsidP="007C3060">
            <w:r w:rsidRPr="007C3060">
              <w:t>40 400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7A416D" w14:textId="77777777" w:rsidR="000A2A2B" w:rsidRPr="007C3060" w:rsidRDefault="000A2A2B" w:rsidP="007C3060">
            <w:r w:rsidRPr="007C3060">
              <w:t>7 701 400</w:t>
            </w:r>
          </w:p>
        </w:tc>
      </w:tr>
      <w:tr w:rsidR="004B729E" w:rsidRPr="007C3060" w14:paraId="7A6B60D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4AF18C2" w14:textId="77777777" w:rsidR="000A2A2B" w:rsidRPr="007C3060" w:rsidRDefault="000A2A2B" w:rsidP="007C3060">
            <w:r w:rsidRPr="007C3060">
              <w:t>5617</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C55B9E5"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C963D9" w14:textId="77777777" w:rsidR="000A2A2B" w:rsidRPr="007C3060" w:rsidRDefault="000A2A2B" w:rsidP="007C3060">
            <w:r w:rsidRPr="007C3060">
              <w:t>Renter fra Statens lånekasse for utdanning</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087DFC"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D5F3A8"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F135F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B03EF0" w14:textId="77777777" w:rsidR="000A2A2B" w:rsidRPr="007C3060" w:rsidRDefault="000A2A2B" w:rsidP="007C3060"/>
        </w:tc>
      </w:tr>
      <w:tr w:rsidR="004B729E" w:rsidRPr="007C3060" w14:paraId="2027195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46F086D"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2A2FBDD" w14:textId="77777777" w:rsidR="000A2A2B" w:rsidRPr="007C3060" w:rsidRDefault="000A2A2B" w:rsidP="007C3060">
            <w:r w:rsidRPr="007C306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A524F4" w14:textId="77777777" w:rsidR="000A2A2B" w:rsidRPr="007C3060" w:rsidRDefault="000A2A2B" w:rsidP="007C3060">
            <w:r w:rsidRPr="007C3060">
              <w:t>Renter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876C0D" w14:textId="77777777" w:rsidR="000A2A2B" w:rsidRPr="007C3060" w:rsidRDefault="000A2A2B" w:rsidP="007C3060">
            <w:r w:rsidRPr="007C3060">
              <w:t>13 852 239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48E62C"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B2E959" w14:textId="77777777" w:rsidR="000A2A2B" w:rsidRPr="007C3060" w:rsidRDefault="000A2A2B" w:rsidP="007C3060">
            <w:r w:rsidRPr="007C3060">
              <w:t>451 682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AEBA1F" w14:textId="77777777" w:rsidR="000A2A2B" w:rsidRPr="007C3060" w:rsidRDefault="000A2A2B" w:rsidP="007C3060">
            <w:r w:rsidRPr="007C3060">
              <w:t>14 303 921</w:t>
            </w:r>
          </w:p>
        </w:tc>
      </w:tr>
      <w:tr w:rsidR="004B729E" w:rsidRPr="007C3060" w14:paraId="2CFF338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70415E5" w14:textId="77777777" w:rsidR="000A2A2B" w:rsidRPr="007C3060" w:rsidRDefault="000A2A2B" w:rsidP="007C3060">
            <w:r w:rsidRPr="007C3060">
              <w:t>5625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2C8AC44"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85576A" w14:textId="77777777" w:rsidR="000A2A2B" w:rsidRPr="007C3060" w:rsidRDefault="000A2A2B" w:rsidP="007C3060">
            <w:r w:rsidRPr="007C3060">
              <w:t>Renter og utbytte fra Innovasjon Norge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77458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B2A1C9"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F564C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27E816" w14:textId="77777777" w:rsidR="000A2A2B" w:rsidRPr="007C3060" w:rsidRDefault="000A2A2B" w:rsidP="007C3060"/>
        </w:tc>
      </w:tr>
      <w:tr w:rsidR="004B729E" w:rsidRPr="007C3060" w14:paraId="48F7A01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568FAAB"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765522E" w14:textId="77777777" w:rsidR="000A2A2B" w:rsidRPr="007C3060" w:rsidRDefault="000A2A2B" w:rsidP="007C3060">
            <w:r w:rsidRPr="007C306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0E834E" w14:textId="77777777" w:rsidR="000A2A2B" w:rsidRPr="007C3060" w:rsidRDefault="000A2A2B" w:rsidP="007C3060">
            <w:r w:rsidRPr="007C3060">
              <w:t>Renter på lån fra statskassen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D023F2" w14:textId="77777777" w:rsidR="000A2A2B" w:rsidRPr="007C3060" w:rsidRDefault="000A2A2B" w:rsidP="007C3060">
            <w:r w:rsidRPr="007C3060">
              <w:t>720 000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FFE83C"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7D2029" w14:textId="77777777" w:rsidR="000A2A2B" w:rsidRPr="007C3060" w:rsidRDefault="000A2A2B" w:rsidP="007C3060">
            <w:r w:rsidRPr="007C3060">
              <w:t>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47A0FC" w14:textId="77777777" w:rsidR="000A2A2B" w:rsidRPr="007C3060" w:rsidRDefault="000A2A2B" w:rsidP="007C3060">
            <w:r w:rsidRPr="007C3060">
              <w:t>750 000</w:t>
            </w:r>
          </w:p>
        </w:tc>
      </w:tr>
      <w:tr w:rsidR="004B729E" w:rsidRPr="007C3060" w14:paraId="369D692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EC5633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57B9B5B" w14:textId="77777777" w:rsidR="000A2A2B" w:rsidRPr="007C3060" w:rsidRDefault="000A2A2B" w:rsidP="007C3060">
            <w:r w:rsidRPr="007C3060">
              <w:t>81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03C742" w14:textId="77777777" w:rsidR="000A2A2B" w:rsidRPr="007C3060" w:rsidRDefault="000A2A2B" w:rsidP="007C3060">
            <w:r w:rsidRPr="007C3060">
              <w:t>Rentemargin, innovasjonslåneordningen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FFD03E" w14:textId="77777777" w:rsidR="000A2A2B" w:rsidRPr="007C3060" w:rsidRDefault="000A2A2B" w:rsidP="007C3060">
            <w:r w:rsidRPr="007C3060">
              <w:t>23 000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E4CD3E"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A29186" w14:textId="77777777" w:rsidR="000A2A2B" w:rsidRPr="007C3060" w:rsidRDefault="000A2A2B" w:rsidP="007C3060">
            <w:r w:rsidRPr="007C3060">
              <w:t>-7 900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B59EE4" w14:textId="77777777" w:rsidR="000A2A2B" w:rsidRPr="007C3060" w:rsidRDefault="000A2A2B" w:rsidP="007C3060">
            <w:r w:rsidRPr="007C3060">
              <w:t>15 100</w:t>
            </w:r>
          </w:p>
        </w:tc>
      </w:tr>
      <w:tr w:rsidR="004B729E" w:rsidRPr="007C3060" w14:paraId="7C3C2E0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FD8766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E424653" w14:textId="77777777" w:rsidR="000A2A2B" w:rsidRPr="007C3060" w:rsidRDefault="000A2A2B" w:rsidP="007C3060">
            <w:r w:rsidRPr="007C306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90A4E3" w14:textId="77777777" w:rsidR="000A2A2B" w:rsidRPr="007C3060" w:rsidRDefault="000A2A2B" w:rsidP="007C3060">
            <w:r w:rsidRPr="007C3060">
              <w:t>Utbytte, lavrisikolåneordningen</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125DED" w14:textId="77777777" w:rsidR="000A2A2B" w:rsidRPr="007C3060" w:rsidRDefault="000A2A2B" w:rsidP="007C3060">
            <w:r w:rsidRPr="007C3060">
              <w:t>70 000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AA0F2F"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155FDA" w14:textId="77777777" w:rsidR="000A2A2B" w:rsidRPr="007C3060" w:rsidRDefault="000A2A2B" w:rsidP="007C3060">
            <w:r w:rsidRPr="007C3060">
              <w:t>184 000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0B2FF9" w14:textId="77777777" w:rsidR="000A2A2B" w:rsidRPr="007C3060" w:rsidRDefault="000A2A2B" w:rsidP="007C3060">
            <w:r w:rsidRPr="007C3060">
              <w:t>254 000</w:t>
            </w:r>
          </w:p>
        </w:tc>
      </w:tr>
      <w:tr w:rsidR="004B729E" w:rsidRPr="007C3060" w14:paraId="7333D2C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BBDF8AA" w14:textId="77777777" w:rsidR="000A2A2B" w:rsidRPr="007C3060" w:rsidRDefault="000A2A2B" w:rsidP="007C3060">
            <w:r w:rsidRPr="007C3060">
              <w:t>5626</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1F9680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17A476" w14:textId="77777777" w:rsidR="000A2A2B" w:rsidRPr="007C3060" w:rsidRDefault="000A2A2B" w:rsidP="007C3060">
            <w:r w:rsidRPr="007C3060">
              <w:t>Renter av lån til Institutt for energiteknikk</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0D224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E7D3DA"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B753E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1A6224" w14:textId="77777777" w:rsidR="000A2A2B" w:rsidRPr="007C3060" w:rsidRDefault="000A2A2B" w:rsidP="007C3060"/>
        </w:tc>
      </w:tr>
      <w:tr w:rsidR="004B729E" w:rsidRPr="007C3060" w14:paraId="319DE84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629CBA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C76715A" w14:textId="77777777" w:rsidR="000A2A2B" w:rsidRPr="007C3060" w:rsidRDefault="000A2A2B" w:rsidP="007C3060">
            <w:r w:rsidRPr="007C306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E75F90" w14:textId="77777777" w:rsidR="000A2A2B" w:rsidRPr="007C3060" w:rsidRDefault="000A2A2B" w:rsidP="007C3060">
            <w:r w:rsidRPr="007C3060">
              <w:t>Renter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49F74D" w14:textId="77777777" w:rsidR="000A2A2B" w:rsidRPr="007C3060" w:rsidRDefault="000A2A2B" w:rsidP="007C3060">
            <w:r w:rsidRPr="007C3060">
              <w:t>4 800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A0EC3D"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939A88" w14:textId="77777777" w:rsidR="000A2A2B" w:rsidRPr="007C3060" w:rsidRDefault="000A2A2B" w:rsidP="007C3060">
            <w:r w:rsidRPr="007C3060">
              <w:t>-2 300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9C19FD" w14:textId="77777777" w:rsidR="000A2A2B" w:rsidRPr="007C3060" w:rsidRDefault="000A2A2B" w:rsidP="007C3060">
            <w:r w:rsidRPr="007C3060">
              <w:t>2 500</w:t>
            </w:r>
          </w:p>
        </w:tc>
      </w:tr>
      <w:tr w:rsidR="004B729E" w:rsidRPr="007C3060" w14:paraId="10C90E8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1E584A1" w14:textId="77777777" w:rsidR="000A2A2B" w:rsidRPr="007C3060" w:rsidRDefault="000A2A2B" w:rsidP="007C3060">
            <w:r w:rsidRPr="007C3060">
              <w:t>5628</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D1DBFE0"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56AE5E" w14:textId="77777777" w:rsidR="000A2A2B" w:rsidRPr="007C3060" w:rsidRDefault="000A2A2B" w:rsidP="007C3060">
            <w:r w:rsidRPr="007C3060">
              <w:t xml:space="preserve">Renter fra </w:t>
            </w:r>
            <w:proofErr w:type="spellStart"/>
            <w:r w:rsidRPr="007C3060">
              <w:t>Investinor</w:t>
            </w:r>
            <w:proofErr w:type="spellEnd"/>
            <w:r w:rsidRPr="007C3060">
              <w:t xml:space="preserve"> AS</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6C3C9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5E4586"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9E148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853EDB" w14:textId="77777777" w:rsidR="000A2A2B" w:rsidRPr="007C3060" w:rsidRDefault="000A2A2B" w:rsidP="007C3060"/>
        </w:tc>
      </w:tr>
      <w:tr w:rsidR="004B729E" w:rsidRPr="007C3060" w14:paraId="03F97D9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C4043DE"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8784CCE" w14:textId="77777777" w:rsidR="000A2A2B" w:rsidRPr="007C3060" w:rsidRDefault="000A2A2B" w:rsidP="007C3060">
            <w:r w:rsidRPr="007C306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27344E" w14:textId="77777777" w:rsidR="000A2A2B" w:rsidRPr="007C3060" w:rsidRDefault="000A2A2B" w:rsidP="007C3060">
            <w:r w:rsidRPr="007C3060">
              <w:t>Renter fra såkornfond</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0E7A64" w14:textId="77777777" w:rsidR="000A2A2B" w:rsidRPr="007C3060" w:rsidRDefault="000A2A2B" w:rsidP="007C3060">
            <w:r w:rsidRPr="007C3060">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7A10F1"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E8B363" w14:textId="77777777" w:rsidR="000A2A2B" w:rsidRPr="007C3060" w:rsidRDefault="000A2A2B" w:rsidP="007C3060">
            <w:r w:rsidRPr="007C3060">
              <w:t>88 000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369B89" w14:textId="77777777" w:rsidR="000A2A2B" w:rsidRPr="007C3060" w:rsidRDefault="000A2A2B" w:rsidP="007C3060">
            <w:r w:rsidRPr="007C3060">
              <w:t>88 000</w:t>
            </w:r>
          </w:p>
        </w:tc>
      </w:tr>
      <w:tr w:rsidR="004B729E" w:rsidRPr="007C3060" w14:paraId="0D1035A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15539A6B" w14:textId="77777777" w:rsidR="000A2A2B" w:rsidRPr="007C3060" w:rsidRDefault="000A2A2B" w:rsidP="007C3060">
            <w:r w:rsidRPr="007C3060">
              <w:t>5631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357CACF"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0C50E3" w14:textId="77777777" w:rsidR="000A2A2B" w:rsidRPr="007C3060" w:rsidRDefault="000A2A2B" w:rsidP="007C3060">
            <w:r w:rsidRPr="007C3060">
              <w:t>Aksjer i AS Vinmonopolet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87E2FD"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1BEB8A"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27C8A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488482" w14:textId="77777777" w:rsidR="000A2A2B" w:rsidRPr="007C3060" w:rsidRDefault="000A2A2B" w:rsidP="007C3060"/>
        </w:tc>
      </w:tr>
      <w:tr w:rsidR="004B729E" w:rsidRPr="007C3060" w14:paraId="32DB927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1E76458"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501568A" w14:textId="77777777" w:rsidR="000A2A2B" w:rsidRPr="007C3060" w:rsidRDefault="000A2A2B" w:rsidP="007C3060">
            <w:r w:rsidRPr="007C306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61CC6A" w14:textId="77777777" w:rsidR="000A2A2B" w:rsidRPr="007C3060" w:rsidRDefault="000A2A2B" w:rsidP="007C3060">
            <w:r w:rsidRPr="007C3060">
              <w:t>Statens overskuddsandel</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EBE801" w14:textId="77777777" w:rsidR="000A2A2B" w:rsidRPr="007C3060" w:rsidRDefault="000A2A2B" w:rsidP="007C3060">
            <w:r w:rsidRPr="007C3060">
              <w:t>79 500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3064FA"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9E92E7" w14:textId="77777777" w:rsidR="000A2A2B" w:rsidRPr="007C3060" w:rsidRDefault="000A2A2B" w:rsidP="007C3060">
            <w:r w:rsidRPr="007C3060">
              <w:t>10 800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7677B7" w14:textId="77777777" w:rsidR="000A2A2B" w:rsidRPr="007C3060" w:rsidRDefault="000A2A2B" w:rsidP="007C3060">
            <w:r w:rsidRPr="007C3060">
              <w:t>90 300</w:t>
            </w:r>
          </w:p>
        </w:tc>
      </w:tr>
      <w:tr w:rsidR="004B729E" w:rsidRPr="007C3060" w14:paraId="4DCFD8B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C8F3AD9" w14:textId="77777777" w:rsidR="000A2A2B" w:rsidRPr="007C3060" w:rsidRDefault="000A2A2B" w:rsidP="007C3060">
            <w:r w:rsidRPr="007C3060">
              <w:t>5652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DD1593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5890A3" w14:textId="77777777" w:rsidR="000A2A2B" w:rsidRPr="007C3060" w:rsidRDefault="000A2A2B" w:rsidP="007C3060">
            <w:r w:rsidRPr="007C3060">
              <w:t>Statskog SF – renter og utbytte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B18824"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C0BF7F"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7F2CA0"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DFC686" w14:textId="77777777" w:rsidR="000A2A2B" w:rsidRPr="007C3060" w:rsidRDefault="000A2A2B" w:rsidP="007C3060"/>
        </w:tc>
      </w:tr>
      <w:tr w:rsidR="004B729E" w:rsidRPr="007C3060" w14:paraId="2A8FE46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9B91296"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C0AC9E1" w14:textId="77777777" w:rsidR="000A2A2B" w:rsidRPr="007C3060" w:rsidRDefault="000A2A2B" w:rsidP="007C3060">
            <w:r w:rsidRPr="007C306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EF77DC" w14:textId="77777777" w:rsidR="000A2A2B" w:rsidRPr="007C3060" w:rsidRDefault="000A2A2B" w:rsidP="007C3060">
            <w:r w:rsidRPr="007C3060">
              <w:t>Utbytte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D5F276" w14:textId="77777777" w:rsidR="000A2A2B" w:rsidRPr="007C3060" w:rsidRDefault="000A2A2B" w:rsidP="007C3060">
            <w:r w:rsidRPr="007C3060">
              <w:t>29 000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C373E8"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42595C" w14:textId="77777777" w:rsidR="000A2A2B" w:rsidRPr="007C3060" w:rsidRDefault="000A2A2B" w:rsidP="007C3060">
            <w:r w:rsidRPr="007C3060">
              <w:t>4 500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6ADC3C" w14:textId="77777777" w:rsidR="000A2A2B" w:rsidRPr="007C3060" w:rsidRDefault="000A2A2B" w:rsidP="007C3060">
            <w:r w:rsidRPr="007C3060">
              <w:t>33 500</w:t>
            </w:r>
          </w:p>
        </w:tc>
      </w:tr>
      <w:tr w:rsidR="004B729E" w:rsidRPr="007C3060" w14:paraId="06CA9FA8" w14:textId="77777777">
        <w:trPr>
          <w:trHeight w:val="640"/>
        </w:trPr>
        <w:tc>
          <w:tcPr>
            <w:tcW w:w="580" w:type="dxa"/>
            <w:tcBorders>
              <w:top w:val="single" w:sz="4" w:space="0" w:color="000000"/>
              <w:left w:val="single" w:sz="4" w:space="0" w:color="000000"/>
              <w:bottom w:val="nil"/>
              <w:right w:val="single" w:sz="4" w:space="0" w:color="000000"/>
            </w:tcBorders>
            <w:tcMar>
              <w:top w:w="128" w:type="dxa"/>
              <w:left w:w="43" w:type="dxa"/>
              <w:bottom w:w="43" w:type="dxa"/>
              <w:right w:w="103" w:type="dxa"/>
            </w:tcMar>
          </w:tcPr>
          <w:p w14:paraId="6D393D5E" w14:textId="77777777" w:rsidR="000A2A2B" w:rsidRPr="007C3060" w:rsidRDefault="000A2A2B" w:rsidP="007C3060">
            <w:r w:rsidRPr="007C3060">
              <w:t>5656</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123" w:type="dxa"/>
            </w:tcMar>
            <w:vAlign w:val="bottom"/>
          </w:tcPr>
          <w:p w14:paraId="47F44113" w14:textId="77777777" w:rsidR="000A2A2B" w:rsidRPr="007C3060" w:rsidRDefault="000A2A2B" w:rsidP="007C306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00714E8C" w14:textId="77777777" w:rsidR="000A2A2B" w:rsidRPr="007C3060" w:rsidRDefault="000A2A2B" w:rsidP="007C3060">
            <w:r w:rsidRPr="007C3060">
              <w:t>Aksjer under Nærings- og -fiskeridepartementets forvaltning</w:t>
            </w:r>
          </w:p>
        </w:tc>
        <w:tc>
          <w:tcPr>
            <w:tcW w:w="114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5DEFFC4"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706D0CE" w14:textId="77777777" w:rsidR="000A2A2B" w:rsidRPr="007C3060" w:rsidRDefault="000A2A2B" w:rsidP="007C3060"/>
        </w:tc>
        <w:tc>
          <w:tcPr>
            <w:tcW w:w="12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4B854291" w14:textId="77777777" w:rsidR="000A2A2B" w:rsidRPr="007C3060" w:rsidRDefault="000A2A2B" w:rsidP="007C3060"/>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257A10F" w14:textId="77777777" w:rsidR="000A2A2B" w:rsidRPr="007C3060" w:rsidRDefault="000A2A2B" w:rsidP="007C3060"/>
        </w:tc>
      </w:tr>
      <w:tr w:rsidR="004B729E" w:rsidRPr="007C3060" w14:paraId="3D57EDB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65BB66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770E34F" w14:textId="77777777" w:rsidR="000A2A2B" w:rsidRPr="007C3060" w:rsidRDefault="000A2A2B" w:rsidP="007C3060">
            <w:r w:rsidRPr="007C306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CD2464" w14:textId="77777777" w:rsidR="000A2A2B" w:rsidRPr="007C3060" w:rsidRDefault="000A2A2B" w:rsidP="007C3060">
            <w:r w:rsidRPr="007C3060">
              <w:t>Utbytte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F9F03C" w14:textId="77777777" w:rsidR="000A2A2B" w:rsidRPr="007C3060" w:rsidRDefault="000A2A2B" w:rsidP="007C3060">
            <w:r w:rsidRPr="007C3060">
              <w:t>28 699 000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821AD2"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4BA8C8" w14:textId="77777777" w:rsidR="000A2A2B" w:rsidRPr="007C3060" w:rsidRDefault="000A2A2B" w:rsidP="007C3060">
            <w:r w:rsidRPr="007C3060">
              <w:t>81 200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96C6DE" w14:textId="77777777" w:rsidR="000A2A2B" w:rsidRPr="007C3060" w:rsidRDefault="000A2A2B" w:rsidP="007C3060">
            <w:r w:rsidRPr="007C3060">
              <w:t>28 780 200</w:t>
            </w:r>
          </w:p>
        </w:tc>
      </w:tr>
      <w:tr w:rsidR="004B729E" w:rsidRPr="007C3060" w14:paraId="3B10ADF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71467E3B" w14:textId="77777777" w:rsidR="000A2A2B" w:rsidRPr="007C3060" w:rsidRDefault="000A2A2B" w:rsidP="007C3060">
            <w:r w:rsidRPr="007C3060">
              <w:t>5680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865A2F5"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295EDB" w14:textId="77777777" w:rsidR="000A2A2B" w:rsidRPr="007C3060" w:rsidRDefault="000A2A2B" w:rsidP="007C3060">
            <w:r w:rsidRPr="007C3060">
              <w:t>Statnett SF</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28C6D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60B9F7"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CAF16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9AD600" w14:textId="77777777" w:rsidR="000A2A2B" w:rsidRPr="007C3060" w:rsidRDefault="000A2A2B" w:rsidP="007C3060"/>
        </w:tc>
      </w:tr>
      <w:tr w:rsidR="004B729E" w:rsidRPr="007C3060" w14:paraId="0001D93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9EDDEA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582856F" w14:textId="77777777" w:rsidR="000A2A2B" w:rsidRPr="007C3060" w:rsidRDefault="000A2A2B" w:rsidP="007C3060">
            <w:r w:rsidRPr="007C306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45969D" w14:textId="77777777" w:rsidR="000A2A2B" w:rsidRPr="007C3060" w:rsidRDefault="000A2A2B" w:rsidP="007C3060">
            <w:r w:rsidRPr="007C3060">
              <w:t>Utbytte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AFF414" w14:textId="77777777" w:rsidR="000A2A2B" w:rsidRPr="007C3060" w:rsidRDefault="000A2A2B" w:rsidP="007C3060">
            <w:r w:rsidRPr="007C3060">
              <w:t>1 660 000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338498"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72B98B" w14:textId="77777777" w:rsidR="000A2A2B" w:rsidRPr="007C3060" w:rsidRDefault="000A2A2B" w:rsidP="007C3060">
            <w:r w:rsidRPr="007C3060">
              <w:t>-1 051 000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45134B" w14:textId="77777777" w:rsidR="000A2A2B" w:rsidRPr="007C3060" w:rsidRDefault="000A2A2B" w:rsidP="007C3060">
            <w:r w:rsidRPr="007C3060">
              <w:t>609 000</w:t>
            </w:r>
          </w:p>
        </w:tc>
      </w:tr>
      <w:tr w:rsidR="004B729E" w:rsidRPr="007C3060" w14:paraId="5B21D1D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61F7234A" w14:textId="77777777" w:rsidR="000A2A2B" w:rsidRPr="007C3060" w:rsidRDefault="000A2A2B" w:rsidP="007C3060">
            <w:r w:rsidRPr="007C3060">
              <w:t>5685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6111C7F1"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304C22" w14:textId="77777777" w:rsidR="000A2A2B" w:rsidRPr="007C3060" w:rsidRDefault="000A2A2B" w:rsidP="007C3060">
            <w:r w:rsidRPr="007C3060">
              <w:t xml:space="preserve">Aksjer i </w:t>
            </w:r>
            <w:proofErr w:type="spellStart"/>
            <w:r w:rsidRPr="007C3060">
              <w:t>Equinor</w:t>
            </w:r>
            <w:proofErr w:type="spellEnd"/>
            <w:r w:rsidRPr="007C3060">
              <w:t xml:space="preserve"> ASA</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E57731"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1A472E"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2978E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10949C" w14:textId="77777777" w:rsidR="000A2A2B" w:rsidRPr="007C3060" w:rsidRDefault="000A2A2B" w:rsidP="007C3060"/>
        </w:tc>
      </w:tr>
      <w:tr w:rsidR="004B729E" w:rsidRPr="007C3060" w14:paraId="0D6E5D4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B7C8657"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333A91E5" w14:textId="77777777" w:rsidR="000A2A2B" w:rsidRPr="007C3060" w:rsidRDefault="000A2A2B" w:rsidP="007C3060">
            <w:r w:rsidRPr="007C306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FBD34F" w14:textId="77777777" w:rsidR="000A2A2B" w:rsidRPr="007C3060" w:rsidRDefault="000A2A2B" w:rsidP="007C3060">
            <w:r w:rsidRPr="007C3060">
              <w:t>Utbytte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E664BA" w14:textId="77777777" w:rsidR="000A2A2B" w:rsidRPr="007C3060" w:rsidRDefault="000A2A2B" w:rsidP="007C3060">
            <w:r w:rsidRPr="007C3060">
              <w:t>27 768 100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B3040B"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AEF6FB" w14:textId="77777777" w:rsidR="000A2A2B" w:rsidRPr="007C3060" w:rsidRDefault="000A2A2B" w:rsidP="007C3060">
            <w:r w:rsidRPr="007C3060">
              <w:t>10 000 000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45E4FB" w14:textId="77777777" w:rsidR="000A2A2B" w:rsidRPr="007C3060" w:rsidRDefault="000A2A2B" w:rsidP="007C3060">
            <w:r w:rsidRPr="007C3060">
              <w:t>37 768 100</w:t>
            </w:r>
          </w:p>
        </w:tc>
      </w:tr>
      <w:tr w:rsidR="004B729E" w:rsidRPr="007C3060" w14:paraId="6BD95D12"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DFE574B" w14:textId="77777777" w:rsidR="000A2A2B" w:rsidRPr="007C3060" w:rsidRDefault="000A2A2B" w:rsidP="007C3060">
            <w:r w:rsidRPr="007C3060">
              <w:t>5692</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0167CFE9"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9FD432" w14:textId="77777777" w:rsidR="000A2A2B" w:rsidRPr="007C3060" w:rsidRDefault="000A2A2B" w:rsidP="007C3060">
            <w:r w:rsidRPr="007C3060">
              <w:t>Utbytte av statens kapital i Den nordiske investeringsbank</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9C3EA2"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1BA23A"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2B6FB3"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68FDB2" w14:textId="77777777" w:rsidR="000A2A2B" w:rsidRPr="007C3060" w:rsidRDefault="000A2A2B" w:rsidP="007C3060"/>
        </w:tc>
      </w:tr>
      <w:tr w:rsidR="004B729E" w:rsidRPr="007C3060" w14:paraId="3172EA4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CD4595A"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974950E" w14:textId="77777777" w:rsidR="000A2A2B" w:rsidRPr="007C3060" w:rsidRDefault="000A2A2B" w:rsidP="007C3060">
            <w:r w:rsidRPr="007C306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871F3E" w14:textId="77777777" w:rsidR="000A2A2B" w:rsidRPr="007C3060" w:rsidRDefault="000A2A2B" w:rsidP="007C3060">
            <w:r w:rsidRPr="007C3060">
              <w:t>Utbytte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C6493F" w14:textId="77777777" w:rsidR="000A2A2B" w:rsidRPr="007C3060" w:rsidRDefault="000A2A2B" w:rsidP="007C3060">
            <w:r w:rsidRPr="007C3060">
              <w:t>64 400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F4A072"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BC15D9" w14:textId="77777777" w:rsidR="000A2A2B" w:rsidRPr="007C3060" w:rsidRDefault="000A2A2B" w:rsidP="007C3060">
            <w:r w:rsidRPr="007C3060">
              <w:t>125 600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9EF6E8" w14:textId="77777777" w:rsidR="000A2A2B" w:rsidRPr="007C3060" w:rsidRDefault="000A2A2B" w:rsidP="007C3060">
            <w:r w:rsidRPr="007C3060">
              <w:t>190 000</w:t>
            </w:r>
          </w:p>
        </w:tc>
      </w:tr>
      <w:tr w:rsidR="004B729E" w:rsidRPr="007C3060" w14:paraId="2FB73283"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103" w:type="dxa"/>
            </w:tcMar>
          </w:tcPr>
          <w:p w14:paraId="2092E1B7" w14:textId="77777777" w:rsidR="000A2A2B" w:rsidRPr="007C3060" w:rsidRDefault="000A2A2B" w:rsidP="007C3060">
            <w:r w:rsidRPr="007C3060">
              <w:t>Sum endringer Renter og utbytte mv.</w:t>
            </w:r>
          </w:p>
        </w:tc>
        <w:tc>
          <w:tcPr>
            <w:tcW w:w="11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DE9F23C" w14:textId="77777777" w:rsidR="000A2A2B" w:rsidRPr="007C3060" w:rsidRDefault="000A2A2B" w:rsidP="007C3060"/>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2FECFF2" w14:textId="77777777" w:rsidR="000A2A2B" w:rsidRPr="007C3060" w:rsidRDefault="000A2A2B" w:rsidP="007C3060">
            <w:r w:rsidRPr="007C3060">
              <w:t>-</w:t>
            </w: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47C6330" w14:textId="77777777" w:rsidR="000A2A2B" w:rsidRPr="007C3060" w:rsidRDefault="000A2A2B" w:rsidP="007C3060">
            <w:r w:rsidRPr="007C3060">
              <w:t>7 157 482</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2F5EDFA" w14:textId="77777777" w:rsidR="000A2A2B" w:rsidRPr="007C3060" w:rsidRDefault="000A2A2B" w:rsidP="007C3060"/>
        </w:tc>
      </w:tr>
      <w:tr w:rsidR="004B729E" w:rsidRPr="007C3060" w14:paraId="615FFDD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2219A941" w14:textId="77777777" w:rsidR="000A2A2B" w:rsidRPr="007C3060" w:rsidRDefault="000A2A2B" w:rsidP="007C3060">
            <w:r w:rsidRPr="007C3060">
              <w:t>5700</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D7EEF0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A536F7" w14:textId="77777777" w:rsidR="000A2A2B" w:rsidRPr="007C3060" w:rsidRDefault="000A2A2B" w:rsidP="007C3060">
            <w:r w:rsidRPr="007C3060">
              <w:t>Folketrygdens 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3A5D85"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22B592"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9C7E6E"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AAF403" w14:textId="77777777" w:rsidR="000A2A2B" w:rsidRPr="007C3060" w:rsidRDefault="000A2A2B" w:rsidP="007C3060"/>
        </w:tc>
      </w:tr>
      <w:tr w:rsidR="004B729E" w:rsidRPr="007C3060" w14:paraId="159EDEC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A992CE4"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15C0B3C"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27BF8E" w14:textId="77777777" w:rsidR="000A2A2B" w:rsidRPr="007C3060" w:rsidRDefault="000A2A2B" w:rsidP="007C3060">
            <w:r w:rsidRPr="007C3060">
              <w:t>Trygdeavgift</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ECA4B9" w14:textId="77777777" w:rsidR="000A2A2B" w:rsidRPr="007C3060" w:rsidRDefault="000A2A2B" w:rsidP="007C3060">
            <w:r w:rsidRPr="007C3060">
              <w:t>197 169 500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780388"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2C4654" w14:textId="77777777" w:rsidR="000A2A2B" w:rsidRPr="007C3060" w:rsidRDefault="000A2A2B" w:rsidP="007C3060">
            <w:r w:rsidRPr="007C3060">
              <w:t>-170 000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930120" w14:textId="77777777" w:rsidR="000A2A2B" w:rsidRPr="007C3060" w:rsidRDefault="000A2A2B" w:rsidP="007C3060">
            <w:r w:rsidRPr="007C3060">
              <w:t>196 999 500</w:t>
            </w:r>
          </w:p>
        </w:tc>
      </w:tr>
      <w:tr w:rsidR="004B729E" w:rsidRPr="007C3060" w14:paraId="2C15817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AD61E77" w14:textId="77777777" w:rsidR="000A2A2B" w:rsidRPr="007C3060" w:rsidRDefault="000A2A2B" w:rsidP="007C3060">
            <w:r w:rsidRPr="007C3060">
              <w:t>5701</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35B735A"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651F68" w14:textId="77777777" w:rsidR="000A2A2B" w:rsidRPr="007C3060" w:rsidRDefault="000A2A2B" w:rsidP="007C3060">
            <w:r w:rsidRPr="007C3060">
              <w:t>Diverse inntekter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72BF36"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1E39C8"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9B8C37"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5EFCCF" w14:textId="77777777" w:rsidR="000A2A2B" w:rsidRPr="007C3060" w:rsidRDefault="000A2A2B" w:rsidP="007C3060"/>
        </w:tc>
      </w:tr>
      <w:tr w:rsidR="004B729E" w:rsidRPr="007C3060" w14:paraId="21668BA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013A9A3"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1D5FA709" w14:textId="77777777" w:rsidR="000A2A2B" w:rsidRPr="007C3060" w:rsidRDefault="000A2A2B" w:rsidP="007C3060">
            <w:r w:rsidRPr="007C306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97CF6B" w14:textId="77777777" w:rsidR="000A2A2B" w:rsidRPr="007C3060" w:rsidRDefault="000A2A2B" w:rsidP="007C3060">
            <w:r w:rsidRPr="007C3060">
              <w:t>Refusjon ved yrkesskade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FD4331" w14:textId="77777777" w:rsidR="000A2A2B" w:rsidRPr="007C3060" w:rsidRDefault="000A2A2B" w:rsidP="007C3060">
            <w:r w:rsidRPr="007C3060">
              <w:t>768 500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078A70"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56CA26" w14:textId="77777777" w:rsidR="000A2A2B" w:rsidRPr="007C3060" w:rsidRDefault="000A2A2B" w:rsidP="007C3060">
            <w:r w:rsidRPr="007C3060">
              <w:t>72 000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95D704" w14:textId="77777777" w:rsidR="000A2A2B" w:rsidRPr="007C3060" w:rsidRDefault="000A2A2B" w:rsidP="007C3060">
            <w:r w:rsidRPr="007C3060">
              <w:t>840 500</w:t>
            </w:r>
          </w:p>
        </w:tc>
      </w:tr>
      <w:tr w:rsidR="004B729E" w:rsidRPr="007C3060" w14:paraId="475E44E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76090971"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3BC2A96" w14:textId="77777777" w:rsidR="000A2A2B" w:rsidRPr="007C3060" w:rsidRDefault="000A2A2B" w:rsidP="007C3060">
            <w:r w:rsidRPr="007C3060">
              <w:t>86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BAA41D" w14:textId="77777777" w:rsidR="000A2A2B" w:rsidRPr="007C3060" w:rsidRDefault="000A2A2B" w:rsidP="007C3060">
            <w:r w:rsidRPr="007C3060">
              <w:t>Innkreving feilutbetalinger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36F4C1" w14:textId="77777777" w:rsidR="000A2A2B" w:rsidRPr="007C3060" w:rsidRDefault="000A2A2B" w:rsidP="007C3060">
            <w:r w:rsidRPr="007C3060">
              <w:t>1 492 000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5872A5"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32F850" w14:textId="77777777" w:rsidR="000A2A2B" w:rsidRPr="007C3060" w:rsidRDefault="000A2A2B" w:rsidP="007C3060">
            <w:r w:rsidRPr="007C3060">
              <w:t>-62 000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6CDCC6" w14:textId="77777777" w:rsidR="000A2A2B" w:rsidRPr="007C3060" w:rsidRDefault="000A2A2B" w:rsidP="007C3060">
            <w:r w:rsidRPr="007C3060">
              <w:t>1 430 000</w:t>
            </w:r>
          </w:p>
        </w:tc>
      </w:tr>
      <w:tr w:rsidR="004B729E" w:rsidRPr="007C3060" w14:paraId="55D4427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068591B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4D338D0B" w14:textId="77777777" w:rsidR="000A2A2B" w:rsidRPr="007C3060" w:rsidRDefault="000A2A2B" w:rsidP="007C3060">
            <w:r w:rsidRPr="007C3060">
              <w:t>88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B6B2FD" w14:textId="77777777" w:rsidR="000A2A2B" w:rsidRPr="007C3060" w:rsidRDefault="000A2A2B" w:rsidP="007C3060">
            <w:r w:rsidRPr="007C3060">
              <w:t>Hjelpemiddelsentraler mv.</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FD8580" w14:textId="77777777" w:rsidR="000A2A2B" w:rsidRPr="007C3060" w:rsidRDefault="000A2A2B" w:rsidP="007C3060">
            <w:r w:rsidRPr="007C3060">
              <w:t>110 000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F7676D"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479809" w14:textId="77777777" w:rsidR="000A2A2B" w:rsidRPr="007C3060" w:rsidRDefault="000A2A2B" w:rsidP="007C3060">
            <w:r w:rsidRPr="007C3060">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A09080" w14:textId="77777777" w:rsidR="000A2A2B" w:rsidRPr="007C3060" w:rsidRDefault="000A2A2B" w:rsidP="007C3060">
            <w:r w:rsidRPr="007C3060">
              <w:t>100 000</w:t>
            </w:r>
          </w:p>
        </w:tc>
      </w:tr>
      <w:tr w:rsidR="004B729E" w:rsidRPr="007C3060" w14:paraId="64F5721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4B06790A" w14:textId="77777777" w:rsidR="000A2A2B" w:rsidRPr="007C3060" w:rsidRDefault="000A2A2B" w:rsidP="007C3060">
            <w:r w:rsidRPr="007C3060">
              <w:t>5704</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525E5C1C"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007218" w14:textId="77777777" w:rsidR="000A2A2B" w:rsidRPr="007C3060" w:rsidRDefault="000A2A2B" w:rsidP="007C3060">
            <w:r w:rsidRPr="007C3060">
              <w:t>Statsgaranti for lønnskrav ved konkurs</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25C6F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4F50DE"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DE2BCA"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42C7BC" w14:textId="77777777" w:rsidR="000A2A2B" w:rsidRPr="007C3060" w:rsidRDefault="000A2A2B" w:rsidP="007C3060"/>
        </w:tc>
      </w:tr>
      <w:tr w:rsidR="004B729E" w:rsidRPr="007C3060" w14:paraId="3AA12A6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727447C"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87B183E"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5E0281" w14:textId="77777777" w:rsidR="000A2A2B" w:rsidRPr="007C3060" w:rsidRDefault="000A2A2B" w:rsidP="007C3060">
            <w:r w:rsidRPr="007C3060">
              <w:t>Dividende</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92CBA2" w14:textId="77777777" w:rsidR="000A2A2B" w:rsidRPr="007C3060" w:rsidRDefault="000A2A2B" w:rsidP="007C3060">
            <w:r w:rsidRPr="007C3060">
              <w:t>230 000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9AC53D"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8DA89F" w14:textId="77777777" w:rsidR="000A2A2B" w:rsidRPr="007C3060" w:rsidRDefault="000A2A2B" w:rsidP="007C3060">
            <w:r w:rsidRPr="007C3060">
              <w:t>70 000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8AD885" w14:textId="77777777" w:rsidR="000A2A2B" w:rsidRPr="007C3060" w:rsidRDefault="000A2A2B" w:rsidP="007C3060">
            <w:r w:rsidRPr="007C3060">
              <w:t>300 000</w:t>
            </w:r>
          </w:p>
        </w:tc>
      </w:tr>
      <w:tr w:rsidR="004B729E" w:rsidRPr="007C3060" w14:paraId="6B8DDC6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53E575B5" w14:textId="77777777" w:rsidR="000A2A2B" w:rsidRPr="007C3060" w:rsidRDefault="000A2A2B" w:rsidP="007C3060">
            <w:r w:rsidRPr="007C3060">
              <w:t>5705</w:t>
            </w:r>
          </w:p>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24E17FFD" w14:textId="77777777" w:rsidR="000A2A2B" w:rsidRPr="007C3060" w:rsidRDefault="000A2A2B" w:rsidP="007C3060"/>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F7E193" w14:textId="77777777" w:rsidR="000A2A2B" w:rsidRPr="007C3060" w:rsidRDefault="000A2A2B" w:rsidP="007C3060">
            <w:r w:rsidRPr="007C3060">
              <w:t>Refusjon av dagpenger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95CE59"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19EF3E" w14:textId="77777777" w:rsidR="000A2A2B" w:rsidRPr="007C3060" w:rsidRDefault="000A2A2B" w:rsidP="007C3060"/>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FBFF3B" w14:textId="77777777" w:rsidR="000A2A2B" w:rsidRPr="007C3060" w:rsidRDefault="000A2A2B" w:rsidP="007C3060"/>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7B4EE1" w14:textId="77777777" w:rsidR="000A2A2B" w:rsidRPr="007C3060" w:rsidRDefault="000A2A2B" w:rsidP="007C3060"/>
        </w:tc>
      </w:tr>
      <w:tr w:rsidR="004B729E" w:rsidRPr="007C3060" w14:paraId="0925572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3C4D9DB5"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tcPr>
          <w:p w14:paraId="08A80272" w14:textId="77777777" w:rsidR="000A2A2B" w:rsidRPr="007C3060" w:rsidRDefault="000A2A2B" w:rsidP="007C3060">
            <w:r w:rsidRPr="007C306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729327" w14:textId="77777777" w:rsidR="000A2A2B" w:rsidRPr="007C3060" w:rsidRDefault="000A2A2B" w:rsidP="007C3060">
            <w:r w:rsidRPr="007C3060">
              <w:t>Refusjon av dagpenger, statsgaranti ved konkurs</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83FA70" w14:textId="77777777" w:rsidR="000A2A2B" w:rsidRPr="007C3060" w:rsidRDefault="000A2A2B" w:rsidP="007C3060">
            <w:r w:rsidRPr="007C3060">
              <w:t>27 000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2B682B"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47E60E" w14:textId="77777777" w:rsidR="000A2A2B" w:rsidRPr="007C3060" w:rsidRDefault="000A2A2B" w:rsidP="007C3060">
            <w:r w:rsidRPr="007C3060">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5175EA" w14:textId="77777777" w:rsidR="000A2A2B" w:rsidRPr="007C3060" w:rsidRDefault="000A2A2B" w:rsidP="007C3060">
            <w:r w:rsidRPr="007C3060">
              <w:t>29 000</w:t>
            </w:r>
          </w:p>
        </w:tc>
      </w:tr>
      <w:tr w:rsidR="004B729E" w:rsidRPr="007C3060" w14:paraId="11E309F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103" w:type="dxa"/>
            </w:tcMar>
          </w:tcPr>
          <w:p w14:paraId="788DD932" w14:textId="77777777" w:rsidR="000A2A2B" w:rsidRPr="007C3060" w:rsidRDefault="000A2A2B" w:rsidP="007C3060"/>
        </w:tc>
        <w:tc>
          <w:tcPr>
            <w:tcW w:w="540" w:type="dxa"/>
            <w:tcBorders>
              <w:top w:val="nil"/>
              <w:left w:val="single" w:sz="4" w:space="0" w:color="000000"/>
              <w:bottom w:val="nil"/>
              <w:right w:val="single" w:sz="4" w:space="0" w:color="000000"/>
            </w:tcBorders>
            <w:tcMar>
              <w:top w:w="128" w:type="dxa"/>
              <w:left w:w="43" w:type="dxa"/>
              <w:bottom w:w="43" w:type="dxa"/>
              <w:right w:w="123" w:type="dxa"/>
            </w:tcMar>
            <w:vAlign w:val="bottom"/>
          </w:tcPr>
          <w:p w14:paraId="74D2456D" w14:textId="77777777" w:rsidR="000A2A2B" w:rsidRPr="007C3060" w:rsidRDefault="000A2A2B" w:rsidP="007C3060">
            <w:r w:rsidRPr="007C306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BE66F3" w14:textId="77777777" w:rsidR="000A2A2B" w:rsidRPr="007C3060" w:rsidRDefault="000A2A2B" w:rsidP="007C3060">
            <w:r w:rsidRPr="007C3060">
              <w:t>Innkreving av forskutterte dagpenger</w:t>
            </w:r>
          </w:p>
        </w:tc>
        <w:tc>
          <w:tcPr>
            <w:tcW w:w="114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8057F6" w14:textId="77777777" w:rsidR="000A2A2B" w:rsidRPr="007C3060" w:rsidRDefault="000A2A2B" w:rsidP="007C3060">
            <w:r w:rsidRPr="007C3060">
              <w:t>45 000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BB507C" w14:textId="77777777" w:rsidR="000A2A2B" w:rsidRPr="007C3060" w:rsidRDefault="000A2A2B" w:rsidP="007C3060">
            <w:r w:rsidRPr="007C3060">
              <w:t>-</w:t>
            </w:r>
          </w:p>
        </w:tc>
        <w:tc>
          <w:tcPr>
            <w:tcW w:w="12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0B6FE7" w14:textId="77777777" w:rsidR="000A2A2B" w:rsidRPr="007C3060" w:rsidRDefault="000A2A2B" w:rsidP="007C3060">
            <w:r w:rsidRPr="007C3060">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D0B600" w14:textId="77777777" w:rsidR="000A2A2B" w:rsidRPr="007C3060" w:rsidRDefault="000A2A2B" w:rsidP="007C3060">
            <w:r w:rsidRPr="007C3060">
              <w:t>40 000</w:t>
            </w:r>
          </w:p>
        </w:tc>
      </w:tr>
      <w:tr w:rsidR="004B729E" w:rsidRPr="007C3060" w14:paraId="0D12D488"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103" w:type="dxa"/>
            </w:tcMar>
          </w:tcPr>
          <w:p w14:paraId="4E02658E" w14:textId="77777777" w:rsidR="000A2A2B" w:rsidRPr="007C3060" w:rsidRDefault="000A2A2B" w:rsidP="007C3060">
            <w:r w:rsidRPr="007C3060">
              <w:t>Sum endringer Folketrygden</w:t>
            </w:r>
          </w:p>
        </w:tc>
        <w:tc>
          <w:tcPr>
            <w:tcW w:w="11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CFED918" w14:textId="77777777" w:rsidR="000A2A2B" w:rsidRPr="007C3060" w:rsidRDefault="000A2A2B" w:rsidP="007C3060"/>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7DB45C2" w14:textId="77777777" w:rsidR="000A2A2B" w:rsidRPr="007C3060" w:rsidRDefault="000A2A2B" w:rsidP="007C3060">
            <w:r w:rsidRPr="007C3060">
              <w:t>-</w:t>
            </w: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2100DB9" w14:textId="77777777" w:rsidR="000A2A2B" w:rsidRPr="007C3060" w:rsidRDefault="000A2A2B" w:rsidP="007C3060">
            <w:r w:rsidRPr="007C3060">
              <w:t>-103 000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CEB61C7" w14:textId="77777777" w:rsidR="000A2A2B" w:rsidRPr="007C3060" w:rsidRDefault="000A2A2B" w:rsidP="007C3060"/>
        </w:tc>
      </w:tr>
      <w:tr w:rsidR="004B729E" w:rsidRPr="007C3060" w14:paraId="4F770217"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103" w:type="dxa"/>
            </w:tcMar>
          </w:tcPr>
          <w:p w14:paraId="26701297" w14:textId="77777777" w:rsidR="000A2A2B" w:rsidRPr="007C3060" w:rsidRDefault="000A2A2B" w:rsidP="007C3060">
            <w:r w:rsidRPr="007C3060">
              <w:t xml:space="preserve">Sum endringer inntekter </w:t>
            </w:r>
          </w:p>
        </w:tc>
        <w:tc>
          <w:tcPr>
            <w:tcW w:w="11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485F2A3" w14:textId="77777777" w:rsidR="000A2A2B" w:rsidRPr="007C3060" w:rsidRDefault="000A2A2B" w:rsidP="007C3060"/>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1BA3182" w14:textId="77777777" w:rsidR="000A2A2B" w:rsidRPr="007C3060" w:rsidRDefault="000A2A2B" w:rsidP="007C3060">
            <w:r w:rsidRPr="007C3060">
              <w:t>-</w:t>
            </w: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F09F6FC" w14:textId="77777777" w:rsidR="000A2A2B" w:rsidRPr="007C3060" w:rsidRDefault="000A2A2B" w:rsidP="007C3060">
            <w:r w:rsidRPr="007C3060">
              <w:t>103 943 406</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C54E236" w14:textId="77777777" w:rsidR="000A2A2B" w:rsidRPr="007C3060" w:rsidRDefault="000A2A2B" w:rsidP="007C3060"/>
        </w:tc>
      </w:tr>
      <w:tr w:rsidR="004B729E" w:rsidRPr="007C3060" w14:paraId="3E69635D"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103" w:type="dxa"/>
            </w:tcMar>
          </w:tcPr>
          <w:p w14:paraId="23980958" w14:textId="77777777" w:rsidR="000A2A2B" w:rsidRPr="007C3060" w:rsidRDefault="000A2A2B" w:rsidP="007C3060">
            <w:r w:rsidRPr="007C3060">
              <w:t xml:space="preserve">Herav 90 – 99 poster </w:t>
            </w:r>
          </w:p>
        </w:tc>
        <w:tc>
          <w:tcPr>
            <w:tcW w:w="11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AAB3868" w14:textId="77777777" w:rsidR="000A2A2B" w:rsidRPr="007C3060" w:rsidRDefault="000A2A2B" w:rsidP="007C3060"/>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59FB38A" w14:textId="77777777" w:rsidR="000A2A2B" w:rsidRPr="007C3060" w:rsidRDefault="000A2A2B" w:rsidP="007C3060">
            <w:r w:rsidRPr="007C3060">
              <w:t>-</w:t>
            </w:r>
          </w:p>
        </w:tc>
        <w:tc>
          <w:tcPr>
            <w:tcW w:w="1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AB79318" w14:textId="77777777" w:rsidR="000A2A2B" w:rsidRPr="007C3060" w:rsidRDefault="000A2A2B" w:rsidP="007C3060">
            <w:r w:rsidRPr="007C3060">
              <w:t>55 007 763</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F92D103" w14:textId="77777777" w:rsidR="000A2A2B" w:rsidRPr="007C3060" w:rsidRDefault="000A2A2B" w:rsidP="007C3060"/>
        </w:tc>
      </w:tr>
    </w:tbl>
    <w:p w14:paraId="1AE47C48" w14:textId="77777777" w:rsidR="000A2A2B" w:rsidRPr="007C3060" w:rsidRDefault="000A2A2B" w:rsidP="007C3060"/>
    <w:sectPr w:rsidR="000A2A2B" w:rsidRPr="007C306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95B3" w14:textId="77777777" w:rsidR="000A2A2B" w:rsidRDefault="000A2A2B">
      <w:pPr>
        <w:spacing w:after="0" w:line="240" w:lineRule="auto"/>
      </w:pPr>
      <w:r>
        <w:separator/>
      </w:r>
    </w:p>
  </w:endnote>
  <w:endnote w:type="continuationSeparator" w:id="0">
    <w:p w14:paraId="5EB5417F" w14:textId="77777777" w:rsidR="000A2A2B" w:rsidRDefault="000A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CC64E" w14:textId="77777777" w:rsidR="000A2A2B" w:rsidRDefault="000A2A2B">
      <w:pPr>
        <w:spacing w:after="0" w:line="240" w:lineRule="auto"/>
      </w:pPr>
      <w:r>
        <w:separator/>
      </w:r>
    </w:p>
  </w:footnote>
  <w:footnote w:type="continuationSeparator" w:id="0">
    <w:p w14:paraId="1E4FEF1E" w14:textId="77777777" w:rsidR="000A2A2B" w:rsidRDefault="000A2A2B">
      <w:pPr>
        <w:spacing w:after="0" w:line="240" w:lineRule="auto"/>
      </w:pPr>
      <w:r>
        <w:continuationSeparator/>
      </w:r>
    </w:p>
  </w:footnote>
  <w:footnote w:id="1">
    <w:p w14:paraId="3FAB4BEA" w14:textId="63755ACA" w:rsidR="000A2A2B" w:rsidRDefault="000A2A2B">
      <w:pPr>
        <w:pStyle w:val="Fotnotetekst"/>
      </w:pPr>
      <w:r>
        <w:rPr>
          <w:vertAlign w:val="superscript"/>
        </w:rPr>
        <w:footnoteRef/>
      </w:r>
      <w:r w:rsidRPr="007C3060">
        <w:t>Overføringen fra Statens pensjonsfond utland dekker det oljekorrigerte budsjettunderskuddet, mens det strukturelle oljekorrigerte budsjettunderskuddet måler den underliggende bruken av fondsmidler. I dette underskuddsmålet er det korrigert for at skatte- og avgiftsinntekter og enkelte utgifter svinger med konjunkturene, samt andre midlertidige forhold.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 w:numId="22" w16cid:durableId="1267814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68345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6916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3557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2361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9240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31285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7697E"/>
    <w:rsid w:val="000A2A2B"/>
    <w:rsid w:val="0017697E"/>
    <w:rsid w:val="00291F27"/>
    <w:rsid w:val="002D296E"/>
    <w:rsid w:val="00414C2B"/>
    <w:rsid w:val="004B729E"/>
    <w:rsid w:val="004E1408"/>
    <w:rsid w:val="00530C99"/>
    <w:rsid w:val="005E09E0"/>
    <w:rsid w:val="006C194E"/>
    <w:rsid w:val="006F08CD"/>
    <w:rsid w:val="007423F8"/>
    <w:rsid w:val="007C3060"/>
    <w:rsid w:val="00954E73"/>
    <w:rsid w:val="00AC1986"/>
    <w:rsid w:val="00B136B2"/>
    <w:rsid w:val="00C9164E"/>
    <w:rsid w:val="00DC25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7D0843"/>
  <w14:defaultImageDpi w14:val="0"/>
  <w15:docId w15:val="{D9A9636E-AC77-4483-A70E-EC34C32B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94E"/>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6C194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C194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C194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C194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C194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C194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C194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C194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C194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C194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C194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6C194E"/>
    <w:pPr>
      <w:keepNext/>
      <w:keepLines/>
      <w:spacing w:before="240" w:after="240"/>
    </w:pPr>
  </w:style>
  <w:style w:type="paragraph" w:customStyle="1" w:styleId="a-tilraar-tit">
    <w:name w:val="a-tilraar-tit"/>
    <w:basedOn w:val="Normal"/>
    <w:next w:val="Normal"/>
    <w:rsid w:val="006C194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C194E"/>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C194E"/>
    <w:pPr>
      <w:keepNext/>
      <w:spacing w:before="360" w:after="60"/>
      <w:jc w:val="center"/>
    </w:pPr>
    <w:rPr>
      <w:b/>
    </w:rPr>
  </w:style>
  <w:style w:type="paragraph" w:customStyle="1" w:styleId="a-vedtak-tekst">
    <w:name w:val="a-vedtak-tekst"/>
    <w:basedOn w:val="Normal"/>
    <w:next w:val="Normal"/>
    <w:rsid w:val="006C194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C194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C194E"/>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C194E"/>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C194E"/>
    <w:pPr>
      <w:numPr>
        <w:numId w:val="3"/>
      </w:numPr>
      <w:spacing w:after="0"/>
    </w:pPr>
  </w:style>
  <w:style w:type="paragraph" w:customStyle="1" w:styleId="alfaliste2">
    <w:name w:val="alfaliste 2"/>
    <w:basedOn w:val="Liste2"/>
    <w:rsid w:val="006C194E"/>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C194E"/>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C194E"/>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C194E"/>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C194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C194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C194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C194E"/>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C194E"/>
    <w:rPr>
      <w:rFonts w:ascii="Arial" w:eastAsia="Times New Roman" w:hAnsi="Arial"/>
      <w:b/>
      <w:spacing w:val="4"/>
      <w:kern w:val="0"/>
      <w:sz w:val="28"/>
      <w:szCs w:val="22"/>
      <w14:ligatures w14:val="none"/>
    </w:rPr>
  </w:style>
  <w:style w:type="paragraph" w:customStyle="1" w:styleId="b-post">
    <w:name w:val="b-post"/>
    <w:basedOn w:val="Normal"/>
    <w:next w:val="Normal"/>
    <w:rsid w:val="006C194E"/>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C194E"/>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C194E"/>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6C194E"/>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C194E"/>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6C194E"/>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6C194E"/>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C194E"/>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C194E"/>
  </w:style>
  <w:style w:type="paragraph" w:customStyle="1" w:styleId="Def">
    <w:name w:val="Def"/>
    <w:basedOn w:val="hengende-innrykk"/>
    <w:rsid w:val="006C194E"/>
    <w:pPr>
      <w:spacing w:line="240" w:lineRule="auto"/>
      <w:ind w:left="0" w:firstLine="0"/>
    </w:pPr>
    <w:rPr>
      <w:rFonts w:eastAsia="Batang"/>
      <w:spacing w:val="0"/>
      <w:szCs w:val="20"/>
    </w:rPr>
  </w:style>
  <w:style w:type="paragraph" w:customStyle="1" w:styleId="del-nr">
    <w:name w:val="del-nr"/>
    <w:basedOn w:val="Normal"/>
    <w:qFormat/>
    <w:rsid w:val="006C194E"/>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6C194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6C194E"/>
  </w:style>
  <w:style w:type="paragraph" w:customStyle="1" w:styleId="figur-noter">
    <w:name w:val="figur-noter"/>
    <w:basedOn w:val="Normal"/>
    <w:next w:val="Normal"/>
    <w:rsid w:val="006C194E"/>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C194E"/>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C194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C194E"/>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6C194E"/>
    <w:rPr>
      <w:sz w:val="20"/>
    </w:rPr>
  </w:style>
  <w:style w:type="character" w:customStyle="1" w:styleId="FotnotetekstTegn">
    <w:name w:val="Fotnotetekst Tegn"/>
    <w:basedOn w:val="Standardskriftforavsnitt"/>
    <w:link w:val="Fotnotetekst"/>
    <w:rsid w:val="006C194E"/>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6C194E"/>
    <w:pPr>
      <w:tabs>
        <w:tab w:val="left" w:pos="397"/>
      </w:tabs>
      <w:spacing w:after="0"/>
      <w:ind w:left="397" w:hanging="397"/>
    </w:pPr>
    <w:rPr>
      <w:spacing w:val="0"/>
    </w:rPr>
  </w:style>
  <w:style w:type="paragraph" w:customStyle="1" w:styleId="friliste2">
    <w:name w:val="friliste 2"/>
    <w:basedOn w:val="Normal"/>
    <w:qFormat/>
    <w:rsid w:val="006C194E"/>
    <w:pPr>
      <w:tabs>
        <w:tab w:val="left" w:pos="794"/>
      </w:tabs>
      <w:spacing w:after="0"/>
      <w:ind w:left="794" w:hanging="397"/>
    </w:pPr>
    <w:rPr>
      <w:spacing w:val="0"/>
    </w:rPr>
  </w:style>
  <w:style w:type="paragraph" w:customStyle="1" w:styleId="friliste3">
    <w:name w:val="friliste 3"/>
    <w:basedOn w:val="Normal"/>
    <w:qFormat/>
    <w:rsid w:val="006C194E"/>
    <w:pPr>
      <w:tabs>
        <w:tab w:val="left" w:pos="1191"/>
      </w:tabs>
      <w:spacing w:after="0"/>
      <w:ind w:left="1191" w:hanging="397"/>
    </w:pPr>
    <w:rPr>
      <w:spacing w:val="0"/>
    </w:rPr>
  </w:style>
  <w:style w:type="paragraph" w:customStyle="1" w:styleId="friliste4">
    <w:name w:val="friliste 4"/>
    <w:basedOn w:val="Normal"/>
    <w:qFormat/>
    <w:rsid w:val="006C194E"/>
    <w:pPr>
      <w:tabs>
        <w:tab w:val="left" w:pos="1588"/>
      </w:tabs>
      <w:spacing w:after="0"/>
      <w:ind w:left="1588" w:hanging="397"/>
    </w:pPr>
    <w:rPr>
      <w:spacing w:val="0"/>
    </w:rPr>
  </w:style>
  <w:style w:type="paragraph" w:customStyle="1" w:styleId="friliste5">
    <w:name w:val="friliste 5"/>
    <w:basedOn w:val="Normal"/>
    <w:qFormat/>
    <w:rsid w:val="006C194E"/>
    <w:pPr>
      <w:tabs>
        <w:tab w:val="left" w:pos="1985"/>
      </w:tabs>
      <w:spacing w:after="0"/>
      <w:ind w:left="1985" w:hanging="397"/>
    </w:pPr>
    <w:rPr>
      <w:spacing w:val="0"/>
    </w:rPr>
  </w:style>
  <w:style w:type="paragraph" w:customStyle="1" w:styleId="Fullmakttit">
    <w:name w:val="Fullmakttit"/>
    <w:basedOn w:val="Normal"/>
    <w:next w:val="Normal"/>
    <w:rsid w:val="006C194E"/>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C194E"/>
    <w:pPr>
      <w:ind w:left="1418" w:hanging="1418"/>
    </w:pPr>
  </w:style>
  <w:style w:type="paragraph" w:customStyle="1" w:styleId="i-budkap-over">
    <w:name w:val="i-budkap-over"/>
    <w:basedOn w:val="Normal"/>
    <w:next w:val="Normal"/>
    <w:rsid w:val="006C194E"/>
    <w:pPr>
      <w:jc w:val="right"/>
    </w:pPr>
    <w:rPr>
      <w:b/>
      <w:noProof/>
    </w:rPr>
  </w:style>
  <w:style w:type="paragraph" w:customStyle="1" w:styleId="i-dep">
    <w:name w:val="i-dep"/>
    <w:basedOn w:val="Normal"/>
    <w:next w:val="Normal"/>
    <w:rsid w:val="006C194E"/>
    <w:pPr>
      <w:keepNext/>
      <w:keepLines/>
      <w:spacing w:line="240" w:lineRule="auto"/>
      <w:jc w:val="right"/>
    </w:pPr>
    <w:rPr>
      <w:b/>
      <w:noProof/>
      <w:szCs w:val="20"/>
      <w:u w:val="single"/>
    </w:rPr>
  </w:style>
  <w:style w:type="paragraph" w:customStyle="1" w:styleId="i-hode">
    <w:name w:val="i-hode"/>
    <w:basedOn w:val="Normal"/>
    <w:next w:val="Normal"/>
    <w:rsid w:val="006C194E"/>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C194E"/>
    <w:pPr>
      <w:keepNext/>
      <w:keepLines/>
      <w:jc w:val="center"/>
    </w:pPr>
    <w:rPr>
      <w:rFonts w:eastAsia="Batang"/>
      <w:b/>
      <w:sz w:val="28"/>
    </w:rPr>
  </w:style>
  <w:style w:type="paragraph" w:customStyle="1" w:styleId="i-mtit">
    <w:name w:val="i-mtit"/>
    <w:basedOn w:val="Normal"/>
    <w:next w:val="Normal"/>
    <w:rsid w:val="006C194E"/>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6C194E"/>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C194E"/>
    <w:pPr>
      <w:spacing w:after="0"/>
      <w:jc w:val="center"/>
    </w:pPr>
    <w:rPr>
      <w:i/>
      <w:noProof/>
    </w:rPr>
  </w:style>
  <w:style w:type="paragraph" w:customStyle="1" w:styleId="i-termin">
    <w:name w:val="i-termin"/>
    <w:basedOn w:val="Normal"/>
    <w:next w:val="Normal"/>
    <w:rsid w:val="006C194E"/>
    <w:pPr>
      <w:spacing w:before="360"/>
      <w:jc w:val="center"/>
    </w:pPr>
    <w:rPr>
      <w:b/>
      <w:noProof/>
      <w:sz w:val="28"/>
    </w:rPr>
  </w:style>
  <w:style w:type="paragraph" w:customStyle="1" w:styleId="i-tit">
    <w:name w:val="i-tit"/>
    <w:basedOn w:val="Normal"/>
    <w:next w:val="i-statsrdato"/>
    <w:rsid w:val="006C194E"/>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C194E"/>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C194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6C194E"/>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6C194E"/>
    <w:pPr>
      <w:numPr>
        <w:numId w:val="12"/>
      </w:numPr>
    </w:pPr>
    <w:rPr>
      <w:rFonts w:eastAsiaTheme="minorEastAsia"/>
    </w:rPr>
  </w:style>
  <w:style w:type="paragraph" w:customStyle="1" w:styleId="l-alfaliste2">
    <w:name w:val="l-alfaliste 2"/>
    <w:basedOn w:val="alfaliste2"/>
    <w:qFormat/>
    <w:rsid w:val="006C194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C194E"/>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C194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C194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C194E"/>
    <w:rPr>
      <w:lang w:val="nn-NO"/>
    </w:rPr>
  </w:style>
  <w:style w:type="paragraph" w:customStyle="1" w:styleId="l-ledd">
    <w:name w:val="l-ledd"/>
    <w:basedOn w:val="Normal"/>
    <w:qFormat/>
    <w:rsid w:val="006C194E"/>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C194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C194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C194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6C194E"/>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C194E"/>
  </w:style>
  <w:style w:type="paragraph" w:customStyle="1" w:styleId="l-tit-endr-ledd">
    <w:name w:val="l-tit-endr-ledd"/>
    <w:basedOn w:val="Normal"/>
    <w:qFormat/>
    <w:rsid w:val="006C194E"/>
    <w:pPr>
      <w:keepNext/>
      <w:spacing w:before="240" w:after="0" w:line="240" w:lineRule="auto"/>
    </w:pPr>
    <w:rPr>
      <w:noProof/>
      <w:lang w:val="nn-NO"/>
    </w:rPr>
  </w:style>
  <w:style w:type="paragraph" w:customStyle="1" w:styleId="l-tit-endr-lov">
    <w:name w:val="l-tit-endr-lov"/>
    <w:basedOn w:val="Normal"/>
    <w:qFormat/>
    <w:rsid w:val="006C194E"/>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C194E"/>
    <w:pPr>
      <w:keepNext/>
      <w:spacing w:before="240" w:after="0" w:line="240" w:lineRule="auto"/>
    </w:pPr>
    <w:rPr>
      <w:noProof/>
      <w:lang w:val="nn-NO"/>
    </w:rPr>
  </w:style>
  <w:style w:type="paragraph" w:customStyle="1" w:styleId="l-tit-endr-lovkap">
    <w:name w:val="l-tit-endr-lovkap"/>
    <w:basedOn w:val="Normal"/>
    <w:qFormat/>
    <w:rsid w:val="006C194E"/>
    <w:pPr>
      <w:keepNext/>
      <w:spacing w:before="240" w:after="0" w:line="240" w:lineRule="auto"/>
    </w:pPr>
    <w:rPr>
      <w:noProof/>
      <w:lang w:val="nn-NO"/>
    </w:rPr>
  </w:style>
  <w:style w:type="paragraph" w:customStyle="1" w:styleId="l-tit-endr-paragraf">
    <w:name w:val="l-tit-endr-paragraf"/>
    <w:basedOn w:val="Normal"/>
    <w:qFormat/>
    <w:rsid w:val="006C194E"/>
    <w:pPr>
      <w:keepNext/>
      <w:spacing w:before="240" w:after="0" w:line="240" w:lineRule="auto"/>
    </w:pPr>
    <w:rPr>
      <w:noProof/>
      <w:lang w:val="nn-NO"/>
    </w:rPr>
  </w:style>
  <w:style w:type="paragraph" w:customStyle="1" w:styleId="l-tit-endr-punktum">
    <w:name w:val="l-tit-endr-punktum"/>
    <w:basedOn w:val="l-tit-endr-ledd"/>
    <w:qFormat/>
    <w:rsid w:val="006C194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C194E"/>
    <w:pPr>
      <w:numPr>
        <w:numId w:val="6"/>
      </w:numPr>
      <w:spacing w:line="240" w:lineRule="auto"/>
      <w:contextualSpacing/>
    </w:pPr>
  </w:style>
  <w:style w:type="paragraph" w:styleId="Liste2">
    <w:name w:val="List 2"/>
    <w:basedOn w:val="Normal"/>
    <w:rsid w:val="006C194E"/>
    <w:pPr>
      <w:numPr>
        <w:ilvl w:val="1"/>
        <w:numId w:val="6"/>
      </w:numPr>
      <w:spacing w:after="0"/>
    </w:pPr>
  </w:style>
  <w:style w:type="paragraph" w:styleId="Liste3">
    <w:name w:val="List 3"/>
    <w:basedOn w:val="Normal"/>
    <w:rsid w:val="006C194E"/>
    <w:pPr>
      <w:numPr>
        <w:ilvl w:val="2"/>
        <w:numId w:val="6"/>
      </w:numPr>
      <w:spacing w:after="0"/>
    </w:pPr>
    <w:rPr>
      <w:spacing w:val="0"/>
    </w:rPr>
  </w:style>
  <w:style w:type="paragraph" w:styleId="Liste4">
    <w:name w:val="List 4"/>
    <w:basedOn w:val="Normal"/>
    <w:rsid w:val="006C194E"/>
    <w:pPr>
      <w:numPr>
        <w:ilvl w:val="3"/>
        <w:numId w:val="6"/>
      </w:numPr>
      <w:spacing w:after="0"/>
    </w:pPr>
    <w:rPr>
      <w:spacing w:val="0"/>
    </w:rPr>
  </w:style>
  <w:style w:type="paragraph" w:styleId="Liste5">
    <w:name w:val="List 5"/>
    <w:basedOn w:val="Normal"/>
    <w:rsid w:val="006C194E"/>
    <w:pPr>
      <w:numPr>
        <w:ilvl w:val="4"/>
        <w:numId w:val="6"/>
      </w:numPr>
      <w:spacing w:after="0"/>
    </w:pPr>
    <w:rPr>
      <w:spacing w:val="0"/>
    </w:rPr>
  </w:style>
  <w:style w:type="paragraph" w:customStyle="1" w:styleId="Listebombe">
    <w:name w:val="Liste bombe"/>
    <w:basedOn w:val="Liste"/>
    <w:qFormat/>
    <w:rsid w:val="006C194E"/>
    <w:pPr>
      <w:numPr>
        <w:numId w:val="14"/>
      </w:numPr>
      <w:tabs>
        <w:tab w:val="left" w:pos="397"/>
      </w:tabs>
      <w:ind w:left="397" w:hanging="397"/>
    </w:pPr>
  </w:style>
  <w:style w:type="paragraph" w:customStyle="1" w:styleId="Listebombe2">
    <w:name w:val="Liste bombe 2"/>
    <w:basedOn w:val="Liste2"/>
    <w:qFormat/>
    <w:rsid w:val="006C194E"/>
    <w:pPr>
      <w:numPr>
        <w:ilvl w:val="0"/>
        <w:numId w:val="15"/>
      </w:numPr>
      <w:ind w:left="794" w:hanging="397"/>
    </w:pPr>
  </w:style>
  <w:style w:type="paragraph" w:customStyle="1" w:styleId="Listebombe3">
    <w:name w:val="Liste bombe 3"/>
    <w:basedOn w:val="Liste3"/>
    <w:qFormat/>
    <w:rsid w:val="006C194E"/>
    <w:pPr>
      <w:numPr>
        <w:ilvl w:val="0"/>
        <w:numId w:val="16"/>
      </w:numPr>
      <w:ind w:left="1191" w:hanging="397"/>
    </w:pPr>
  </w:style>
  <w:style w:type="paragraph" w:customStyle="1" w:styleId="Listebombe4">
    <w:name w:val="Liste bombe 4"/>
    <w:basedOn w:val="Liste4"/>
    <w:qFormat/>
    <w:rsid w:val="006C194E"/>
    <w:pPr>
      <w:numPr>
        <w:ilvl w:val="0"/>
        <w:numId w:val="17"/>
      </w:numPr>
      <w:ind w:left="1588" w:hanging="397"/>
    </w:pPr>
  </w:style>
  <w:style w:type="paragraph" w:customStyle="1" w:styleId="Listebombe5">
    <w:name w:val="Liste bombe 5"/>
    <w:basedOn w:val="Liste5"/>
    <w:qFormat/>
    <w:rsid w:val="006C194E"/>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C194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C194E"/>
    <w:pPr>
      <w:numPr>
        <w:numId w:val="4"/>
      </w:numPr>
      <w:spacing w:after="0"/>
    </w:pPr>
    <w:rPr>
      <w:rFonts w:eastAsia="Batang"/>
      <w:spacing w:val="0"/>
      <w:szCs w:val="20"/>
    </w:rPr>
  </w:style>
  <w:style w:type="paragraph" w:styleId="Nummerertliste2">
    <w:name w:val="List Number 2"/>
    <w:basedOn w:val="Normal"/>
    <w:rsid w:val="006C194E"/>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C194E"/>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C194E"/>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C194E"/>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C194E"/>
    <w:pPr>
      <w:spacing w:after="0"/>
      <w:ind w:left="397"/>
    </w:pPr>
    <w:rPr>
      <w:spacing w:val="0"/>
      <w:lang w:val="en-US"/>
    </w:rPr>
  </w:style>
  <w:style w:type="paragraph" w:customStyle="1" w:styleId="opplisting3">
    <w:name w:val="opplisting 3"/>
    <w:basedOn w:val="Normal"/>
    <w:qFormat/>
    <w:rsid w:val="006C194E"/>
    <w:pPr>
      <w:spacing w:after="0"/>
      <w:ind w:left="794"/>
    </w:pPr>
    <w:rPr>
      <w:spacing w:val="0"/>
    </w:rPr>
  </w:style>
  <w:style w:type="paragraph" w:customStyle="1" w:styleId="opplisting4">
    <w:name w:val="opplisting 4"/>
    <w:basedOn w:val="Normal"/>
    <w:qFormat/>
    <w:rsid w:val="006C194E"/>
    <w:pPr>
      <w:spacing w:after="0"/>
      <w:ind w:left="1191"/>
    </w:pPr>
    <w:rPr>
      <w:spacing w:val="0"/>
    </w:rPr>
  </w:style>
  <w:style w:type="paragraph" w:customStyle="1" w:styleId="opplisting5">
    <w:name w:val="opplisting 5"/>
    <w:basedOn w:val="Normal"/>
    <w:qFormat/>
    <w:rsid w:val="006C194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6C194E"/>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C194E"/>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C194E"/>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6C194E"/>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6C194E"/>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6C194E"/>
    <w:pPr>
      <w:keepNext/>
      <w:keepLines/>
      <w:spacing w:before="240"/>
      <w:jc w:val="center"/>
    </w:pPr>
    <w:rPr>
      <w:spacing w:val="30"/>
    </w:rPr>
  </w:style>
  <w:style w:type="character" w:customStyle="1" w:styleId="Overskrift4Tegn">
    <w:name w:val="Overskrift 4 Tegn"/>
    <w:basedOn w:val="Standardskriftforavsnitt"/>
    <w:link w:val="Overskrift4"/>
    <w:rsid w:val="006C194E"/>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6C194E"/>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C194E"/>
    <w:rPr>
      <w:spacing w:val="6"/>
      <w:sz w:val="19"/>
    </w:rPr>
  </w:style>
  <w:style w:type="paragraph" w:customStyle="1" w:styleId="ramme-noter">
    <w:name w:val="ramme-noter"/>
    <w:basedOn w:val="Normal"/>
    <w:next w:val="Normal"/>
    <w:rsid w:val="006C194E"/>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C194E"/>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C194E"/>
    <w:pPr>
      <w:numPr>
        <w:numId w:val="13"/>
      </w:numPr>
      <w:spacing w:after="0" w:line="240" w:lineRule="auto"/>
    </w:pPr>
    <w:rPr>
      <w:rFonts w:eastAsia="Batang"/>
      <w:spacing w:val="0"/>
      <w:szCs w:val="20"/>
    </w:rPr>
  </w:style>
  <w:style w:type="paragraph" w:customStyle="1" w:styleId="romertallliste2">
    <w:name w:val="romertall liste 2"/>
    <w:basedOn w:val="Normal"/>
    <w:rsid w:val="006C194E"/>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C194E"/>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C194E"/>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C194E"/>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C194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C194E"/>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C194E"/>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C194E"/>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C194E"/>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C194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C194E"/>
    <w:pPr>
      <w:keepNext/>
      <w:keepLines/>
      <w:spacing w:before="360" w:after="240"/>
      <w:jc w:val="center"/>
    </w:pPr>
    <w:rPr>
      <w:rFonts w:ascii="Arial" w:hAnsi="Arial"/>
      <w:b/>
      <w:sz w:val="28"/>
    </w:rPr>
  </w:style>
  <w:style w:type="paragraph" w:customStyle="1" w:styleId="tittel-ordforkl">
    <w:name w:val="tittel-ordforkl"/>
    <w:basedOn w:val="Normal"/>
    <w:next w:val="Normal"/>
    <w:rsid w:val="006C194E"/>
    <w:pPr>
      <w:keepNext/>
      <w:keepLines/>
      <w:spacing w:before="360" w:after="240"/>
      <w:jc w:val="center"/>
    </w:pPr>
    <w:rPr>
      <w:rFonts w:ascii="Arial" w:hAnsi="Arial"/>
      <w:b/>
      <w:sz w:val="28"/>
    </w:rPr>
  </w:style>
  <w:style w:type="paragraph" w:customStyle="1" w:styleId="tittel-ramme">
    <w:name w:val="tittel-ramme"/>
    <w:basedOn w:val="Normal"/>
    <w:next w:val="Normal"/>
    <w:rsid w:val="006C194E"/>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C194E"/>
    <w:pPr>
      <w:keepNext/>
      <w:keepLines/>
      <w:spacing w:before="360"/>
    </w:pPr>
    <w:rPr>
      <w:rFonts w:ascii="Arial" w:hAnsi="Arial"/>
      <w:b/>
      <w:sz w:val="28"/>
    </w:rPr>
  </w:style>
  <w:style w:type="character" w:customStyle="1" w:styleId="UndertittelTegn">
    <w:name w:val="Undertittel Tegn"/>
    <w:basedOn w:val="Standardskriftforavsnitt"/>
    <w:link w:val="Undertittel"/>
    <w:rsid w:val="006C194E"/>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C194E"/>
    <w:pPr>
      <w:numPr>
        <w:numId w:val="0"/>
      </w:numPr>
    </w:pPr>
    <w:rPr>
      <w:b w:val="0"/>
      <w:i/>
    </w:rPr>
  </w:style>
  <w:style w:type="paragraph" w:customStyle="1" w:styleId="Undervedl-tittel">
    <w:name w:val="Undervedl-tittel"/>
    <w:basedOn w:val="Normal"/>
    <w:next w:val="Normal"/>
    <w:rsid w:val="006C194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C194E"/>
    <w:pPr>
      <w:numPr>
        <w:numId w:val="0"/>
      </w:numPr>
      <w:outlineLvl w:val="9"/>
    </w:pPr>
  </w:style>
  <w:style w:type="paragraph" w:customStyle="1" w:styleId="v-Overskrift2">
    <w:name w:val="v-Overskrift 2"/>
    <w:basedOn w:val="Overskrift2"/>
    <w:next w:val="Normal"/>
    <w:rsid w:val="006C194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C194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C194E"/>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C194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6C194E"/>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C194E"/>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C194E"/>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6C194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6C194E"/>
    <w:rPr>
      <w:color w:val="467886" w:themeColor="hyperlink"/>
      <w:u w:val="single"/>
    </w:rPr>
  </w:style>
  <w:style w:type="character" w:customStyle="1" w:styleId="BunntekstTegn">
    <w:name w:val="Bunntekst Tegn"/>
    <w:basedOn w:val="Standardskriftforavsnitt"/>
    <w:link w:val="Bunntekst"/>
    <w:rsid w:val="006C194E"/>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C194E"/>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6C194E"/>
    <w:rPr>
      <w:vertAlign w:val="superscript"/>
    </w:rPr>
  </w:style>
  <w:style w:type="character" w:customStyle="1" w:styleId="gjennomstreket">
    <w:name w:val="gjennomstreket"/>
    <w:uiPriority w:val="1"/>
    <w:rsid w:val="006C194E"/>
    <w:rPr>
      <w:strike/>
      <w:dstrike w:val="0"/>
    </w:rPr>
  </w:style>
  <w:style w:type="character" w:customStyle="1" w:styleId="halvfet0">
    <w:name w:val="halvfet"/>
    <w:basedOn w:val="Standardskriftforavsnitt"/>
    <w:rsid w:val="006C194E"/>
    <w:rPr>
      <w:b/>
    </w:rPr>
  </w:style>
  <w:style w:type="character" w:customStyle="1" w:styleId="kursiv">
    <w:name w:val="kursiv"/>
    <w:basedOn w:val="Standardskriftforavsnitt"/>
    <w:rsid w:val="006C194E"/>
    <w:rPr>
      <w:i/>
    </w:rPr>
  </w:style>
  <w:style w:type="character" w:customStyle="1" w:styleId="l-endring">
    <w:name w:val="l-endring"/>
    <w:basedOn w:val="Standardskriftforavsnitt"/>
    <w:rsid w:val="006C194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C194E"/>
  </w:style>
  <w:style w:type="character" w:styleId="Plassholdertekst">
    <w:name w:val="Placeholder Text"/>
    <w:basedOn w:val="Standardskriftforavsnitt"/>
    <w:uiPriority w:val="99"/>
    <w:rsid w:val="006C194E"/>
    <w:rPr>
      <w:color w:val="808080"/>
    </w:rPr>
  </w:style>
  <w:style w:type="character" w:customStyle="1" w:styleId="regular">
    <w:name w:val="regular"/>
    <w:basedOn w:val="Standardskriftforavsnitt"/>
    <w:uiPriority w:val="1"/>
    <w:qFormat/>
    <w:rsid w:val="006C194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C194E"/>
    <w:rPr>
      <w:vertAlign w:val="superscript"/>
    </w:rPr>
  </w:style>
  <w:style w:type="character" w:customStyle="1" w:styleId="skrift-senket">
    <w:name w:val="skrift-senket"/>
    <w:basedOn w:val="Standardskriftforavsnitt"/>
    <w:rsid w:val="006C194E"/>
    <w:rPr>
      <w:vertAlign w:val="subscript"/>
    </w:rPr>
  </w:style>
  <w:style w:type="character" w:customStyle="1" w:styleId="SluttnotetekstTegn">
    <w:name w:val="Sluttnotetekst Tegn"/>
    <w:basedOn w:val="Standardskriftforavsnitt"/>
    <w:link w:val="Sluttnotetekst"/>
    <w:uiPriority w:val="99"/>
    <w:semiHidden/>
    <w:rsid w:val="006C194E"/>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6C194E"/>
    <w:rPr>
      <w:spacing w:val="30"/>
    </w:rPr>
  </w:style>
  <w:style w:type="character" w:customStyle="1" w:styleId="SterktsitatTegn">
    <w:name w:val="Sterkt sitat Tegn"/>
    <w:basedOn w:val="Standardskriftforavsnitt"/>
    <w:link w:val="Sterktsitat"/>
    <w:uiPriority w:val="30"/>
    <w:rsid w:val="006C194E"/>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6C194E"/>
    <w:rPr>
      <w:color w:val="0000FF"/>
    </w:rPr>
  </w:style>
  <w:style w:type="character" w:customStyle="1" w:styleId="stikkord0">
    <w:name w:val="stikkord"/>
    <w:uiPriority w:val="99"/>
  </w:style>
  <w:style w:type="character" w:styleId="Sterk">
    <w:name w:val="Strong"/>
    <w:basedOn w:val="Standardskriftforavsnitt"/>
    <w:uiPriority w:val="22"/>
    <w:qFormat/>
    <w:rsid w:val="006C194E"/>
    <w:rPr>
      <w:b/>
      <w:bCs/>
    </w:rPr>
  </w:style>
  <w:style w:type="character" w:customStyle="1" w:styleId="TopptekstTegn">
    <w:name w:val="Topptekst Tegn"/>
    <w:basedOn w:val="Standardskriftforavsnitt"/>
    <w:link w:val="Topptekst"/>
    <w:rsid w:val="006C194E"/>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6C194E"/>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6C194E"/>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6C194E"/>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6C194E"/>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6C194E"/>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6C194E"/>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6C194E"/>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C194E"/>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C194E"/>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C194E"/>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6C194E"/>
    <w:pPr>
      <w:tabs>
        <w:tab w:val="center" w:pos="4153"/>
        <w:tab w:val="right" w:pos="8306"/>
      </w:tabs>
    </w:pPr>
    <w:rPr>
      <w:sz w:val="20"/>
    </w:rPr>
  </w:style>
  <w:style w:type="character" w:customStyle="1" w:styleId="BunntekstTegn1">
    <w:name w:val="Bunntekst Tegn1"/>
    <w:basedOn w:val="Standardskriftforavsnitt"/>
    <w:uiPriority w:val="99"/>
    <w:semiHidden/>
    <w:rsid w:val="007C3060"/>
    <w:rPr>
      <w:rFonts w:ascii="Times New Roman" w:eastAsia="Times New Roman" w:hAnsi="Times New Roman"/>
      <w:spacing w:val="4"/>
      <w:kern w:val="0"/>
      <w:szCs w:val="22"/>
      <w14:ligatures w14:val="none"/>
    </w:rPr>
  </w:style>
  <w:style w:type="paragraph" w:styleId="INNH1">
    <w:name w:val="toc 1"/>
    <w:basedOn w:val="Normal"/>
    <w:next w:val="Normal"/>
    <w:uiPriority w:val="39"/>
    <w:rsid w:val="006C194E"/>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C194E"/>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C194E"/>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C194E"/>
    <w:pPr>
      <w:tabs>
        <w:tab w:val="right" w:leader="dot" w:pos="8306"/>
      </w:tabs>
      <w:ind w:left="600"/>
    </w:pPr>
    <w:rPr>
      <w:spacing w:val="0"/>
    </w:rPr>
  </w:style>
  <w:style w:type="paragraph" w:styleId="INNH5">
    <w:name w:val="toc 5"/>
    <w:basedOn w:val="Normal"/>
    <w:next w:val="Normal"/>
    <w:rsid w:val="006C194E"/>
    <w:pPr>
      <w:tabs>
        <w:tab w:val="right" w:leader="dot" w:pos="8306"/>
      </w:tabs>
      <w:ind w:left="800"/>
    </w:pPr>
    <w:rPr>
      <w:spacing w:val="0"/>
    </w:rPr>
  </w:style>
  <w:style w:type="character" w:styleId="Merknadsreferanse">
    <w:name w:val="annotation reference"/>
    <w:basedOn w:val="Standardskriftforavsnitt"/>
    <w:rsid w:val="006C194E"/>
    <w:rPr>
      <w:sz w:val="16"/>
    </w:rPr>
  </w:style>
  <w:style w:type="paragraph" w:styleId="Merknadstekst">
    <w:name w:val="annotation text"/>
    <w:basedOn w:val="Normal"/>
    <w:link w:val="MerknadstekstTegn"/>
    <w:rsid w:val="006C194E"/>
    <w:rPr>
      <w:spacing w:val="0"/>
      <w:sz w:val="20"/>
    </w:rPr>
  </w:style>
  <w:style w:type="character" w:customStyle="1" w:styleId="MerknadstekstTegn">
    <w:name w:val="Merknadstekst Tegn"/>
    <w:basedOn w:val="Standardskriftforavsnitt"/>
    <w:link w:val="Merknadstekst"/>
    <w:rsid w:val="006C194E"/>
    <w:rPr>
      <w:rFonts w:ascii="Times New Roman" w:eastAsia="Times New Roman" w:hAnsi="Times New Roman"/>
      <w:kern w:val="0"/>
      <w:sz w:val="20"/>
      <w:szCs w:val="22"/>
      <w14:ligatures w14:val="none"/>
    </w:rPr>
  </w:style>
  <w:style w:type="paragraph" w:styleId="Punktliste">
    <w:name w:val="List Bullet"/>
    <w:basedOn w:val="Normal"/>
    <w:rsid w:val="006C194E"/>
    <w:pPr>
      <w:spacing w:after="0"/>
      <w:ind w:left="284" w:hanging="284"/>
    </w:pPr>
  </w:style>
  <w:style w:type="paragraph" w:styleId="Punktliste2">
    <w:name w:val="List Bullet 2"/>
    <w:basedOn w:val="Normal"/>
    <w:rsid w:val="006C194E"/>
    <w:pPr>
      <w:spacing w:after="0"/>
      <w:ind w:left="568" w:hanging="284"/>
    </w:pPr>
  </w:style>
  <w:style w:type="paragraph" w:styleId="Punktliste3">
    <w:name w:val="List Bullet 3"/>
    <w:basedOn w:val="Normal"/>
    <w:rsid w:val="006C194E"/>
    <w:pPr>
      <w:spacing w:after="0"/>
      <w:ind w:left="851" w:hanging="284"/>
    </w:pPr>
  </w:style>
  <w:style w:type="paragraph" w:styleId="Punktliste4">
    <w:name w:val="List Bullet 4"/>
    <w:basedOn w:val="Normal"/>
    <w:rsid w:val="006C194E"/>
    <w:pPr>
      <w:spacing w:after="0"/>
      <w:ind w:left="1135" w:hanging="284"/>
    </w:pPr>
    <w:rPr>
      <w:spacing w:val="0"/>
    </w:rPr>
  </w:style>
  <w:style w:type="paragraph" w:styleId="Punktliste5">
    <w:name w:val="List Bullet 5"/>
    <w:basedOn w:val="Normal"/>
    <w:rsid w:val="006C194E"/>
    <w:pPr>
      <w:spacing w:after="0"/>
      <w:ind w:left="1418" w:hanging="284"/>
    </w:pPr>
    <w:rPr>
      <w:spacing w:val="0"/>
    </w:rPr>
  </w:style>
  <w:style w:type="paragraph" w:styleId="Topptekst">
    <w:name w:val="header"/>
    <w:basedOn w:val="Normal"/>
    <w:link w:val="TopptekstTegn"/>
    <w:rsid w:val="006C194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C3060"/>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6C194E"/>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C194E"/>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C194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C194E"/>
    <w:pPr>
      <w:spacing w:after="0" w:line="240" w:lineRule="auto"/>
      <w:ind w:left="240" w:hanging="240"/>
    </w:pPr>
  </w:style>
  <w:style w:type="paragraph" w:styleId="Indeks2">
    <w:name w:val="index 2"/>
    <w:basedOn w:val="Normal"/>
    <w:next w:val="Normal"/>
    <w:autoRedefine/>
    <w:uiPriority w:val="99"/>
    <w:semiHidden/>
    <w:unhideWhenUsed/>
    <w:rsid w:val="006C194E"/>
    <w:pPr>
      <w:spacing w:after="0" w:line="240" w:lineRule="auto"/>
      <w:ind w:left="480" w:hanging="240"/>
    </w:pPr>
  </w:style>
  <w:style w:type="paragraph" w:styleId="Indeks3">
    <w:name w:val="index 3"/>
    <w:basedOn w:val="Normal"/>
    <w:next w:val="Normal"/>
    <w:autoRedefine/>
    <w:uiPriority w:val="99"/>
    <w:semiHidden/>
    <w:unhideWhenUsed/>
    <w:rsid w:val="006C194E"/>
    <w:pPr>
      <w:spacing w:after="0" w:line="240" w:lineRule="auto"/>
      <w:ind w:left="720" w:hanging="240"/>
    </w:pPr>
  </w:style>
  <w:style w:type="paragraph" w:styleId="Indeks4">
    <w:name w:val="index 4"/>
    <w:basedOn w:val="Normal"/>
    <w:next w:val="Normal"/>
    <w:autoRedefine/>
    <w:uiPriority w:val="99"/>
    <w:semiHidden/>
    <w:unhideWhenUsed/>
    <w:rsid w:val="006C194E"/>
    <w:pPr>
      <w:spacing w:after="0" w:line="240" w:lineRule="auto"/>
      <w:ind w:left="960" w:hanging="240"/>
    </w:pPr>
  </w:style>
  <w:style w:type="paragraph" w:styleId="Indeks5">
    <w:name w:val="index 5"/>
    <w:basedOn w:val="Normal"/>
    <w:next w:val="Normal"/>
    <w:autoRedefine/>
    <w:uiPriority w:val="99"/>
    <w:semiHidden/>
    <w:unhideWhenUsed/>
    <w:rsid w:val="006C194E"/>
    <w:pPr>
      <w:spacing w:after="0" w:line="240" w:lineRule="auto"/>
      <w:ind w:left="1200" w:hanging="240"/>
    </w:pPr>
  </w:style>
  <w:style w:type="paragraph" w:styleId="Indeks6">
    <w:name w:val="index 6"/>
    <w:basedOn w:val="Normal"/>
    <w:next w:val="Normal"/>
    <w:autoRedefine/>
    <w:uiPriority w:val="99"/>
    <w:semiHidden/>
    <w:unhideWhenUsed/>
    <w:rsid w:val="006C194E"/>
    <w:pPr>
      <w:spacing w:after="0" w:line="240" w:lineRule="auto"/>
      <w:ind w:left="1440" w:hanging="240"/>
    </w:pPr>
  </w:style>
  <w:style w:type="paragraph" w:styleId="Indeks7">
    <w:name w:val="index 7"/>
    <w:basedOn w:val="Normal"/>
    <w:next w:val="Normal"/>
    <w:autoRedefine/>
    <w:uiPriority w:val="99"/>
    <w:semiHidden/>
    <w:unhideWhenUsed/>
    <w:rsid w:val="006C194E"/>
    <w:pPr>
      <w:spacing w:after="0" w:line="240" w:lineRule="auto"/>
      <w:ind w:left="1680" w:hanging="240"/>
    </w:pPr>
  </w:style>
  <w:style w:type="paragraph" w:styleId="Indeks8">
    <w:name w:val="index 8"/>
    <w:basedOn w:val="Normal"/>
    <w:next w:val="Normal"/>
    <w:autoRedefine/>
    <w:uiPriority w:val="99"/>
    <w:semiHidden/>
    <w:unhideWhenUsed/>
    <w:rsid w:val="006C194E"/>
    <w:pPr>
      <w:spacing w:after="0" w:line="240" w:lineRule="auto"/>
      <w:ind w:left="1920" w:hanging="240"/>
    </w:pPr>
  </w:style>
  <w:style w:type="paragraph" w:styleId="Indeks9">
    <w:name w:val="index 9"/>
    <w:basedOn w:val="Normal"/>
    <w:next w:val="Normal"/>
    <w:autoRedefine/>
    <w:uiPriority w:val="99"/>
    <w:semiHidden/>
    <w:unhideWhenUsed/>
    <w:rsid w:val="006C194E"/>
    <w:pPr>
      <w:spacing w:after="0" w:line="240" w:lineRule="auto"/>
      <w:ind w:left="2160" w:hanging="240"/>
    </w:pPr>
  </w:style>
  <w:style w:type="paragraph" w:styleId="INNH6">
    <w:name w:val="toc 6"/>
    <w:basedOn w:val="Normal"/>
    <w:next w:val="Normal"/>
    <w:autoRedefine/>
    <w:uiPriority w:val="39"/>
    <w:semiHidden/>
    <w:unhideWhenUsed/>
    <w:rsid w:val="006C194E"/>
    <w:pPr>
      <w:spacing w:after="100"/>
      <w:ind w:left="1200"/>
    </w:pPr>
  </w:style>
  <w:style w:type="paragraph" w:styleId="INNH7">
    <w:name w:val="toc 7"/>
    <w:basedOn w:val="Normal"/>
    <w:next w:val="Normal"/>
    <w:autoRedefine/>
    <w:uiPriority w:val="39"/>
    <w:semiHidden/>
    <w:unhideWhenUsed/>
    <w:rsid w:val="006C194E"/>
    <w:pPr>
      <w:spacing w:after="100"/>
      <w:ind w:left="1440"/>
    </w:pPr>
  </w:style>
  <w:style w:type="paragraph" w:styleId="INNH8">
    <w:name w:val="toc 8"/>
    <w:basedOn w:val="Normal"/>
    <w:next w:val="Normal"/>
    <w:autoRedefine/>
    <w:uiPriority w:val="39"/>
    <w:semiHidden/>
    <w:unhideWhenUsed/>
    <w:rsid w:val="006C194E"/>
    <w:pPr>
      <w:spacing w:after="100"/>
      <w:ind w:left="1680"/>
    </w:pPr>
  </w:style>
  <w:style w:type="paragraph" w:styleId="INNH9">
    <w:name w:val="toc 9"/>
    <w:basedOn w:val="Normal"/>
    <w:next w:val="Normal"/>
    <w:autoRedefine/>
    <w:uiPriority w:val="39"/>
    <w:semiHidden/>
    <w:unhideWhenUsed/>
    <w:rsid w:val="006C194E"/>
    <w:pPr>
      <w:spacing w:after="100"/>
      <w:ind w:left="1920"/>
    </w:pPr>
  </w:style>
  <w:style w:type="paragraph" w:styleId="Vanliginnrykk">
    <w:name w:val="Normal Indent"/>
    <w:basedOn w:val="Normal"/>
    <w:uiPriority w:val="99"/>
    <w:semiHidden/>
    <w:unhideWhenUsed/>
    <w:rsid w:val="006C194E"/>
    <w:pPr>
      <w:ind w:left="708"/>
    </w:pPr>
  </w:style>
  <w:style w:type="paragraph" w:styleId="Stikkordregisteroverskrift">
    <w:name w:val="index heading"/>
    <w:basedOn w:val="Normal"/>
    <w:next w:val="Indeks1"/>
    <w:uiPriority w:val="99"/>
    <w:semiHidden/>
    <w:unhideWhenUsed/>
    <w:rsid w:val="006C194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C194E"/>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C194E"/>
    <w:pPr>
      <w:spacing w:after="0"/>
    </w:pPr>
  </w:style>
  <w:style w:type="paragraph" w:styleId="Konvoluttadresse">
    <w:name w:val="envelope address"/>
    <w:basedOn w:val="Normal"/>
    <w:uiPriority w:val="99"/>
    <w:semiHidden/>
    <w:unhideWhenUsed/>
    <w:rsid w:val="006C194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C194E"/>
  </w:style>
  <w:style w:type="character" w:styleId="Sluttnotereferanse">
    <w:name w:val="endnote reference"/>
    <w:basedOn w:val="Standardskriftforavsnitt"/>
    <w:uiPriority w:val="99"/>
    <w:semiHidden/>
    <w:unhideWhenUsed/>
    <w:rsid w:val="006C194E"/>
    <w:rPr>
      <w:vertAlign w:val="superscript"/>
    </w:rPr>
  </w:style>
  <w:style w:type="paragraph" w:styleId="Sluttnotetekst">
    <w:name w:val="endnote text"/>
    <w:basedOn w:val="Normal"/>
    <w:link w:val="SluttnotetekstTegn"/>
    <w:uiPriority w:val="99"/>
    <w:semiHidden/>
    <w:unhideWhenUsed/>
    <w:rsid w:val="006C194E"/>
    <w:pPr>
      <w:spacing w:after="0" w:line="240" w:lineRule="auto"/>
    </w:pPr>
    <w:rPr>
      <w:sz w:val="20"/>
      <w:szCs w:val="20"/>
    </w:rPr>
  </w:style>
  <w:style w:type="character" w:customStyle="1" w:styleId="SluttnotetekstTegn1">
    <w:name w:val="Sluttnotetekst Tegn1"/>
    <w:basedOn w:val="Standardskriftforavsnitt"/>
    <w:uiPriority w:val="99"/>
    <w:semiHidden/>
    <w:rsid w:val="007C306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C194E"/>
    <w:pPr>
      <w:spacing w:after="0"/>
      <w:ind w:left="240" w:hanging="240"/>
    </w:pPr>
  </w:style>
  <w:style w:type="paragraph" w:styleId="Makrotekst">
    <w:name w:val="macro"/>
    <w:link w:val="MakrotekstTegn"/>
    <w:uiPriority w:val="99"/>
    <w:semiHidden/>
    <w:unhideWhenUsed/>
    <w:rsid w:val="006C194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6C194E"/>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6C194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C194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C194E"/>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6C194E"/>
    <w:pPr>
      <w:spacing w:after="0" w:line="240" w:lineRule="auto"/>
      <w:ind w:left="4252"/>
    </w:pPr>
  </w:style>
  <w:style w:type="character" w:customStyle="1" w:styleId="HilsenTegn">
    <w:name w:val="Hilsen Tegn"/>
    <w:basedOn w:val="Standardskriftforavsnitt"/>
    <w:link w:val="Hilsen"/>
    <w:uiPriority w:val="99"/>
    <w:semiHidden/>
    <w:rsid w:val="006C194E"/>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6C194E"/>
    <w:pPr>
      <w:spacing w:after="0" w:line="240" w:lineRule="auto"/>
      <w:ind w:left="4252"/>
    </w:pPr>
  </w:style>
  <w:style w:type="character" w:customStyle="1" w:styleId="UnderskriftTegn1">
    <w:name w:val="Underskrift Tegn1"/>
    <w:basedOn w:val="Standardskriftforavsnitt"/>
    <w:uiPriority w:val="99"/>
    <w:semiHidden/>
    <w:rsid w:val="007C3060"/>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6C194E"/>
    <w:pPr>
      <w:ind w:left="283"/>
      <w:contextualSpacing/>
    </w:pPr>
  </w:style>
  <w:style w:type="paragraph" w:styleId="Liste-forts2">
    <w:name w:val="List Continue 2"/>
    <w:basedOn w:val="Normal"/>
    <w:uiPriority w:val="99"/>
    <w:semiHidden/>
    <w:unhideWhenUsed/>
    <w:rsid w:val="006C194E"/>
    <w:pPr>
      <w:ind w:left="566"/>
      <w:contextualSpacing/>
    </w:pPr>
  </w:style>
  <w:style w:type="paragraph" w:styleId="Liste-forts3">
    <w:name w:val="List Continue 3"/>
    <w:basedOn w:val="Normal"/>
    <w:uiPriority w:val="99"/>
    <w:semiHidden/>
    <w:unhideWhenUsed/>
    <w:rsid w:val="006C194E"/>
    <w:pPr>
      <w:ind w:left="849"/>
      <w:contextualSpacing/>
    </w:pPr>
  </w:style>
  <w:style w:type="paragraph" w:styleId="Liste-forts4">
    <w:name w:val="List Continue 4"/>
    <w:basedOn w:val="Normal"/>
    <w:uiPriority w:val="99"/>
    <w:semiHidden/>
    <w:unhideWhenUsed/>
    <w:rsid w:val="006C194E"/>
    <w:pPr>
      <w:ind w:left="1132"/>
      <w:contextualSpacing/>
    </w:pPr>
  </w:style>
  <w:style w:type="paragraph" w:styleId="Liste-forts5">
    <w:name w:val="List Continue 5"/>
    <w:basedOn w:val="Normal"/>
    <w:uiPriority w:val="99"/>
    <w:semiHidden/>
    <w:unhideWhenUsed/>
    <w:rsid w:val="006C194E"/>
    <w:pPr>
      <w:ind w:left="1415"/>
      <w:contextualSpacing/>
    </w:pPr>
  </w:style>
  <w:style w:type="paragraph" w:styleId="Meldingshode">
    <w:name w:val="Message Header"/>
    <w:basedOn w:val="Normal"/>
    <w:link w:val="MeldingshodeTegn"/>
    <w:uiPriority w:val="99"/>
    <w:semiHidden/>
    <w:unhideWhenUsed/>
    <w:rsid w:val="006C194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C194E"/>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6C194E"/>
  </w:style>
  <w:style w:type="character" w:customStyle="1" w:styleId="InnledendehilsenTegn">
    <w:name w:val="Innledende hilsen Tegn"/>
    <w:basedOn w:val="Standardskriftforavsnitt"/>
    <w:link w:val="Innledendehilsen"/>
    <w:uiPriority w:val="99"/>
    <w:semiHidden/>
    <w:rsid w:val="006C194E"/>
    <w:rPr>
      <w:rFonts w:ascii="Times New Roman" w:eastAsia="Times New Roman" w:hAnsi="Times New Roman"/>
      <w:spacing w:val="4"/>
      <w:kern w:val="0"/>
      <w:szCs w:val="22"/>
      <w14:ligatures w14:val="none"/>
    </w:rPr>
  </w:style>
  <w:style w:type="paragraph" w:styleId="Dato0">
    <w:name w:val="Date"/>
    <w:basedOn w:val="Normal"/>
    <w:next w:val="Normal"/>
    <w:link w:val="DatoTegn"/>
    <w:rsid w:val="006C194E"/>
  </w:style>
  <w:style w:type="character" w:customStyle="1" w:styleId="DatoTegn1">
    <w:name w:val="Dato Tegn1"/>
    <w:basedOn w:val="Standardskriftforavsnitt"/>
    <w:uiPriority w:val="99"/>
    <w:semiHidden/>
    <w:rsid w:val="007C3060"/>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6C194E"/>
    <w:pPr>
      <w:spacing w:after="0" w:line="240" w:lineRule="auto"/>
    </w:pPr>
  </w:style>
  <w:style w:type="character" w:customStyle="1" w:styleId="NotatoverskriftTegn">
    <w:name w:val="Notatoverskrift Tegn"/>
    <w:basedOn w:val="Standardskriftforavsnitt"/>
    <w:link w:val="Notatoverskrift"/>
    <w:uiPriority w:val="99"/>
    <w:semiHidden/>
    <w:rsid w:val="006C194E"/>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6C194E"/>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C194E"/>
    <w:rPr>
      <w:color w:val="96607D" w:themeColor="followedHyperlink"/>
      <w:u w:val="single"/>
    </w:rPr>
  </w:style>
  <w:style w:type="character" w:styleId="Utheving">
    <w:name w:val="Emphasis"/>
    <w:basedOn w:val="Standardskriftforavsnitt"/>
    <w:uiPriority w:val="20"/>
    <w:qFormat/>
    <w:rsid w:val="006C194E"/>
    <w:rPr>
      <w:i/>
      <w:iCs/>
    </w:rPr>
  </w:style>
  <w:style w:type="paragraph" w:styleId="Dokumentkart">
    <w:name w:val="Document Map"/>
    <w:basedOn w:val="Normal"/>
    <w:link w:val="DokumentkartTegn"/>
    <w:uiPriority w:val="99"/>
    <w:semiHidden/>
    <w:rsid w:val="006C194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C194E"/>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6C194E"/>
    <w:rPr>
      <w:rFonts w:ascii="Courier New" w:hAnsi="Courier New" w:cs="Courier New"/>
      <w:sz w:val="20"/>
    </w:rPr>
  </w:style>
  <w:style w:type="character" w:customStyle="1" w:styleId="RentekstTegn">
    <w:name w:val="Ren tekst Tegn"/>
    <w:basedOn w:val="Standardskriftforavsnitt"/>
    <w:link w:val="Rentekst"/>
    <w:uiPriority w:val="99"/>
    <w:semiHidden/>
    <w:rsid w:val="006C194E"/>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6C194E"/>
    <w:pPr>
      <w:spacing w:after="0" w:line="240" w:lineRule="auto"/>
    </w:pPr>
  </w:style>
  <w:style w:type="character" w:customStyle="1" w:styleId="E-postsignaturTegn">
    <w:name w:val="E-postsignatur Tegn"/>
    <w:basedOn w:val="Standardskriftforavsnitt"/>
    <w:link w:val="E-postsignatur"/>
    <w:uiPriority w:val="99"/>
    <w:semiHidden/>
    <w:rsid w:val="006C194E"/>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6C194E"/>
    <w:rPr>
      <w:szCs w:val="24"/>
    </w:rPr>
  </w:style>
  <w:style w:type="character" w:styleId="HTML-akronym">
    <w:name w:val="HTML Acronym"/>
    <w:basedOn w:val="Standardskriftforavsnitt"/>
    <w:uiPriority w:val="99"/>
    <w:semiHidden/>
    <w:unhideWhenUsed/>
    <w:rsid w:val="006C194E"/>
  </w:style>
  <w:style w:type="paragraph" w:styleId="HTML-adresse">
    <w:name w:val="HTML Address"/>
    <w:basedOn w:val="Normal"/>
    <w:link w:val="HTML-adresseTegn"/>
    <w:uiPriority w:val="99"/>
    <w:semiHidden/>
    <w:unhideWhenUsed/>
    <w:rsid w:val="006C194E"/>
    <w:pPr>
      <w:spacing w:after="0" w:line="240" w:lineRule="auto"/>
    </w:pPr>
    <w:rPr>
      <w:i/>
      <w:iCs/>
    </w:rPr>
  </w:style>
  <w:style w:type="character" w:customStyle="1" w:styleId="HTML-adresseTegn">
    <w:name w:val="HTML-adresse Tegn"/>
    <w:basedOn w:val="Standardskriftforavsnitt"/>
    <w:link w:val="HTML-adresse"/>
    <w:uiPriority w:val="99"/>
    <w:semiHidden/>
    <w:rsid w:val="006C194E"/>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6C194E"/>
    <w:rPr>
      <w:i/>
      <w:iCs/>
    </w:rPr>
  </w:style>
  <w:style w:type="character" w:styleId="HTML-kode">
    <w:name w:val="HTML Code"/>
    <w:basedOn w:val="Standardskriftforavsnitt"/>
    <w:uiPriority w:val="99"/>
    <w:semiHidden/>
    <w:unhideWhenUsed/>
    <w:rsid w:val="006C194E"/>
    <w:rPr>
      <w:rFonts w:ascii="Consolas" w:hAnsi="Consolas"/>
      <w:sz w:val="20"/>
      <w:szCs w:val="20"/>
    </w:rPr>
  </w:style>
  <w:style w:type="character" w:styleId="HTML-definisjon">
    <w:name w:val="HTML Definition"/>
    <w:basedOn w:val="Standardskriftforavsnitt"/>
    <w:uiPriority w:val="99"/>
    <w:semiHidden/>
    <w:unhideWhenUsed/>
    <w:rsid w:val="006C194E"/>
    <w:rPr>
      <w:i/>
      <w:iCs/>
    </w:rPr>
  </w:style>
  <w:style w:type="character" w:styleId="HTML-tastatur">
    <w:name w:val="HTML Keyboard"/>
    <w:basedOn w:val="Standardskriftforavsnitt"/>
    <w:uiPriority w:val="99"/>
    <w:semiHidden/>
    <w:unhideWhenUsed/>
    <w:rsid w:val="006C194E"/>
    <w:rPr>
      <w:rFonts w:ascii="Consolas" w:hAnsi="Consolas"/>
      <w:sz w:val="20"/>
      <w:szCs w:val="20"/>
    </w:rPr>
  </w:style>
  <w:style w:type="paragraph" w:styleId="HTML-forhndsformatert">
    <w:name w:val="HTML Preformatted"/>
    <w:basedOn w:val="Normal"/>
    <w:link w:val="HTML-forhndsformatertTegn"/>
    <w:uiPriority w:val="99"/>
    <w:semiHidden/>
    <w:unhideWhenUsed/>
    <w:rsid w:val="006C194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C194E"/>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6C194E"/>
    <w:rPr>
      <w:rFonts w:ascii="Consolas" w:hAnsi="Consolas"/>
      <w:sz w:val="24"/>
      <w:szCs w:val="24"/>
    </w:rPr>
  </w:style>
  <w:style w:type="character" w:styleId="HTML-skrivemaskin">
    <w:name w:val="HTML Typewriter"/>
    <w:basedOn w:val="Standardskriftforavsnitt"/>
    <w:uiPriority w:val="99"/>
    <w:semiHidden/>
    <w:unhideWhenUsed/>
    <w:rsid w:val="006C194E"/>
    <w:rPr>
      <w:rFonts w:ascii="Consolas" w:hAnsi="Consolas"/>
      <w:sz w:val="20"/>
      <w:szCs w:val="20"/>
    </w:rPr>
  </w:style>
  <w:style w:type="character" w:styleId="HTML-variabel">
    <w:name w:val="HTML Variable"/>
    <w:basedOn w:val="Standardskriftforavsnitt"/>
    <w:uiPriority w:val="99"/>
    <w:semiHidden/>
    <w:unhideWhenUsed/>
    <w:rsid w:val="006C194E"/>
    <w:rPr>
      <w:i/>
      <w:iCs/>
    </w:rPr>
  </w:style>
  <w:style w:type="paragraph" w:styleId="Kommentaremne">
    <w:name w:val="annotation subject"/>
    <w:basedOn w:val="Merknadstekst"/>
    <w:next w:val="Merknadstekst"/>
    <w:link w:val="KommentaremneTegn"/>
    <w:uiPriority w:val="99"/>
    <w:semiHidden/>
    <w:unhideWhenUsed/>
    <w:rsid w:val="006C194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C194E"/>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6C194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C194E"/>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6C194E"/>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C194E"/>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6C194E"/>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7C3060"/>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6C194E"/>
    <w:rPr>
      <w:i/>
      <w:iCs/>
      <w:color w:val="808080" w:themeColor="text1" w:themeTint="7F"/>
    </w:rPr>
  </w:style>
  <w:style w:type="character" w:styleId="Sterkutheving">
    <w:name w:val="Intense Emphasis"/>
    <w:basedOn w:val="Standardskriftforavsnitt"/>
    <w:uiPriority w:val="21"/>
    <w:qFormat/>
    <w:rsid w:val="006C194E"/>
    <w:rPr>
      <w:b/>
      <w:bCs/>
      <w:i/>
      <w:iCs/>
      <w:color w:val="156082" w:themeColor="accent1"/>
    </w:rPr>
  </w:style>
  <w:style w:type="character" w:styleId="Svakreferanse">
    <w:name w:val="Subtle Reference"/>
    <w:basedOn w:val="Standardskriftforavsnitt"/>
    <w:uiPriority w:val="31"/>
    <w:qFormat/>
    <w:rsid w:val="006C194E"/>
    <w:rPr>
      <w:smallCaps/>
      <w:color w:val="E97132" w:themeColor="accent2"/>
      <w:u w:val="single"/>
    </w:rPr>
  </w:style>
  <w:style w:type="character" w:styleId="Sterkreferanse">
    <w:name w:val="Intense Reference"/>
    <w:basedOn w:val="Standardskriftforavsnitt"/>
    <w:uiPriority w:val="32"/>
    <w:qFormat/>
    <w:rsid w:val="006C194E"/>
    <w:rPr>
      <w:b/>
      <w:bCs/>
      <w:smallCaps/>
      <w:color w:val="E97132" w:themeColor="accent2"/>
      <w:spacing w:val="5"/>
      <w:u w:val="single"/>
    </w:rPr>
  </w:style>
  <w:style w:type="character" w:styleId="Boktittel">
    <w:name w:val="Book Title"/>
    <w:basedOn w:val="Standardskriftforavsnitt"/>
    <w:uiPriority w:val="33"/>
    <w:qFormat/>
    <w:rsid w:val="006C194E"/>
    <w:rPr>
      <w:b/>
      <w:bCs/>
      <w:smallCaps/>
      <w:spacing w:val="5"/>
    </w:rPr>
  </w:style>
  <w:style w:type="paragraph" w:styleId="Bibliografi">
    <w:name w:val="Bibliography"/>
    <w:basedOn w:val="Normal"/>
    <w:next w:val="Normal"/>
    <w:uiPriority w:val="37"/>
    <w:semiHidden/>
    <w:unhideWhenUsed/>
    <w:rsid w:val="006C194E"/>
  </w:style>
  <w:style w:type="paragraph" w:styleId="Overskriftforinnholdsfortegnelse">
    <w:name w:val="TOC Heading"/>
    <w:basedOn w:val="Overskrift1"/>
    <w:next w:val="Normal"/>
    <w:uiPriority w:val="39"/>
    <w:unhideWhenUsed/>
    <w:qFormat/>
    <w:rsid w:val="006C194E"/>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6C194E"/>
    <w:pPr>
      <w:numPr>
        <w:numId w:val="3"/>
      </w:numPr>
    </w:pPr>
  </w:style>
  <w:style w:type="numbering" w:customStyle="1" w:styleId="NrListeStil">
    <w:name w:val="NrListeStil"/>
    <w:uiPriority w:val="99"/>
    <w:rsid w:val="006C194E"/>
    <w:pPr>
      <w:numPr>
        <w:numId w:val="4"/>
      </w:numPr>
    </w:pPr>
  </w:style>
  <w:style w:type="numbering" w:customStyle="1" w:styleId="RomListeStil">
    <w:name w:val="RomListeStil"/>
    <w:uiPriority w:val="99"/>
    <w:rsid w:val="006C194E"/>
    <w:pPr>
      <w:numPr>
        <w:numId w:val="5"/>
      </w:numPr>
    </w:pPr>
  </w:style>
  <w:style w:type="numbering" w:customStyle="1" w:styleId="StrekListeStil">
    <w:name w:val="StrekListeStil"/>
    <w:uiPriority w:val="99"/>
    <w:rsid w:val="006C194E"/>
    <w:pPr>
      <w:numPr>
        <w:numId w:val="6"/>
      </w:numPr>
    </w:pPr>
  </w:style>
  <w:style w:type="numbering" w:customStyle="1" w:styleId="OpplistingListeStil">
    <w:name w:val="OpplistingListeStil"/>
    <w:uiPriority w:val="99"/>
    <w:rsid w:val="006C194E"/>
    <w:pPr>
      <w:numPr>
        <w:numId w:val="7"/>
      </w:numPr>
    </w:pPr>
  </w:style>
  <w:style w:type="numbering" w:customStyle="1" w:styleId="l-NummerertListeStil">
    <w:name w:val="l-NummerertListeStil"/>
    <w:uiPriority w:val="99"/>
    <w:rsid w:val="006C194E"/>
    <w:pPr>
      <w:numPr>
        <w:numId w:val="8"/>
      </w:numPr>
    </w:pPr>
  </w:style>
  <w:style w:type="numbering" w:customStyle="1" w:styleId="l-AlfaListeStil">
    <w:name w:val="l-AlfaListeStil"/>
    <w:uiPriority w:val="99"/>
    <w:rsid w:val="006C194E"/>
    <w:pPr>
      <w:numPr>
        <w:numId w:val="9"/>
      </w:numPr>
    </w:pPr>
  </w:style>
  <w:style w:type="numbering" w:customStyle="1" w:styleId="OverskrifterListeStil">
    <w:name w:val="OverskrifterListeStil"/>
    <w:uiPriority w:val="99"/>
    <w:rsid w:val="006C194E"/>
    <w:pPr>
      <w:numPr>
        <w:numId w:val="10"/>
      </w:numPr>
    </w:pPr>
  </w:style>
  <w:style w:type="numbering" w:customStyle="1" w:styleId="l-ListeStilMal">
    <w:name w:val="l-ListeStilMal"/>
    <w:uiPriority w:val="99"/>
    <w:rsid w:val="006C194E"/>
    <w:pPr>
      <w:numPr>
        <w:numId w:val="11"/>
      </w:numPr>
    </w:pPr>
  </w:style>
  <w:style w:type="paragraph" w:styleId="Avsenderadresse">
    <w:name w:val="envelope return"/>
    <w:basedOn w:val="Normal"/>
    <w:uiPriority w:val="99"/>
    <w:semiHidden/>
    <w:unhideWhenUsed/>
    <w:rsid w:val="006C194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C194E"/>
  </w:style>
  <w:style w:type="character" w:customStyle="1" w:styleId="BrdtekstTegn">
    <w:name w:val="Brødtekst Tegn"/>
    <w:basedOn w:val="Standardskriftforavsnitt"/>
    <w:link w:val="Brdtekst"/>
    <w:semiHidden/>
    <w:rsid w:val="006C194E"/>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6C194E"/>
    <w:pPr>
      <w:ind w:firstLine="360"/>
    </w:pPr>
  </w:style>
  <w:style w:type="character" w:customStyle="1" w:styleId="Brdtekst-frsteinnrykkTegn">
    <w:name w:val="Brødtekst - første innrykk Tegn"/>
    <w:basedOn w:val="BrdtekstTegn"/>
    <w:link w:val="Brdtekst-frsteinnrykk"/>
    <w:uiPriority w:val="99"/>
    <w:semiHidden/>
    <w:rsid w:val="006C194E"/>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6C194E"/>
    <w:pPr>
      <w:ind w:left="283"/>
    </w:pPr>
  </w:style>
  <w:style w:type="character" w:customStyle="1" w:styleId="BrdtekstinnrykkTegn">
    <w:name w:val="Brødtekstinnrykk Tegn"/>
    <w:basedOn w:val="Standardskriftforavsnitt"/>
    <w:link w:val="Brdtekstinnrykk"/>
    <w:uiPriority w:val="99"/>
    <w:semiHidden/>
    <w:rsid w:val="006C194E"/>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6C194E"/>
    <w:pPr>
      <w:ind w:left="360" w:firstLine="360"/>
    </w:pPr>
  </w:style>
  <w:style w:type="character" w:customStyle="1" w:styleId="Brdtekst-frsteinnrykk2Tegn">
    <w:name w:val="Brødtekst - første innrykk 2 Tegn"/>
    <w:basedOn w:val="BrdtekstinnrykkTegn"/>
    <w:link w:val="Brdtekst-frsteinnrykk2"/>
    <w:uiPriority w:val="99"/>
    <w:semiHidden/>
    <w:rsid w:val="006C194E"/>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6C194E"/>
    <w:pPr>
      <w:spacing w:line="480" w:lineRule="auto"/>
    </w:pPr>
  </w:style>
  <w:style w:type="character" w:customStyle="1" w:styleId="Brdtekst2Tegn">
    <w:name w:val="Brødtekst 2 Tegn"/>
    <w:basedOn w:val="Standardskriftforavsnitt"/>
    <w:link w:val="Brdtekst2"/>
    <w:uiPriority w:val="99"/>
    <w:semiHidden/>
    <w:rsid w:val="006C194E"/>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6C194E"/>
    <w:rPr>
      <w:sz w:val="16"/>
      <w:szCs w:val="16"/>
    </w:rPr>
  </w:style>
  <w:style w:type="character" w:customStyle="1" w:styleId="Brdtekst3Tegn">
    <w:name w:val="Brødtekst 3 Tegn"/>
    <w:basedOn w:val="Standardskriftforavsnitt"/>
    <w:link w:val="Brdtekst3"/>
    <w:uiPriority w:val="99"/>
    <w:semiHidden/>
    <w:rsid w:val="006C194E"/>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6C194E"/>
    <w:pPr>
      <w:spacing w:line="480" w:lineRule="auto"/>
      <w:ind w:left="283"/>
    </w:pPr>
  </w:style>
  <w:style w:type="character" w:customStyle="1" w:styleId="Brdtekstinnrykk2Tegn">
    <w:name w:val="Brødtekstinnrykk 2 Tegn"/>
    <w:basedOn w:val="Standardskriftforavsnitt"/>
    <w:link w:val="Brdtekstinnrykk2"/>
    <w:uiPriority w:val="99"/>
    <w:semiHidden/>
    <w:rsid w:val="006C194E"/>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6C194E"/>
    <w:pPr>
      <w:ind w:left="283"/>
    </w:pPr>
    <w:rPr>
      <w:sz w:val="16"/>
      <w:szCs w:val="16"/>
    </w:rPr>
  </w:style>
  <w:style w:type="character" w:customStyle="1" w:styleId="Brdtekstinnrykk3Tegn">
    <w:name w:val="Brødtekstinnrykk 3 Tegn"/>
    <w:basedOn w:val="Standardskriftforavsnitt"/>
    <w:link w:val="Brdtekstinnrykk3"/>
    <w:uiPriority w:val="99"/>
    <w:semiHidden/>
    <w:rsid w:val="006C194E"/>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6C194E"/>
    <w:pPr>
      <w:numPr>
        <w:numId w:val="0"/>
      </w:numPr>
    </w:pPr>
  </w:style>
  <w:style w:type="paragraph" w:customStyle="1" w:styleId="TrykkeriMerknad">
    <w:name w:val="TrykkeriMerknad"/>
    <w:basedOn w:val="Normal"/>
    <w:qFormat/>
    <w:rsid w:val="006C194E"/>
    <w:pPr>
      <w:spacing w:before="60"/>
    </w:pPr>
    <w:rPr>
      <w:rFonts w:ascii="Arial" w:hAnsi="Arial"/>
      <w:color w:val="BF4E14" w:themeColor="accent2" w:themeShade="BF"/>
      <w:sz w:val="26"/>
    </w:rPr>
  </w:style>
  <w:style w:type="paragraph" w:customStyle="1" w:styleId="ForfatterMerknad">
    <w:name w:val="ForfatterMerknad"/>
    <w:basedOn w:val="TrykkeriMerknad"/>
    <w:qFormat/>
    <w:rsid w:val="006C194E"/>
    <w:pPr>
      <w:shd w:val="clear" w:color="auto" w:fill="FFFF99"/>
      <w:spacing w:line="240" w:lineRule="auto"/>
    </w:pPr>
    <w:rPr>
      <w:color w:val="80340D" w:themeColor="accent2" w:themeShade="80"/>
    </w:rPr>
  </w:style>
  <w:style w:type="paragraph" w:customStyle="1" w:styleId="tblRad">
    <w:name w:val="tblRad"/>
    <w:rsid w:val="006C194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C194E"/>
  </w:style>
  <w:style w:type="paragraph" w:customStyle="1" w:styleId="tbl2LinjeSumBold">
    <w:name w:val="tbl2LinjeSumBold"/>
    <w:basedOn w:val="tblRad"/>
    <w:rsid w:val="006C194E"/>
  </w:style>
  <w:style w:type="paragraph" w:customStyle="1" w:styleId="tblDelsum1">
    <w:name w:val="tblDelsum1"/>
    <w:basedOn w:val="tblRad"/>
    <w:rsid w:val="006C194E"/>
  </w:style>
  <w:style w:type="paragraph" w:customStyle="1" w:styleId="tblDelsum1-Kapittel">
    <w:name w:val="tblDelsum1 - Kapittel"/>
    <w:basedOn w:val="tblDelsum1"/>
    <w:rsid w:val="006C194E"/>
    <w:pPr>
      <w:keepNext w:val="0"/>
    </w:pPr>
  </w:style>
  <w:style w:type="paragraph" w:customStyle="1" w:styleId="tblDelsum2">
    <w:name w:val="tblDelsum2"/>
    <w:basedOn w:val="tblRad"/>
    <w:rsid w:val="006C194E"/>
  </w:style>
  <w:style w:type="paragraph" w:customStyle="1" w:styleId="tblDelsum2-Kapittel">
    <w:name w:val="tblDelsum2 - Kapittel"/>
    <w:basedOn w:val="tblDelsum2"/>
    <w:rsid w:val="006C194E"/>
    <w:pPr>
      <w:keepNext w:val="0"/>
    </w:pPr>
  </w:style>
  <w:style w:type="paragraph" w:customStyle="1" w:styleId="tblTabelloverskrift">
    <w:name w:val="tblTabelloverskrift"/>
    <w:rsid w:val="006C194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C194E"/>
    <w:pPr>
      <w:spacing w:after="0"/>
      <w:jc w:val="right"/>
    </w:pPr>
    <w:rPr>
      <w:b w:val="0"/>
      <w:caps w:val="0"/>
      <w:sz w:val="16"/>
    </w:rPr>
  </w:style>
  <w:style w:type="paragraph" w:customStyle="1" w:styleId="tblKategoriOverskrift">
    <w:name w:val="tblKategoriOverskrift"/>
    <w:basedOn w:val="tblRad"/>
    <w:rsid w:val="006C194E"/>
    <w:pPr>
      <w:spacing w:before="120"/>
    </w:pPr>
  </w:style>
  <w:style w:type="paragraph" w:customStyle="1" w:styleId="tblKolonneoverskrift">
    <w:name w:val="tblKolonneoverskrift"/>
    <w:basedOn w:val="Normal"/>
    <w:rsid w:val="006C194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C194E"/>
    <w:pPr>
      <w:spacing w:after="360"/>
      <w:jc w:val="center"/>
    </w:pPr>
    <w:rPr>
      <w:b w:val="0"/>
      <w:caps w:val="0"/>
    </w:rPr>
  </w:style>
  <w:style w:type="paragraph" w:customStyle="1" w:styleId="tblKolonneoverskrift-Vedtak">
    <w:name w:val="tblKolonneoverskrift - Vedtak"/>
    <w:basedOn w:val="tblTabelloverskrift-Vedtak"/>
    <w:rsid w:val="006C194E"/>
    <w:pPr>
      <w:spacing w:after="0"/>
    </w:pPr>
  </w:style>
  <w:style w:type="paragraph" w:customStyle="1" w:styleId="tblOverskrift-Vedtak">
    <w:name w:val="tblOverskrift - Vedtak"/>
    <w:basedOn w:val="tblRad"/>
    <w:rsid w:val="006C194E"/>
    <w:pPr>
      <w:spacing w:before="360"/>
      <w:jc w:val="center"/>
    </w:pPr>
  </w:style>
  <w:style w:type="paragraph" w:customStyle="1" w:styleId="tblRadBold">
    <w:name w:val="tblRadBold"/>
    <w:basedOn w:val="tblRad"/>
    <w:rsid w:val="006C194E"/>
  </w:style>
  <w:style w:type="paragraph" w:customStyle="1" w:styleId="tblRadItalic">
    <w:name w:val="tblRadItalic"/>
    <w:basedOn w:val="tblRad"/>
    <w:rsid w:val="006C194E"/>
  </w:style>
  <w:style w:type="paragraph" w:customStyle="1" w:styleId="tblRadItalicSiste">
    <w:name w:val="tblRadItalicSiste"/>
    <w:basedOn w:val="tblRadItalic"/>
    <w:rsid w:val="006C194E"/>
  </w:style>
  <w:style w:type="paragraph" w:customStyle="1" w:styleId="tblRadMedLuft">
    <w:name w:val="tblRadMedLuft"/>
    <w:basedOn w:val="tblRad"/>
    <w:rsid w:val="006C194E"/>
    <w:pPr>
      <w:spacing w:before="120"/>
    </w:pPr>
  </w:style>
  <w:style w:type="paragraph" w:customStyle="1" w:styleId="tblRadMedLuftSiste">
    <w:name w:val="tblRadMedLuftSiste"/>
    <w:basedOn w:val="tblRadMedLuft"/>
    <w:rsid w:val="006C194E"/>
    <w:pPr>
      <w:spacing w:after="120"/>
    </w:pPr>
  </w:style>
  <w:style w:type="paragraph" w:customStyle="1" w:styleId="tblRadMedLuftSiste-Vedtak">
    <w:name w:val="tblRadMedLuftSiste - Vedtak"/>
    <w:basedOn w:val="tblRadMedLuftSiste"/>
    <w:rsid w:val="006C194E"/>
    <w:pPr>
      <w:keepNext w:val="0"/>
    </w:pPr>
  </w:style>
  <w:style w:type="paragraph" w:customStyle="1" w:styleId="tblRadSiste">
    <w:name w:val="tblRadSiste"/>
    <w:basedOn w:val="tblRad"/>
    <w:rsid w:val="006C194E"/>
  </w:style>
  <w:style w:type="paragraph" w:customStyle="1" w:styleId="tblSluttsum">
    <w:name w:val="tblSluttsum"/>
    <w:basedOn w:val="tblRad"/>
    <w:rsid w:val="006C194E"/>
    <w:pPr>
      <w:spacing w:before="120"/>
    </w:pPr>
  </w:style>
  <w:style w:type="table" w:customStyle="1" w:styleId="MetadataTabell">
    <w:name w:val="MetadataTabell"/>
    <w:basedOn w:val="Rutenettabelllys"/>
    <w:uiPriority w:val="99"/>
    <w:rsid w:val="006C194E"/>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6C194E"/>
    <w:pPr>
      <w:spacing w:before="60" w:after="60"/>
    </w:pPr>
    <w:rPr>
      <w:rFonts w:ascii="Consolas" w:hAnsi="Consolas"/>
      <w:color w:val="E97132" w:themeColor="accent2"/>
      <w:sz w:val="26"/>
    </w:rPr>
  </w:style>
  <w:style w:type="table" w:styleId="Rutenettabelllys">
    <w:name w:val="Grid Table Light"/>
    <w:basedOn w:val="Vanligtabell"/>
    <w:uiPriority w:val="40"/>
    <w:rsid w:val="006C194E"/>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C194E"/>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6C194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C194E"/>
    <w:rPr>
      <w:sz w:val="24"/>
    </w:rPr>
  </w:style>
  <w:style w:type="paragraph" w:customStyle="1" w:styleId="avsnitt-tittel-tabell">
    <w:name w:val="avsnitt-tittel-tabell"/>
    <w:basedOn w:val="avsnitt-tittel"/>
    <w:qFormat/>
    <w:rsid w:val="006C194E"/>
  </w:style>
  <w:style w:type="paragraph" w:customStyle="1" w:styleId="b-budkaptit-tabell">
    <w:name w:val="b-budkaptit-tabell"/>
    <w:basedOn w:val="b-budkaptit"/>
    <w:qFormat/>
    <w:rsid w:val="006C194E"/>
  </w:style>
  <w:style w:type="character" w:styleId="Emneknagg">
    <w:name w:val="Hashtag"/>
    <w:basedOn w:val="Standardskriftforavsnitt"/>
    <w:uiPriority w:val="99"/>
    <w:semiHidden/>
    <w:unhideWhenUsed/>
    <w:rsid w:val="007C3060"/>
    <w:rPr>
      <w:color w:val="2B579A"/>
      <w:shd w:val="clear" w:color="auto" w:fill="E1DFDD"/>
    </w:rPr>
  </w:style>
  <w:style w:type="character" w:styleId="Omtale">
    <w:name w:val="Mention"/>
    <w:basedOn w:val="Standardskriftforavsnitt"/>
    <w:uiPriority w:val="99"/>
    <w:semiHidden/>
    <w:unhideWhenUsed/>
    <w:rsid w:val="007C3060"/>
    <w:rPr>
      <w:color w:val="2B579A"/>
      <w:shd w:val="clear" w:color="auto" w:fill="E1DFDD"/>
    </w:rPr>
  </w:style>
  <w:style w:type="paragraph" w:styleId="Sitat0">
    <w:name w:val="Quote"/>
    <w:basedOn w:val="Normal"/>
    <w:next w:val="Normal"/>
    <w:link w:val="SitatTegn1"/>
    <w:uiPriority w:val="29"/>
    <w:qFormat/>
    <w:rsid w:val="007C306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C3060"/>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7C3060"/>
    <w:rPr>
      <w:u w:val="dotted"/>
    </w:rPr>
  </w:style>
  <w:style w:type="character" w:styleId="Smartkobling">
    <w:name w:val="Smart Link"/>
    <w:basedOn w:val="Standardskriftforavsnitt"/>
    <w:uiPriority w:val="99"/>
    <w:semiHidden/>
    <w:unhideWhenUsed/>
    <w:rsid w:val="007C3060"/>
    <w:rPr>
      <w:color w:val="0000FF"/>
      <w:u w:val="single"/>
      <w:shd w:val="clear" w:color="auto" w:fill="F3F2F1"/>
    </w:rPr>
  </w:style>
  <w:style w:type="character" w:styleId="Ulstomtale">
    <w:name w:val="Unresolved Mention"/>
    <w:basedOn w:val="Standardskriftforavsnitt"/>
    <w:uiPriority w:val="99"/>
    <w:semiHidden/>
    <w:unhideWhenUsed/>
    <w:rsid w:val="007C3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95</TotalTime>
  <Pages>339</Pages>
  <Words>98695</Words>
  <Characters>561272</Characters>
  <Application>Microsoft Office Word</Application>
  <DocSecurity>0</DocSecurity>
  <Lines>22450</Lines>
  <Paragraphs>12221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Susann Vatnedal</cp:lastModifiedBy>
  <cp:revision>7</cp:revision>
  <dcterms:created xsi:type="dcterms:W3CDTF">2025-06-16T13:18:00Z</dcterms:created>
  <dcterms:modified xsi:type="dcterms:W3CDTF">2025-06-20T07:54:00Z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2025-06-20T07:54:26Z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7704d392-47b3-4483-ae41-511df7d161e2</vt:lpwstr>
  </property>
  <property fmtid="{D5CDD505-2E9C-101B-9397-08002B2CF9AE}" pid="8" name="MSIP_Label_b22f7043-6caf-4431-9109-8eff758a1d8b_ContentBits">
    <vt:lpwstr>0</vt:lpwstr>
  </property>
</Properties>
</file>