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30BB" w14:textId="69E44450" w:rsidR="00CB6E05" w:rsidRDefault="00CB6E05" w:rsidP="00562990">
      <w:pPr>
        <w:pStyle w:val="PublTittel"/>
        <w:rPr>
          <w:lang w:val="en-US"/>
        </w:rPr>
      </w:pPr>
      <w:r>
        <w:rPr>
          <w:lang w:val="en-US"/>
        </w:rPr>
        <w:t>Meld. St. 1 (2025–2026)</w:t>
      </w:r>
    </w:p>
    <w:p w14:paraId="0EB074AE" w14:textId="0DB2E841" w:rsidR="00CB6E05" w:rsidRDefault="00CB6E05" w:rsidP="00CB6E05">
      <w:pPr>
        <w:pStyle w:val="Undertittel"/>
        <w:rPr>
          <w:lang w:val="en-US"/>
        </w:rPr>
      </w:pPr>
      <w:r>
        <w:rPr>
          <w:lang w:val="en-US"/>
        </w:rPr>
        <w:t>Chapter 2.2, 2.3 and 3.1</w:t>
      </w:r>
    </w:p>
    <w:p w14:paraId="23095503" w14:textId="45BDD9D6" w:rsidR="00CB6E05" w:rsidRPr="00E31CDA" w:rsidRDefault="00C3040C" w:rsidP="00C3040C">
      <w:pPr>
        <w:pStyle w:val="UnOverskrift1"/>
        <w:rPr>
          <w:lang w:val="en-US"/>
        </w:rPr>
      </w:pPr>
      <w:r>
        <w:rPr>
          <w:lang w:val="en-US"/>
        </w:rPr>
        <w:t>2.</w:t>
      </w:r>
      <w:r w:rsidR="00F30389">
        <w:rPr>
          <w:lang w:val="en-US"/>
        </w:rPr>
        <w:t>2</w:t>
      </w:r>
      <w:r>
        <w:rPr>
          <w:lang w:val="en-US"/>
        </w:rPr>
        <w:tab/>
      </w:r>
      <w:r w:rsidR="00CB6E05" w:rsidRPr="00E31CDA">
        <w:rPr>
          <w:lang w:val="en-US"/>
        </w:rPr>
        <w:t>The Norwegian economic situation</w:t>
      </w:r>
    </w:p>
    <w:p w14:paraId="380F204B" w14:textId="77777777" w:rsidR="00CB6E05" w:rsidRPr="00E31CDA" w:rsidRDefault="00CB6E05" w:rsidP="00A43258">
      <w:pPr>
        <w:rPr>
          <w:lang w:val="en-US"/>
        </w:rPr>
      </w:pPr>
      <w:r w:rsidRPr="00E31CDA">
        <w:rPr>
          <w:lang w:val="en-US"/>
        </w:rPr>
        <w:t xml:space="preserve">Growth in the Norwegian economy has picked up this year, and registered unemployment has remained low. After declining considerably since the peak in 2022, consumer price inflation has been more stable over the past year. </w:t>
      </w:r>
      <w:proofErr w:type="spellStart"/>
      <w:r w:rsidRPr="00E31CDA">
        <w:rPr>
          <w:lang w:val="en-US"/>
        </w:rPr>
        <w:t>Norges</w:t>
      </w:r>
      <w:proofErr w:type="spellEnd"/>
      <w:r w:rsidRPr="00E31CDA">
        <w:rPr>
          <w:lang w:val="en-US"/>
        </w:rPr>
        <w:t xml:space="preserve"> Bank reduced the key policy rate in both June and September, and the September policy rate forecast indicates a gradual further decline in interest rates. In the period ahead, further employment growth and solid real wage growth are expected to contribute to appreciably higher growth in the Norwegian economy than it has been in the last two years. Unemployment is projected to remain close to the current level, while inflation is expected to move gradually towards the inflation target of 2 per cent.</w:t>
      </w:r>
    </w:p>
    <w:p w14:paraId="3756ACAC" w14:textId="77777777" w:rsidR="00CB6E05" w:rsidRPr="00E31CDA" w:rsidRDefault="00CB6E05" w:rsidP="001F11B9">
      <w:pPr>
        <w:pStyle w:val="avsnitt-undertittel"/>
        <w:rPr>
          <w:lang w:val="en-US"/>
        </w:rPr>
      </w:pPr>
      <w:r w:rsidRPr="00E31CDA">
        <w:rPr>
          <w:lang w:val="en-US"/>
        </w:rPr>
        <w:t>Higher private demand boosts growth in the Norwegian economy</w:t>
      </w:r>
    </w:p>
    <w:p w14:paraId="132B0AA5" w14:textId="77777777" w:rsidR="00CB6E05" w:rsidRPr="00E31CDA" w:rsidRDefault="00CB6E05" w:rsidP="00A43258">
      <w:pPr>
        <w:rPr>
          <w:lang w:val="en-US"/>
        </w:rPr>
      </w:pPr>
      <w:r w:rsidRPr="00E31CDA">
        <w:rPr>
          <w:lang w:val="en-US"/>
        </w:rPr>
        <w:t>Prospects for higher income growth are expected to result in strong growth in household consumption and contribute to an increase in housing investment from very low levels. Furthermore, higher investment in power supply is expected to boost business investment, after falling last year. On the other hand, petroleum investment, which in recent years has contributed to sustaining growth in the Norwegian economy, is projected to fall from high levels. The contribution to growth from public demand is also expected to be slightly smaller in the years ahead than in recent years</w:t>
      </w:r>
      <w:r>
        <w:rPr>
          <w:lang w:val="en-US"/>
        </w:rPr>
        <w:t>, see c</w:t>
      </w:r>
      <w:r w:rsidRPr="00E31CDA">
        <w:rPr>
          <w:lang w:val="en-US"/>
        </w:rPr>
        <w:t>hart 2.8.</w:t>
      </w:r>
    </w:p>
    <w:p w14:paraId="75440C58" w14:textId="77777777" w:rsidR="00CB6E05" w:rsidRPr="00F51511" w:rsidRDefault="00CB6E05" w:rsidP="00CB6E05">
      <w:pPr>
        <w:spacing w:after="120" w:line="276" w:lineRule="auto"/>
        <w:rPr>
          <w:rFonts w:ascii="Times New Roman" w:hAnsi="Times New Roman" w:cs="Times New Roman"/>
          <w:sz w:val="24"/>
          <w:lang w:val="en-US"/>
        </w:rPr>
      </w:pPr>
      <w:r w:rsidRPr="00F51511">
        <w:rPr>
          <w:noProof/>
          <w:lang w:val="en-US"/>
        </w:rPr>
        <w:lastRenderedPageBreak/>
        <w:t xml:space="preserve"> </w:t>
      </w:r>
      <w:r w:rsidRPr="004B7AC5">
        <w:rPr>
          <w:rFonts w:ascii="Times New Roman" w:hAnsi="Times New Roman" w:cs="Times New Roman"/>
          <w:noProof/>
          <w:sz w:val="24"/>
        </w:rPr>
        <w:drawing>
          <wp:inline distT="0" distB="0" distL="0" distR="0" wp14:anchorId="79E2B32F" wp14:editId="090110DB">
            <wp:extent cx="2218297" cy="2466975"/>
            <wp:effectExtent l="0" t="0" r="0" b="0"/>
            <wp:docPr id="616350831" name="Bilde 1" descr="Chart 2.8 Development in mainland GDP by demand component.1 Growth in per cent and contribution to growth in percentage points. 2024–2027. Projections for 2025–2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50831" name="Bilde 1" descr="Chart 2.8 Development in mainland GDP by demand component.1 Growth in per cent and contribution to growth in percentage points. 2024–2027. Projections for 2025–2027&#10;"/>
                    <pic:cNvPicPr/>
                  </pic:nvPicPr>
                  <pic:blipFill>
                    <a:blip r:embed="rId7"/>
                    <a:stretch>
                      <a:fillRect/>
                    </a:stretch>
                  </pic:blipFill>
                  <pic:spPr>
                    <a:xfrm>
                      <a:off x="0" y="0"/>
                      <a:ext cx="2233080" cy="2483415"/>
                    </a:xfrm>
                    <a:prstGeom prst="rect">
                      <a:avLst/>
                    </a:prstGeom>
                  </pic:spPr>
                </pic:pic>
              </a:graphicData>
            </a:graphic>
          </wp:inline>
        </w:drawing>
      </w:r>
    </w:p>
    <w:p w14:paraId="4E9A72D8" w14:textId="77777777" w:rsidR="00CB6E05" w:rsidRPr="00E31CDA" w:rsidRDefault="00CB6E05" w:rsidP="00C3040C">
      <w:pPr>
        <w:pStyle w:val="avsnitt-tittel"/>
        <w:rPr>
          <w:lang w:val="en-US"/>
        </w:rPr>
      </w:pPr>
      <w:r>
        <w:rPr>
          <w:lang w:val="en-US"/>
        </w:rPr>
        <w:t xml:space="preserve">Chart 2.8 </w:t>
      </w:r>
      <w:r w:rsidRPr="00E31CDA">
        <w:rPr>
          <w:lang w:val="en-US"/>
        </w:rPr>
        <w:t>Development in mainland GDP by demand component.</w:t>
      </w:r>
      <w:r w:rsidRPr="00E31CDA">
        <w:rPr>
          <w:sz w:val="20"/>
          <w:vertAlign w:val="superscript"/>
          <w:lang w:val="en-US"/>
        </w:rPr>
        <w:t>1</w:t>
      </w:r>
      <w:r w:rsidRPr="00E31CDA">
        <w:rPr>
          <w:lang w:val="en-US"/>
        </w:rPr>
        <w:t xml:space="preserve"> Growth in per cent and contribution to growth in percentage points. 2024–2027. Projections for 2025–2027</w:t>
      </w:r>
    </w:p>
    <w:p w14:paraId="1634B172" w14:textId="77777777" w:rsidR="00CB6E05" w:rsidRPr="00E31CDA" w:rsidRDefault="00CB6E05" w:rsidP="0019728F">
      <w:pPr>
        <w:pStyle w:val="Note"/>
        <w:rPr>
          <w:vertAlign w:val="superscript"/>
          <w:lang w:val="en-US"/>
        </w:rPr>
      </w:pPr>
      <w:r w:rsidRPr="00E31CDA">
        <w:rPr>
          <w:vertAlign w:val="superscript"/>
          <w:lang w:val="en-US"/>
        </w:rPr>
        <w:t>1</w:t>
      </w:r>
      <w:r w:rsidRPr="00E31CDA">
        <w:rPr>
          <w:lang w:val="en-US"/>
        </w:rPr>
        <w:tab/>
        <w:t>Petroleum activities and ocean transport describe the demand from these industries towards the mainland.</w:t>
      </w:r>
    </w:p>
    <w:p w14:paraId="7E88283E" w14:textId="77777777" w:rsidR="00CB6E05" w:rsidRPr="00E31CDA" w:rsidRDefault="00CB6E05" w:rsidP="0019728F">
      <w:pPr>
        <w:pStyle w:val="Note"/>
        <w:rPr>
          <w:vertAlign w:val="superscript"/>
          <w:lang w:val="en-US"/>
        </w:rPr>
      </w:pPr>
      <w:r w:rsidRPr="00E31CDA">
        <w:rPr>
          <w:vertAlign w:val="superscript"/>
          <w:lang w:val="en-US"/>
        </w:rPr>
        <w:t>2</w:t>
      </w:r>
      <w:r w:rsidRPr="00E31CDA">
        <w:rPr>
          <w:lang w:val="en-US"/>
        </w:rPr>
        <w:tab/>
        <w:t>Inventory changes and other statistical discrepancies.</w:t>
      </w:r>
    </w:p>
    <w:p w14:paraId="487CDDD1" w14:textId="77777777" w:rsidR="00CB6E05" w:rsidRPr="00E31CDA" w:rsidRDefault="00CB6E05" w:rsidP="0019728F">
      <w:pPr>
        <w:pStyle w:val="Kilde"/>
        <w:rPr>
          <w:lang w:val="en-US"/>
        </w:rPr>
      </w:pPr>
      <w:r w:rsidRPr="00E31CDA">
        <w:rPr>
          <w:lang w:val="en-US"/>
        </w:rPr>
        <w:t>Sources: Statistics Norway and Ministry of Finance.</w:t>
      </w:r>
    </w:p>
    <w:p w14:paraId="7956682C" w14:textId="77777777" w:rsidR="00CB6E05" w:rsidRPr="00E31CDA" w:rsidRDefault="00CB6E05" w:rsidP="00A43258">
      <w:pPr>
        <w:rPr>
          <w:lang w:val="en-US"/>
        </w:rPr>
      </w:pPr>
      <w:r w:rsidRPr="00E31CDA">
        <w:rPr>
          <w:lang w:val="en-US"/>
        </w:rPr>
        <w:t xml:space="preserve">So far, the major upheavals in international trade policy appear to have had little impact on the willingness to invest in Norwegian business and industry and household </w:t>
      </w:r>
      <w:proofErr w:type="spellStart"/>
      <w:r w:rsidRPr="00E31CDA">
        <w:rPr>
          <w:lang w:val="en-US"/>
        </w:rPr>
        <w:t>behaviour</w:t>
      </w:r>
      <w:proofErr w:type="spellEnd"/>
      <w:r w:rsidRPr="00E31CDA">
        <w:rPr>
          <w:lang w:val="en-US"/>
        </w:rPr>
        <w:t>. Through summer, the conditions for international trade have also bec</w:t>
      </w:r>
      <w:r>
        <w:rPr>
          <w:lang w:val="en-US"/>
        </w:rPr>
        <w:t>ome</w:t>
      </w:r>
      <w:r w:rsidRPr="00E31CDA">
        <w:rPr>
          <w:lang w:val="en-US"/>
        </w:rPr>
        <w:t xml:space="preserve"> somewhat more clarified. Until further notice, Norwegian exports to the US are subject to additional tariffs of 15 percent. Since goods exports to the US are relatively small (see further discussion in </w:t>
      </w:r>
      <w:r>
        <w:rPr>
          <w:lang w:val="en-US"/>
        </w:rPr>
        <w:t>b</w:t>
      </w:r>
      <w:r w:rsidRPr="00E31CDA">
        <w:rPr>
          <w:lang w:val="en-US"/>
        </w:rPr>
        <w:t>ox 2.4), the effects of higher trade barriers to the US are expected to occur primarily through weaker growth abroad. So far this year, exports from the mainland have been markedly higher than in the same period last year.</w:t>
      </w:r>
    </w:p>
    <w:p w14:paraId="02E76A9B" w14:textId="77777777" w:rsidR="00CB6E05" w:rsidRPr="00E31CDA" w:rsidRDefault="00CB6E05" w:rsidP="001F11B9">
      <w:pPr>
        <w:pStyle w:val="avsnitt-undertittel"/>
        <w:rPr>
          <w:lang w:val="en-US"/>
        </w:rPr>
      </w:pPr>
      <w:r w:rsidRPr="00E31CDA">
        <w:rPr>
          <w:lang w:val="en-US"/>
        </w:rPr>
        <w:t xml:space="preserve">Capacity </w:t>
      </w:r>
      <w:proofErr w:type="spellStart"/>
      <w:r w:rsidRPr="00E31CDA">
        <w:rPr>
          <w:lang w:val="en-US"/>
        </w:rPr>
        <w:t>utilisation</w:t>
      </w:r>
      <w:proofErr w:type="spellEnd"/>
      <w:r w:rsidRPr="00E31CDA">
        <w:rPr>
          <w:lang w:val="en-US"/>
        </w:rPr>
        <w:t xml:space="preserve"> is close to normal</w:t>
      </w:r>
    </w:p>
    <w:p w14:paraId="02F17149" w14:textId="77777777" w:rsidR="00CB6E05" w:rsidRPr="00E31CDA" w:rsidRDefault="00CB6E05" w:rsidP="00A43258">
      <w:pPr>
        <w:rPr>
          <w:lang w:val="en-US"/>
        </w:rPr>
      </w:pPr>
      <w:r w:rsidRPr="00E31CDA">
        <w:rPr>
          <w:lang w:val="en-US"/>
        </w:rPr>
        <w:t xml:space="preserve">Weak growth over the past two years has caused capacity </w:t>
      </w:r>
      <w:proofErr w:type="spellStart"/>
      <w:r w:rsidRPr="00E31CDA">
        <w:rPr>
          <w:lang w:val="en-US"/>
        </w:rPr>
        <w:t>utilisation</w:t>
      </w:r>
      <w:proofErr w:type="spellEnd"/>
      <w:r w:rsidRPr="00E31CDA">
        <w:rPr>
          <w:lang w:val="en-US"/>
        </w:rPr>
        <w:t xml:space="preserve"> in the Norwegian economy to decline after the cyclical peak in 2022. Capacity </w:t>
      </w:r>
      <w:proofErr w:type="spellStart"/>
      <w:r w:rsidRPr="00E31CDA">
        <w:rPr>
          <w:lang w:val="en-US"/>
        </w:rPr>
        <w:t>utilisation</w:t>
      </w:r>
      <w:proofErr w:type="spellEnd"/>
      <w:r w:rsidRPr="00E31CDA">
        <w:rPr>
          <w:lang w:val="en-US"/>
        </w:rPr>
        <w:t xml:space="preserve"> refers to how much of the total resources in the economy are </w:t>
      </w:r>
      <w:proofErr w:type="spellStart"/>
      <w:r w:rsidRPr="00E31CDA">
        <w:rPr>
          <w:lang w:val="en-US"/>
        </w:rPr>
        <w:t>utilised</w:t>
      </w:r>
      <w:proofErr w:type="spellEnd"/>
      <w:r w:rsidRPr="00E31CDA">
        <w:rPr>
          <w:lang w:val="en-US"/>
        </w:rPr>
        <w:t xml:space="preserve">. Capacity </w:t>
      </w:r>
      <w:proofErr w:type="spellStart"/>
      <w:r w:rsidRPr="00E31CDA">
        <w:rPr>
          <w:lang w:val="en-US"/>
        </w:rPr>
        <w:t>utilisation</w:t>
      </w:r>
      <w:proofErr w:type="spellEnd"/>
      <w:r w:rsidRPr="00E31CDA">
        <w:rPr>
          <w:lang w:val="en-US"/>
        </w:rPr>
        <w:t xml:space="preserve"> is assessed </w:t>
      </w:r>
      <w:proofErr w:type="gramStart"/>
      <w:r w:rsidRPr="00E31CDA">
        <w:rPr>
          <w:lang w:val="en-US"/>
        </w:rPr>
        <w:t>on the basis of</w:t>
      </w:r>
      <w:proofErr w:type="gramEnd"/>
      <w:r w:rsidRPr="00E31CDA">
        <w:rPr>
          <w:lang w:val="en-US"/>
        </w:rPr>
        <w:t xml:space="preserve">, </w:t>
      </w:r>
      <w:r>
        <w:rPr>
          <w:lang w:val="en-US"/>
        </w:rPr>
        <w:t>among other things</w:t>
      </w:r>
      <w:r w:rsidRPr="00E31CDA">
        <w:rPr>
          <w:lang w:val="en-US"/>
        </w:rPr>
        <w:t xml:space="preserve">, developments in the </w:t>
      </w:r>
      <w:proofErr w:type="spellStart"/>
      <w:r w:rsidRPr="00E31CDA">
        <w:rPr>
          <w:lang w:val="en-US"/>
        </w:rPr>
        <w:t>labour</w:t>
      </w:r>
      <w:proofErr w:type="spellEnd"/>
      <w:r w:rsidRPr="00E31CDA">
        <w:rPr>
          <w:lang w:val="en-US"/>
        </w:rPr>
        <w:t xml:space="preserve"> market, output and </w:t>
      </w:r>
      <w:r w:rsidRPr="00E31CDA">
        <w:rPr>
          <w:lang w:val="en-US"/>
        </w:rPr>
        <w:lastRenderedPageBreak/>
        <w:t xml:space="preserve">prices. These are </w:t>
      </w:r>
      <w:proofErr w:type="spellStart"/>
      <w:r w:rsidRPr="00E31CDA">
        <w:rPr>
          <w:lang w:val="en-US"/>
        </w:rPr>
        <w:t>summarised</w:t>
      </w:r>
      <w:proofErr w:type="spellEnd"/>
      <w:r w:rsidRPr="00E31CDA">
        <w:rPr>
          <w:lang w:val="en-US"/>
        </w:rPr>
        <w:t xml:space="preserve"> in </w:t>
      </w:r>
      <w:r>
        <w:rPr>
          <w:lang w:val="en-US"/>
        </w:rPr>
        <w:t>chart</w:t>
      </w:r>
      <w:r w:rsidRPr="00E31CDA">
        <w:rPr>
          <w:lang w:val="en-US"/>
        </w:rPr>
        <w:t xml:space="preserve"> 2.9. Here, low growth and declining capacity </w:t>
      </w:r>
      <w:proofErr w:type="spellStart"/>
      <w:r w:rsidRPr="00E31CDA">
        <w:rPr>
          <w:lang w:val="en-US"/>
        </w:rPr>
        <w:t>utilisation</w:t>
      </w:r>
      <w:proofErr w:type="spellEnd"/>
      <w:r w:rsidRPr="00E31CDA">
        <w:rPr>
          <w:lang w:val="en-US"/>
        </w:rPr>
        <w:t xml:space="preserve"> in recent years are reflected in cooler </w:t>
      </w:r>
      <w:proofErr w:type="spellStart"/>
      <w:r w:rsidRPr="00E31CDA">
        <w:rPr>
          <w:lang w:val="en-US"/>
        </w:rPr>
        <w:t>colours</w:t>
      </w:r>
      <w:proofErr w:type="spellEnd"/>
      <w:r w:rsidRPr="00E31CDA">
        <w:rPr>
          <w:lang w:val="en-US"/>
        </w:rPr>
        <w:t xml:space="preserve"> in the chart. Several of the indicators are close to their historical average values, while both wage and price inflation are still higher. An overall assessment of the indicators indicates that the cyclical situation over the past year has been close to normal. Growth in the Norwegian economy is expected to pick up ahead, primarily </w:t>
      </w:r>
      <w:proofErr w:type="gramStart"/>
      <w:r w:rsidRPr="00E31CDA">
        <w:rPr>
          <w:lang w:val="en-US"/>
        </w:rPr>
        <w:t>as a result of</w:t>
      </w:r>
      <w:proofErr w:type="gramEnd"/>
      <w:r w:rsidRPr="00E31CDA">
        <w:rPr>
          <w:lang w:val="en-US"/>
        </w:rPr>
        <w:t xml:space="preserve"> a stronger rise in household demand. The projections in this report imply that growth in mainland GDP Norway will increase from 0.6 per cent last year to 2.0 per cent this year and 2.1 per cent next year</w:t>
      </w:r>
      <w:r>
        <w:rPr>
          <w:lang w:val="en-US"/>
        </w:rPr>
        <w:t>, see c</w:t>
      </w:r>
      <w:r w:rsidRPr="00E31CDA">
        <w:rPr>
          <w:lang w:val="en-US"/>
        </w:rPr>
        <w:t>hart 2.8. This is slightly stronger than projected trend growth in the economy and implies a mild cyclical upturn.</w:t>
      </w:r>
    </w:p>
    <w:p w14:paraId="56641380" w14:textId="77777777" w:rsidR="00CB6E05" w:rsidRPr="00BA3885" w:rsidRDefault="00CB6E05" w:rsidP="00CB6E05">
      <w:pPr>
        <w:spacing w:after="120" w:line="276" w:lineRule="auto"/>
        <w:rPr>
          <w:rFonts w:ascii="Times New Roman" w:hAnsi="Times New Roman" w:cs="Times New Roman"/>
          <w:sz w:val="24"/>
        </w:rPr>
      </w:pPr>
      <w:r>
        <w:rPr>
          <w:rFonts w:ascii="Times New Roman" w:hAnsi="Times New Roman" w:cs="Times New Roman"/>
          <w:noProof/>
          <w:sz w:val="24"/>
        </w:rPr>
        <w:drawing>
          <wp:inline distT="0" distB="0" distL="0" distR="0" wp14:anchorId="08F061ED" wp14:editId="00F2B43D">
            <wp:extent cx="5760720" cy="2585085"/>
            <wp:effectExtent l="0" t="0" r="0" b="5715"/>
            <wp:docPr id="1856004636" name="Bilde 1" descr="Chart 2.9 Selected indicators of capacity utilisation in the Norwegian economy1. First quarter 2005– second quarter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04636" name="Bilde 1" descr="Chart 2.9 Selected indicators of capacity utilisation in the Norwegian economy1. First quarter 2005– second quarter 2025&#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585085"/>
                    </a:xfrm>
                    <a:prstGeom prst="rect">
                      <a:avLst/>
                    </a:prstGeom>
                  </pic:spPr>
                </pic:pic>
              </a:graphicData>
            </a:graphic>
          </wp:inline>
        </w:drawing>
      </w:r>
    </w:p>
    <w:p w14:paraId="584D00E3" w14:textId="77777777" w:rsidR="00CB6E05" w:rsidRPr="00E31CDA" w:rsidRDefault="00CB6E05" w:rsidP="0019728F">
      <w:pPr>
        <w:pStyle w:val="avsnitt-tittel"/>
        <w:rPr>
          <w:lang w:val="en-US"/>
        </w:rPr>
      </w:pPr>
      <w:r>
        <w:rPr>
          <w:lang w:val="en-US"/>
        </w:rPr>
        <w:t xml:space="preserve">Chart 2.9 </w:t>
      </w:r>
      <w:r w:rsidRPr="00E31CDA">
        <w:rPr>
          <w:lang w:val="en-US"/>
        </w:rPr>
        <w:t xml:space="preserve">Selected indicators of capacity </w:t>
      </w:r>
      <w:proofErr w:type="spellStart"/>
      <w:r w:rsidRPr="00E31CDA">
        <w:rPr>
          <w:lang w:val="en-US"/>
        </w:rPr>
        <w:t>utilisation</w:t>
      </w:r>
      <w:proofErr w:type="spellEnd"/>
      <w:r w:rsidRPr="00E31CDA">
        <w:rPr>
          <w:lang w:val="en-US"/>
        </w:rPr>
        <w:t xml:space="preserve"> in the Norwegian economy</w:t>
      </w:r>
      <w:r w:rsidRPr="00CB3C58">
        <w:rPr>
          <w:vertAlign w:val="superscript"/>
          <w:lang w:val="en-US"/>
        </w:rPr>
        <w:t>1</w:t>
      </w:r>
      <w:r w:rsidRPr="00E31CDA">
        <w:rPr>
          <w:lang w:val="en-US"/>
        </w:rPr>
        <w:t xml:space="preserve">. </w:t>
      </w:r>
      <w:r>
        <w:rPr>
          <w:lang w:val="en-US"/>
        </w:rPr>
        <w:t>First quarter</w:t>
      </w:r>
      <w:r w:rsidRPr="00E31CDA">
        <w:rPr>
          <w:lang w:val="en-US"/>
        </w:rPr>
        <w:t xml:space="preserve"> 2005–</w:t>
      </w:r>
      <w:r>
        <w:rPr>
          <w:lang w:val="en-US"/>
        </w:rPr>
        <w:t xml:space="preserve"> second quarter</w:t>
      </w:r>
      <w:r w:rsidRPr="00E31CDA">
        <w:rPr>
          <w:lang w:val="en-US"/>
        </w:rPr>
        <w:t xml:space="preserve"> 2025</w:t>
      </w:r>
    </w:p>
    <w:p w14:paraId="1D27D9F6" w14:textId="77777777" w:rsidR="00CB6E05" w:rsidRPr="00E31CDA" w:rsidRDefault="00CB6E05" w:rsidP="0019728F">
      <w:pPr>
        <w:pStyle w:val="Note"/>
        <w:rPr>
          <w:vertAlign w:val="superscript"/>
          <w:lang w:val="en-US"/>
        </w:rPr>
      </w:pPr>
      <w:r w:rsidRPr="00E31CDA">
        <w:rPr>
          <w:vertAlign w:val="superscript"/>
          <w:lang w:val="en-US"/>
        </w:rPr>
        <w:t>1</w:t>
      </w:r>
      <w:r w:rsidRPr="00E31CDA">
        <w:rPr>
          <w:lang w:val="en-US"/>
        </w:rPr>
        <w:tab/>
        <w:t xml:space="preserve">Red </w:t>
      </w:r>
      <w:proofErr w:type="spellStart"/>
      <w:r w:rsidRPr="00E31CDA">
        <w:rPr>
          <w:lang w:val="en-US"/>
        </w:rPr>
        <w:t>colours</w:t>
      </w:r>
      <w:proofErr w:type="spellEnd"/>
      <w:r w:rsidRPr="00E31CDA">
        <w:rPr>
          <w:lang w:val="en-US"/>
        </w:rPr>
        <w:t xml:space="preserve"> are a sign of a boom with pressures in the economy, while blue </w:t>
      </w:r>
      <w:proofErr w:type="spellStart"/>
      <w:r w:rsidRPr="00E31CDA">
        <w:rPr>
          <w:lang w:val="en-US"/>
        </w:rPr>
        <w:t>colours</w:t>
      </w:r>
      <w:proofErr w:type="spellEnd"/>
      <w:r w:rsidRPr="00E31CDA">
        <w:rPr>
          <w:lang w:val="en-US"/>
        </w:rPr>
        <w:t xml:space="preserve"> are a sign of recession and spare capacity. The </w:t>
      </w:r>
      <w:proofErr w:type="spellStart"/>
      <w:r w:rsidRPr="00E31CDA">
        <w:rPr>
          <w:lang w:val="en-US"/>
        </w:rPr>
        <w:t>colour</w:t>
      </w:r>
      <w:proofErr w:type="spellEnd"/>
      <w:r w:rsidRPr="00E31CDA">
        <w:rPr>
          <w:lang w:val="en-US"/>
        </w:rPr>
        <w:t xml:space="preserve"> scale reflects how large the gap, or deviation from the average, is. The darkest </w:t>
      </w:r>
      <w:proofErr w:type="spellStart"/>
      <w:r w:rsidRPr="00E31CDA">
        <w:rPr>
          <w:lang w:val="en-US"/>
        </w:rPr>
        <w:t>colours</w:t>
      </w:r>
      <w:proofErr w:type="spellEnd"/>
      <w:r w:rsidRPr="00E31CDA">
        <w:rPr>
          <w:lang w:val="en-US"/>
        </w:rPr>
        <w:t xml:space="preserve"> represent the third of the observations with the largest positive and negative deviation. The indicators are measured as the deviation from the average in the period shown in the figure, with observations from the pandemic years 2020 and 2021 removed from the projection. The exceptions are inflation, which is measured as a deviation from the inflation target, and GDP, which is measured as a deviation from a simple trend. The trend is estimated using the Hodrick-Prescott filter, where the smoothing parameter is set at 40,000, but </w:t>
      </w:r>
      <w:r w:rsidRPr="00E31CDA">
        <w:rPr>
          <w:lang w:val="en-US"/>
        </w:rPr>
        <w:lastRenderedPageBreak/>
        <w:t>has not been adjusted for the abnormally low activity development through the pandemic.</w:t>
      </w:r>
    </w:p>
    <w:p w14:paraId="1CE16F83" w14:textId="77777777" w:rsidR="00CB6E05" w:rsidRPr="00E31CDA" w:rsidRDefault="00CB6E05" w:rsidP="0019728F">
      <w:pPr>
        <w:pStyle w:val="Note"/>
        <w:rPr>
          <w:vertAlign w:val="superscript"/>
          <w:lang w:val="en-US"/>
        </w:rPr>
      </w:pPr>
      <w:r w:rsidRPr="00E31CDA">
        <w:rPr>
          <w:vertAlign w:val="superscript"/>
          <w:lang w:val="en-US"/>
        </w:rPr>
        <w:t>2</w:t>
      </w:r>
      <w:r w:rsidRPr="00E31CDA">
        <w:rPr>
          <w:lang w:val="en-US"/>
        </w:rPr>
        <w:tab/>
        <w:t>Capacity constraints refer to the share of the contact</w:t>
      </w:r>
      <w:r>
        <w:rPr>
          <w:lang w:val="en-US"/>
        </w:rPr>
        <w:t>s</w:t>
      </w:r>
      <w:r w:rsidRPr="00E31CDA">
        <w:rPr>
          <w:lang w:val="en-US"/>
        </w:rPr>
        <w:t xml:space="preserve"> in </w:t>
      </w:r>
      <w:proofErr w:type="spellStart"/>
      <w:r w:rsidRPr="00E31CDA">
        <w:rPr>
          <w:lang w:val="en-US"/>
        </w:rPr>
        <w:t>Norges</w:t>
      </w:r>
      <w:proofErr w:type="spellEnd"/>
      <w:r w:rsidRPr="00E31CDA">
        <w:rPr>
          <w:lang w:val="en-US"/>
        </w:rPr>
        <w:t xml:space="preserve"> Bank's regional network that will have either some or considerable problems in increasing production/sales without investing additional resources.</w:t>
      </w:r>
    </w:p>
    <w:p w14:paraId="0F7FB076" w14:textId="77777777" w:rsidR="00CB6E05" w:rsidRPr="00E31CDA" w:rsidRDefault="00CB6E05" w:rsidP="0019728F">
      <w:pPr>
        <w:pStyle w:val="Note"/>
        <w:rPr>
          <w:vertAlign w:val="superscript"/>
          <w:lang w:val="en-US"/>
        </w:rPr>
      </w:pPr>
      <w:r w:rsidRPr="00E31CDA">
        <w:rPr>
          <w:vertAlign w:val="superscript"/>
          <w:lang w:val="en-US"/>
        </w:rPr>
        <w:t>3</w:t>
      </w:r>
      <w:r w:rsidRPr="00E31CDA">
        <w:rPr>
          <w:lang w:val="en-US"/>
        </w:rPr>
        <w:tab/>
      </w:r>
      <w:proofErr w:type="spellStart"/>
      <w:r w:rsidRPr="00E31CDA">
        <w:rPr>
          <w:lang w:val="en-US"/>
        </w:rPr>
        <w:t>Labour</w:t>
      </w:r>
      <w:proofErr w:type="spellEnd"/>
      <w:r w:rsidRPr="00E31CDA">
        <w:rPr>
          <w:lang w:val="en-US"/>
        </w:rPr>
        <w:t xml:space="preserve"> shortages refer to the share of the contact</w:t>
      </w:r>
      <w:r>
        <w:rPr>
          <w:lang w:val="en-US"/>
        </w:rPr>
        <w:t xml:space="preserve">s </w:t>
      </w:r>
      <w:r w:rsidRPr="00E31CDA">
        <w:rPr>
          <w:lang w:val="en-US"/>
        </w:rPr>
        <w:t xml:space="preserve">in </w:t>
      </w:r>
      <w:proofErr w:type="spellStart"/>
      <w:r w:rsidRPr="00E31CDA">
        <w:rPr>
          <w:lang w:val="en-US"/>
        </w:rPr>
        <w:t>Norges</w:t>
      </w:r>
      <w:proofErr w:type="spellEnd"/>
      <w:r w:rsidRPr="00E31CDA">
        <w:rPr>
          <w:lang w:val="en-US"/>
        </w:rPr>
        <w:t xml:space="preserve"> Bank's regional network reporting that </w:t>
      </w:r>
      <w:proofErr w:type="spellStart"/>
      <w:r w:rsidRPr="00E31CDA">
        <w:rPr>
          <w:lang w:val="en-US"/>
        </w:rPr>
        <w:t>labour</w:t>
      </w:r>
      <w:proofErr w:type="spellEnd"/>
      <w:r w:rsidRPr="00E31CDA">
        <w:rPr>
          <w:lang w:val="en-US"/>
        </w:rPr>
        <w:t xml:space="preserve"> shortages are curtailing production/sales.</w:t>
      </w:r>
    </w:p>
    <w:p w14:paraId="30A1575D" w14:textId="77777777" w:rsidR="00CB6E05" w:rsidRPr="00E31CDA" w:rsidRDefault="00CB6E05" w:rsidP="0019728F">
      <w:pPr>
        <w:pStyle w:val="Kilde"/>
        <w:rPr>
          <w:lang w:val="en-US"/>
        </w:rPr>
      </w:pPr>
      <w:r w:rsidRPr="00E31CDA">
        <w:rPr>
          <w:lang w:val="en-US"/>
        </w:rPr>
        <w:t xml:space="preserve">Sources: </w:t>
      </w:r>
      <w:proofErr w:type="spellStart"/>
      <w:r w:rsidRPr="00E31CDA">
        <w:rPr>
          <w:lang w:val="en-US"/>
        </w:rPr>
        <w:t>Norges</w:t>
      </w:r>
      <w:proofErr w:type="spellEnd"/>
      <w:r w:rsidRPr="00E31CDA">
        <w:rPr>
          <w:lang w:val="en-US"/>
        </w:rPr>
        <w:t xml:space="preserve"> Bank, Statistics Norway, Norwegian </w:t>
      </w:r>
      <w:proofErr w:type="spellStart"/>
      <w:r w:rsidRPr="00E31CDA">
        <w:rPr>
          <w:lang w:val="en-US"/>
        </w:rPr>
        <w:t>Labour</w:t>
      </w:r>
      <w:proofErr w:type="spellEnd"/>
      <w:r w:rsidRPr="00E31CDA">
        <w:rPr>
          <w:lang w:val="en-US"/>
        </w:rPr>
        <w:t xml:space="preserve"> and Welfare Administration and the Ministry of Finance.</w:t>
      </w:r>
    </w:p>
    <w:p w14:paraId="38A162FA" w14:textId="77777777" w:rsidR="00CB6E05" w:rsidRPr="00E31CDA" w:rsidRDefault="00CB6E05" w:rsidP="001F11B9">
      <w:pPr>
        <w:pStyle w:val="avsnitt-undertittel"/>
        <w:rPr>
          <w:lang w:val="en-US"/>
        </w:rPr>
      </w:pPr>
      <w:r w:rsidRPr="00E31CDA">
        <w:rPr>
          <w:lang w:val="en-US"/>
        </w:rPr>
        <w:t xml:space="preserve">High demand for </w:t>
      </w:r>
      <w:proofErr w:type="spellStart"/>
      <w:r w:rsidRPr="00E31CDA">
        <w:rPr>
          <w:lang w:val="en-US"/>
        </w:rPr>
        <w:t>labour</w:t>
      </w:r>
      <w:proofErr w:type="spellEnd"/>
    </w:p>
    <w:p w14:paraId="225EE2A5" w14:textId="77777777" w:rsidR="00CB6E05" w:rsidRPr="00E31CDA" w:rsidRDefault="00CB6E05" w:rsidP="00A43258">
      <w:pPr>
        <w:rPr>
          <w:lang w:val="en-US"/>
        </w:rPr>
      </w:pPr>
      <w:r w:rsidRPr="00E31CDA">
        <w:rPr>
          <w:lang w:val="en-US"/>
        </w:rPr>
        <w:t xml:space="preserve">Demand for </w:t>
      </w:r>
      <w:proofErr w:type="spellStart"/>
      <w:r w:rsidRPr="00E31CDA">
        <w:rPr>
          <w:lang w:val="en-US"/>
        </w:rPr>
        <w:t>labour</w:t>
      </w:r>
      <w:proofErr w:type="spellEnd"/>
      <w:r w:rsidRPr="00E31CDA">
        <w:rPr>
          <w:lang w:val="en-US"/>
        </w:rPr>
        <w:t xml:space="preserve"> is high. Employment growth picked up somewhat in the first half of 2024</w:t>
      </w:r>
      <w:r>
        <w:rPr>
          <w:lang w:val="en-US"/>
        </w:rPr>
        <w:t>, see c</w:t>
      </w:r>
      <w:r w:rsidRPr="00E31CDA">
        <w:rPr>
          <w:lang w:val="en-US"/>
        </w:rPr>
        <w:t xml:space="preserve">hart 2.10. There are still many vacancies, although stocks have come down from the historically high levels after the pandemic. In recent quarters, the share of companies reporting capacity constraints or </w:t>
      </w:r>
      <w:proofErr w:type="spellStart"/>
      <w:r w:rsidRPr="00E31CDA">
        <w:rPr>
          <w:lang w:val="en-US"/>
        </w:rPr>
        <w:t>labour</w:t>
      </w:r>
      <w:proofErr w:type="spellEnd"/>
      <w:r w:rsidRPr="00E31CDA">
        <w:rPr>
          <w:lang w:val="en-US"/>
        </w:rPr>
        <w:t xml:space="preserve"> shortages has been close to its historical average. Registered unemployment has edged up but is still low. Unemployment measured by the </w:t>
      </w:r>
      <w:proofErr w:type="spellStart"/>
      <w:r w:rsidRPr="00E31CDA">
        <w:rPr>
          <w:lang w:val="en-US"/>
        </w:rPr>
        <w:t>Labour</w:t>
      </w:r>
      <w:proofErr w:type="spellEnd"/>
      <w:r w:rsidRPr="00E31CDA">
        <w:rPr>
          <w:lang w:val="en-US"/>
        </w:rPr>
        <w:t xml:space="preserve"> Force Survey (LFS) has risen since the beginning of the </w:t>
      </w:r>
      <w:proofErr w:type="gramStart"/>
      <w:r w:rsidRPr="00E31CDA">
        <w:rPr>
          <w:lang w:val="en-US"/>
        </w:rPr>
        <w:t>year, and</w:t>
      </w:r>
      <w:proofErr w:type="gramEnd"/>
      <w:r w:rsidRPr="00E31CDA">
        <w:rPr>
          <w:lang w:val="en-US"/>
        </w:rPr>
        <w:t xml:space="preserve"> corresponded to 4.4 per cent of the </w:t>
      </w:r>
      <w:proofErr w:type="spellStart"/>
      <w:r w:rsidRPr="00E31CDA">
        <w:rPr>
          <w:lang w:val="en-US"/>
        </w:rPr>
        <w:t>labour</w:t>
      </w:r>
      <w:proofErr w:type="spellEnd"/>
      <w:r w:rsidRPr="00E31CDA">
        <w:rPr>
          <w:lang w:val="en-US"/>
        </w:rPr>
        <w:t xml:space="preserve"> force in the first half of the year. This is somewhat higher than last year. Continued relatively high employment growth is expected ahead. Registered unemployment is expected to remain stable</w:t>
      </w:r>
      <w:r>
        <w:rPr>
          <w:lang w:val="en-US"/>
        </w:rPr>
        <w:t>, see c</w:t>
      </w:r>
      <w:r w:rsidRPr="00E31CDA">
        <w:rPr>
          <w:lang w:val="en-US"/>
        </w:rPr>
        <w:t xml:space="preserve">hart 2.11. See Section 2.4 for further discussion of the </w:t>
      </w:r>
      <w:proofErr w:type="spellStart"/>
      <w:r w:rsidRPr="00E31CDA">
        <w:rPr>
          <w:lang w:val="en-US"/>
        </w:rPr>
        <w:t>labour</w:t>
      </w:r>
      <w:proofErr w:type="spellEnd"/>
      <w:r w:rsidRPr="00E31CDA">
        <w:rPr>
          <w:lang w:val="en-US"/>
        </w:rPr>
        <w:t xml:space="preserve"> market.</w:t>
      </w:r>
    </w:p>
    <w:p w14:paraId="2D2994E8" w14:textId="77777777" w:rsidR="00CB6E05" w:rsidRPr="00F51511" w:rsidRDefault="00CB6E05" w:rsidP="00CB6E05">
      <w:pPr>
        <w:spacing w:after="120" w:line="276" w:lineRule="auto"/>
        <w:rPr>
          <w:rFonts w:ascii="Times New Roman" w:hAnsi="Times New Roman" w:cs="Times New Roman"/>
          <w:sz w:val="24"/>
          <w:lang w:val="en-US"/>
        </w:rPr>
      </w:pPr>
      <w:r w:rsidRPr="00F51511">
        <w:rPr>
          <w:noProof/>
          <w:lang w:val="en-US"/>
        </w:rPr>
        <w:t xml:space="preserve"> </w:t>
      </w:r>
      <w:r w:rsidRPr="00CB3C58">
        <w:rPr>
          <w:rFonts w:ascii="Times New Roman" w:hAnsi="Times New Roman" w:cs="Times New Roman"/>
          <w:noProof/>
          <w:sz w:val="24"/>
        </w:rPr>
        <w:drawing>
          <wp:inline distT="0" distB="0" distL="0" distR="0" wp14:anchorId="7F551B21" wp14:editId="7EFECFA6">
            <wp:extent cx="2195307" cy="2133600"/>
            <wp:effectExtent l="0" t="0" r="0" b="0"/>
            <wp:docPr id="1149074998" name="Bilde 1" descr="Chart 2.10 Development in mainland GDP and employment. Index. Fourth quarter 2019 = 100. Seasonally adjusted. Estimates for third quarter 2025–fourth quarter 2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74998" name="Bilde 1" descr="Chart 2.10 Development in mainland GDP and employment. Index. Fourth quarter 2019 = 100. Seasonally adjusted. Estimates for third quarter 2025–fourth quarter 2027&#10;"/>
                    <pic:cNvPicPr/>
                  </pic:nvPicPr>
                  <pic:blipFill>
                    <a:blip r:embed="rId9"/>
                    <a:stretch>
                      <a:fillRect/>
                    </a:stretch>
                  </pic:blipFill>
                  <pic:spPr>
                    <a:xfrm>
                      <a:off x="0" y="0"/>
                      <a:ext cx="2209313" cy="2147212"/>
                    </a:xfrm>
                    <a:prstGeom prst="rect">
                      <a:avLst/>
                    </a:prstGeom>
                  </pic:spPr>
                </pic:pic>
              </a:graphicData>
            </a:graphic>
          </wp:inline>
        </w:drawing>
      </w:r>
    </w:p>
    <w:p w14:paraId="2F424E44" w14:textId="77777777" w:rsidR="00CB6E05" w:rsidRPr="00E31CDA" w:rsidRDefault="00CB6E05" w:rsidP="0019728F">
      <w:pPr>
        <w:pStyle w:val="avsnitt-tittel"/>
        <w:rPr>
          <w:lang w:val="en-US"/>
        </w:rPr>
      </w:pPr>
      <w:r>
        <w:rPr>
          <w:lang w:val="en-US"/>
        </w:rPr>
        <w:lastRenderedPageBreak/>
        <w:t xml:space="preserve">Chart 2.10 </w:t>
      </w:r>
      <w:r w:rsidRPr="00E31CDA">
        <w:rPr>
          <w:lang w:val="en-US"/>
        </w:rPr>
        <w:t xml:space="preserve">Development in mainland GDP and employment. Index. </w:t>
      </w:r>
      <w:r>
        <w:rPr>
          <w:lang w:val="en-US"/>
        </w:rPr>
        <w:t>Fourth quarter</w:t>
      </w:r>
      <w:r w:rsidRPr="00E31CDA">
        <w:rPr>
          <w:lang w:val="en-US"/>
        </w:rPr>
        <w:t xml:space="preserve"> 2019 = 100. Seasonally adjusted. Estimates for </w:t>
      </w:r>
      <w:r>
        <w:rPr>
          <w:lang w:val="en-US"/>
        </w:rPr>
        <w:t>third quarter</w:t>
      </w:r>
      <w:r w:rsidRPr="00E31CDA">
        <w:rPr>
          <w:lang w:val="en-US"/>
        </w:rPr>
        <w:t xml:space="preserve"> 2025–</w:t>
      </w:r>
      <w:r>
        <w:rPr>
          <w:lang w:val="en-US"/>
        </w:rPr>
        <w:t>fourth quarter</w:t>
      </w:r>
      <w:r w:rsidRPr="00E31CDA">
        <w:rPr>
          <w:lang w:val="en-US"/>
        </w:rPr>
        <w:t xml:space="preserve"> 2027</w:t>
      </w:r>
    </w:p>
    <w:p w14:paraId="1DC15335" w14:textId="77777777" w:rsidR="00CB6E05" w:rsidRDefault="00CB6E05" w:rsidP="0019728F">
      <w:pPr>
        <w:pStyle w:val="Kilde"/>
        <w:rPr>
          <w:lang w:val="en-US"/>
        </w:rPr>
      </w:pPr>
      <w:r w:rsidRPr="00E31CDA">
        <w:rPr>
          <w:lang w:val="en-US"/>
        </w:rPr>
        <w:t>Sources: Statistics Norway and Ministry of Finance.</w:t>
      </w:r>
    </w:p>
    <w:p w14:paraId="08AF587A" w14:textId="77777777" w:rsidR="00CB6E05" w:rsidRPr="00F51511" w:rsidRDefault="00CB6E05" w:rsidP="00CB6E05">
      <w:pPr>
        <w:spacing w:after="120" w:line="276" w:lineRule="auto"/>
        <w:rPr>
          <w:rFonts w:ascii="Times New Roman" w:hAnsi="Times New Roman" w:cs="Times New Roman"/>
          <w:sz w:val="24"/>
          <w:lang w:val="en-US"/>
        </w:rPr>
      </w:pPr>
      <w:r w:rsidRPr="00F51511">
        <w:rPr>
          <w:noProof/>
          <w:lang w:val="en-US"/>
        </w:rPr>
        <w:t xml:space="preserve"> </w:t>
      </w:r>
      <w:r w:rsidRPr="00CB3C58">
        <w:rPr>
          <w:rFonts w:ascii="Times New Roman" w:hAnsi="Times New Roman" w:cs="Times New Roman"/>
          <w:noProof/>
          <w:sz w:val="24"/>
        </w:rPr>
        <w:drawing>
          <wp:inline distT="0" distB="0" distL="0" distR="0" wp14:anchorId="10710D84" wp14:editId="5C203E51">
            <wp:extent cx="2238375" cy="2193224"/>
            <wp:effectExtent l="0" t="0" r="0" b="0"/>
            <wp:docPr id="1763998060" name="Bilde 1" descr="Chart 2.11 Unemployment as a percentage of the labour force.1 Seasonally and trend-adjusted. Jan. 2006-Sep. 2025. Annual projections for 2025–2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98060" name="Bilde 1" descr="Chart 2.11 Unemployment as a percentage of the labour force.1 Seasonally and trend-adjusted. Jan. 2006-Sep. 2025. Annual projections for 2025–2027&#10;"/>
                    <pic:cNvPicPr/>
                  </pic:nvPicPr>
                  <pic:blipFill>
                    <a:blip r:embed="rId10"/>
                    <a:stretch>
                      <a:fillRect/>
                    </a:stretch>
                  </pic:blipFill>
                  <pic:spPr>
                    <a:xfrm>
                      <a:off x="0" y="0"/>
                      <a:ext cx="2248833" cy="2203471"/>
                    </a:xfrm>
                    <a:prstGeom prst="rect">
                      <a:avLst/>
                    </a:prstGeom>
                  </pic:spPr>
                </pic:pic>
              </a:graphicData>
            </a:graphic>
          </wp:inline>
        </w:drawing>
      </w:r>
    </w:p>
    <w:p w14:paraId="49E1F239" w14:textId="77777777" w:rsidR="00CB6E05" w:rsidRPr="00E31CDA" w:rsidRDefault="00CB6E05" w:rsidP="0019728F">
      <w:pPr>
        <w:pStyle w:val="avsnitt-tittel"/>
        <w:rPr>
          <w:lang w:val="en-US"/>
        </w:rPr>
      </w:pPr>
      <w:r>
        <w:rPr>
          <w:lang w:val="en-US"/>
        </w:rPr>
        <w:t xml:space="preserve">Chart 2.11 </w:t>
      </w:r>
      <w:r w:rsidRPr="00E31CDA">
        <w:rPr>
          <w:lang w:val="en-US"/>
        </w:rPr>
        <w:t xml:space="preserve">Unemployment as a percentage of the </w:t>
      </w:r>
      <w:proofErr w:type="spellStart"/>
      <w:r w:rsidRPr="00E31CDA">
        <w:rPr>
          <w:lang w:val="en-US"/>
        </w:rPr>
        <w:t>labour</w:t>
      </w:r>
      <w:proofErr w:type="spellEnd"/>
      <w:r w:rsidRPr="00E31CDA">
        <w:rPr>
          <w:lang w:val="en-US"/>
        </w:rPr>
        <w:t xml:space="preserve"> force.</w:t>
      </w:r>
      <w:r w:rsidRPr="00E31CDA">
        <w:rPr>
          <w:sz w:val="20"/>
          <w:vertAlign w:val="superscript"/>
          <w:lang w:val="en-US"/>
        </w:rPr>
        <w:t>1</w:t>
      </w:r>
      <w:r w:rsidRPr="00E31CDA">
        <w:rPr>
          <w:lang w:val="en-US"/>
        </w:rPr>
        <w:t xml:space="preserve"> Seasonally and </w:t>
      </w:r>
      <w:proofErr w:type="gramStart"/>
      <w:r w:rsidRPr="00E31CDA">
        <w:rPr>
          <w:lang w:val="en-US"/>
        </w:rPr>
        <w:t>trend-adjusted</w:t>
      </w:r>
      <w:proofErr w:type="gramEnd"/>
      <w:r w:rsidRPr="00E31CDA">
        <w:rPr>
          <w:lang w:val="en-US"/>
        </w:rPr>
        <w:t xml:space="preserve">. Jan. 2006-Sep. 2025. </w:t>
      </w:r>
      <w:r>
        <w:rPr>
          <w:lang w:val="en-US"/>
        </w:rPr>
        <w:t>Annual p</w:t>
      </w:r>
      <w:r w:rsidRPr="00E31CDA">
        <w:rPr>
          <w:lang w:val="en-US"/>
        </w:rPr>
        <w:t>rojections for 2025–2027</w:t>
      </w:r>
    </w:p>
    <w:p w14:paraId="7C164D7E" w14:textId="77777777" w:rsidR="00CB6E05" w:rsidRPr="00E31CDA" w:rsidRDefault="00CB6E05" w:rsidP="0019728F">
      <w:pPr>
        <w:pStyle w:val="Note"/>
        <w:rPr>
          <w:vertAlign w:val="superscript"/>
          <w:lang w:val="en-US"/>
        </w:rPr>
      </w:pPr>
      <w:r w:rsidRPr="00E31CDA">
        <w:rPr>
          <w:vertAlign w:val="superscript"/>
          <w:lang w:val="en-US"/>
        </w:rPr>
        <w:t>1</w:t>
      </w:r>
      <w:r w:rsidRPr="00E31CDA">
        <w:rPr>
          <w:lang w:val="en-US"/>
        </w:rPr>
        <w:tab/>
        <w:t xml:space="preserve">Unemployment figures for 2020 and 2021 have been excluded from the average because the </w:t>
      </w:r>
      <w:proofErr w:type="spellStart"/>
      <w:r w:rsidRPr="00E31CDA">
        <w:rPr>
          <w:lang w:val="en-US"/>
        </w:rPr>
        <w:t>labour</w:t>
      </w:r>
      <w:proofErr w:type="spellEnd"/>
      <w:r w:rsidRPr="00E31CDA">
        <w:rPr>
          <w:lang w:val="en-US"/>
        </w:rPr>
        <w:t xml:space="preserve"> market was heavily affected by lockdowns due to infection control measures in these years.</w:t>
      </w:r>
    </w:p>
    <w:p w14:paraId="7EA7E457" w14:textId="77777777" w:rsidR="00CB6E05" w:rsidRPr="00E31CDA" w:rsidRDefault="00CB6E05" w:rsidP="0019728F">
      <w:pPr>
        <w:pStyle w:val="Kilde"/>
        <w:rPr>
          <w:lang w:val="en-US"/>
        </w:rPr>
      </w:pPr>
      <w:r w:rsidRPr="00E31CDA">
        <w:rPr>
          <w:lang w:val="en-US"/>
        </w:rPr>
        <w:t xml:space="preserve">Sources: </w:t>
      </w:r>
      <w:proofErr w:type="spellStart"/>
      <w:r w:rsidRPr="00E31CDA">
        <w:rPr>
          <w:lang w:val="en-US"/>
        </w:rPr>
        <w:t>Macrobond</w:t>
      </w:r>
      <w:proofErr w:type="spellEnd"/>
      <w:r w:rsidRPr="00E31CDA">
        <w:rPr>
          <w:lang w:val="en-US"/>
        </w:rPr>
        <w:t xml:space="preserve">, Statistics Norway, Norwegian </w:t>
      </w:r>
      <w:proofErr w:type="spellStart"/>
      <w:r w:rsidRPr="00E31CDA">
        <w:rPr>
          <w:lang w:val="en-US"/>
        </w:rPr>
        <w:t>Labour</w:t>
      </w:r>
      <w:proofErr w:type="spellEnd"/>
      <w:r w:rsidRPr="00E31CDA">
        <w:rPr>
          <w:lang w:val="en-US"/>
        </w:rPr>
        <w:t xml:space="preserve"> and Welfare Administration and the Ministry of Finance.</w:t>
      </w:r>
    </w:p>
    <w:p w14:paraId="09EFCA54" w14:textId="77777777" w:rsidR="00CB6E05" w:rsidRPr="00E31CDA" w:rsidRDefault="00CB6E05" w:rsidP="001F11B9">
      <w:pPr>
        <w:pStyle w:val="avsnitt-undertittel"/>
        <w:rPr>
          <w:lang w:val="en-US"/>
        </w:rPr>
      </w:pPr>
      <w:r w:rsidRPr="00E31CDA">
        <w:rPr>
          <w:lang w:val="en-US"/>
        </w:rPr>
        <w:t>Inflation is gradually slowing</w:t>
      </w:r>
    </w:p>
    <w:p w14:paraId="4F31C192" w14:textId="77777777" w:rsidR="00CB6E05" w:rsidRPr="00E31CDA" w:rsidRDefault="00CB6E05" w:rsidP="00A43258">
      <w:pPr>
        <w:rPr>
          <w:lang w:val="en-US"/>
        </w:rPr>
      </w:pPr>
      <w:r w:rsidRPr="00E31CDA">
        <w:rPr>
          <w:lang w:val="en-US"/>
        </w:rPr>
        <w:t>After a marked decline through 2024, consumer price inflation has varied around 3 per cent over the past year</w:t>
      </w:r>
      <w:r>
        <w:rPr>
          <w:lang w:val="en-US"/>
        </w:rPr>
        <w:t>, see c</w:t>
      </w:r>
      <w:r w:rsidRPr="00E31CDA">
        <w:rPr>
          <w:lang w:val="en-US"/>
        </w:rPr>
        <w:t>hart 2.12. The decline we saw last year has come to a halt. Adjusted for tax changes and excluding energy products (CPI-ATE), inflation was 3.1 per cent in August this year, about the same as August last year. Developments in prices for domestically produced goods and services are still pushing up inflation, while it is dampened by developments in prices for imported goods. These trends are expected to persist until the end of the projection period</w:t>
      </w:r>
      <w:r>
        <w:rPr>
          <w:lang w:val="en-US"/>
        </w:rPr>
        <w:t>, see c</w:t>
      </w:r>
      <w:r w:rsidRPr="00E31CDA">
        <w:rPr>
          <w:lang w:val="en-US"/>
        </w:rPr>
        <w:t xml:space="preserve">hart 2.13, while energy prices will </w:t>
      </w:r>
      <w:r w:rsidRPr="00E31CDA">
        <w:rPr>
          <w:lang w:val="en-US"/>
        </w:rPr>
        <w:lastRenderedPageBreak/>
        <w:t xml:space="preserve">again </w:t>
      </w:r>
      <w:r>
        <w:rPr>
          <w:lang w:val="en-US"/>
        </w:rPr>
        <w:t>push</w:t>
      </w:r>
      <w:r w:rsidRPr="00E31CDA">
        <w:rPr>
          <w:lang w:val="en-US"/>
        </w:rPr>
        <w:t xml:space="preserve"> inflation </w:t>
      </w:r>
      <w:r>
        <w:rPr>
          <w:lang w:val="en-US"/>
        </w:rPr>
        <w:t xml:space="preserve">down </w:t>
      </w:r>
      <w:r w:rsidRPr="00E31CDA">
        <w:rPr>
          <w:lang w:val="en-US"/>
        </w:rPr>
        <w:t>next year. The</w:t>
      </w:r>
      <w:r>
        <w:rPr>
          <w:lang w:val="en-US"/>
        </w:rPr>
        <w:t xml:space="preserve">re are assumed no </w:t>
      </w:r>
      <w:proofErr w:type="gramStart"/>
      <w:r>
        <w:rPr>
          <w:lang w:val="en-US"/>
        </w:rPr>
        <w:t>particular</w:t>
      </w:r>
      <w:r w:rsidRPr="00E31CDA">
        <w:rPr>
          <w:lang w:val="en-US"/>
        </w:rPr>
        <w:t xml:space="preserve"> effects</w:t>
      </w:r>
      <w:proofErr w:type="gramEnd"/>
      <w:r w:rsidRPr="00E31CDA">
        <w:rPr>
          <w:lang w:val="en-US"/>
        </w:rPr>
        <w:t xml:space="preserve"> of trade conflicts on domestic inflation.</w:t>
      </w:r>
    </w:p>
    <w:p w14:paraId="42DBDBB3" w14:textId="77777777" w:rsidR="00CB6E05" w:rsidRPr="00CB3C58" w:rsidRDefault="00CB6E05" w:rsidP="00CB6E05">
      <w:pPr>
        <w:spacing w:after="120" w:line="276" w:lineRule="auto"/>
        <w:rPr>
          <w:rFonts w:ascii="Times New Roman" w:hAnsi="Times New Roman" w:cs="Times New Roman"/>
          <w:sz w:val="24"/>
          <w:lang w:val="en-US"/>
        </w:rPr>
      </w:pPr>
      <w:r w:rsidRPr="00CB3C58">
        <w:rPr>
          <w:noProof/>
          <w:lang w:val="en-US"/>
        </w:rPr>
        <w:t xml:space="preserve"> </w:t>
      </w:r>
      <w:r w:rsidRPr="00CB3C58">
        <w:rPr>
          <w:rFonts w:ascii="Times New Roman" w:hAnsi="Times New Roman" w:cs="Times New Roman"/>
          <w:noProof/>
          <w:sz w:val="24"/>
        </w:rPr>
        <w:drawing>
          <wp:inline distT="0" distB="0" distL="0" distR="0" wp14:anchorId="5C03A08F" wp14:editId="123386D0">
            <wp:extent cx="2190750" cy="2127240"/>
            <wp:effectExtent l="0" t="0" r="0" b="6985"/>
            <wp:docPr id="1374437243" name="Bilde 1" descr="Chart 2.12 Twelve-month growth in CPI and CPI-ATE in per cent Jan. 2019-Aug. 2025. Annual projections for 2025–2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37243" name="Bilde 1" descr="Chart 2.12 Twelve-month growth in CPI and CPI-ATE in per cent Jan. 2019-Aug. 2025. Annual projections for 2025–2027&#10;"/>
                    <pic:cNvPicPr/>
                  </pic:nvPicPr>
                  <pic:blipFill>
                    <a:blip r:embed="rId11"/>
                    <a:stretch>
                      <a:fillRect/>
                    </a:stretch>
                  </pic:blipFill>
                  <pic:spPr>
                    <a:xfrm>
                      <a:off x="0" y="0"/>
                      <a:ext cx="2199649" cy="2135881"/>
                    </a:xfrm>
                    <a:prstGeom prst="rect">
                      <a:avLst/>
                    </a:prstGeom>
                  </pic:spPr>
                </pic:pic>
              </a:graphicData>
            </a:graphic>
          </wp:inline>
        </w:drawing>
      </w:r>
    </w:p>
    <w:p w14:paraId="07883DD1" w14:textId="77777777" w:rsidR="00CB6E05" w:rsidRPr="00E31CDA" w:rsidRDefault="00CB6E05" w:rsidP="0019728F">
      <w:pPr>
        <w:pStyle w:val="avsnitt-tittel"/>
        <w:rPr>
          <w:lang w:val="en-US"/>
        </w:rPr>
      </w:pPr>
      <w:r>
        <w:rPr>
          <w:lang w:val="en-US"/>
        </w:rPr>
        <w:t xml:space="preserve">Chart 2.12 </w:t>
      </w:r>
      <w:r w:rsidRPr="00E31CDA">
        <w:rPr>
          <w:lang w:val="en-US"/>
        </w:rPr>
        <w:t xml:space="preserve">Twelve-month growth in CPI and CPI-ATE in per cent Jan. 2019-Aug. 2025. Annual </w:t>
      </w:r>
      <w:r>
        <w:rPr>
          <w:lang w:val="en-US"/>
        </w:rPr>
        <w:t>projections</w:t>
      </w:r>
      <w:r w:rsidRPr="00E31CDA">
        <w:rPr>
          <w:lang w:val="en-US"/>
        </w:rPr>
        <w:t xml:space="preserve"> for 2025–2027</w:t>
      </w:r>
    </w:p>
    <w:p w14:paraId="10B841F6" w14:textId="77777777" w:rsidR="00CB6E05" w:rsidRPr="00E31CDA" w:rsidRDefault="00CB6E05" w:rsidP="0019728F">
      <w:pPr>
        <w:pStyle w:val="Kilde"/>
        <w:rPr>
          <w:lang w:val="en-US"/>
        </w:rPr>
      </w:pPr>
      <w:r w:rsidRPr="00E31CDA">
        <w:rPr>
          <w:lang w:val="en-US"/>
        </w:rPr>
        <w:t>Sources: Statistics Norway and Ministry of Finance.</w:t>
      </w:r>
    </w:p>
    <w:p w14:paraId="07C73557" w14:textId="77777777" w:rsidR="00CB6E05" w:rsidRPr="00F51511" w:rsidRDefault="00CB6E05" w:rsidP="00CB6E05">
      <w:pPr>
        <w:spacing w:after="120" w:line="276" w:lineRule="auto"/>
        <w:rPr>
          <w:rFonts w:ascii="Times New Roman" w:hAnsi="Times New Roman" w:cs="Times New Roman"/>
          <w:sz w:val="24"/>
          <w:lang w:val="en-US"/>
        </w:rPr>
      </w:pPr>
      <w:r w:rsidRPr="00F51511">
        <w:rPr>
          <w:noProof/>
          <w:lang w:val="en-US"/>
        </w:rPr>
        <w:t xml:space="preserve"> </w:t>
      </w:r>
      <w:r w:rsidRPr="00D66095">
        <w:rPr>
          <w:rFonts w:ascii="Times New Roman" w:hAnsi="Times New Roman" w:cs="Times New Roman"/>
          <w:noProof/>
          <w:sz w:val="24"/>
        </w:rPr>
        <w:drawing>
          <wp:inline distT="0" distB="0" distL="0" distR="0" wp14:anchorId="5DC78C83" wp14:editId="4B666B36">
            <wp:extent cx="2209800" cy="2173019"/>
            <wp:effectExtent l="0" t="0" r="0" b="0"/>
            <wp:docPr id="869012321" name="Bilde 1" descr="Chart 2.13 CPI growth in per cent and contribution to growth in percentage points. 2024–2027. Projections for 2025–2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12321" name="Bilde 1" descr="Chart 2.13 CPI growth in per cent and contribution to growth in percentage points. 2024–2027. Projections for 2025–2027&#10;"/>
                    <pic:cNvPicPr/>
                  </pic:nvPicPr>
                  <pic:blipFill>
                    <a:blip r:embed="rId12"/>
                    <a:stretch>
                      <a:fillRect/>
                    </a:stretch>
                  </pic:blipFill>
                  <pic:spPr>
                    <a:xfrm>
                      <a:off x="0" y="0"/>
                      <a:ext cx="2214366" cy="2177509"/>
                    </a:xfrm>
                    <a:prstGeom prst="rect">
                      <a:avLst/>
                    </a:prstGeom>
                  </pic:spPr>
                </pic:pic>
              </a:graphicData>
            </a:graphic>
          </wp:inline>
        </w:drawing>
      </w:r>
    </w:p>
    <w:p w14:paraId="0055FC36" w14:textId="77777777" w:rsidR="00CB6E05" w:rsidRPr="00E31CDA" w:rsidRDefault="00CB6E05" w:rsidP="0019728F">
      <w:pPr>
        <w:pStyle w:val="avsnitt-tittel"/>
        <w:rPr>
          <w:lang w:val="en-US"/>
        </w:rPr>
      </w:pPr>
      <w:r>
        <w:rPr>
          <w:lang w:val="en-US"/>
        </w:rPr>
        <w:t xml:space="preserve">Chart 2.13 </w:t>
      </w:r>
      <w:r w:rsidRPr="00E31CDA">
        <w:rPr>
          <w:lang w:val="en-US"/>
        </w:rPr>
        <w:t>CPI growth in per cent and contribution to growth in percentage points. 2024–2027. Projections for 2025–2027</w:t>
      </w:r>
    </w:p>
    <w:p w14:paraId="7DB96088" w14:textId="77777777" w:rsidR="00CB6E05" w:rsidRPr="00E31CDA" w:rsidRDefault="00CB6E05" w:rsidP="0019728F">
      <w:pPr>
        <w:pStyle w:val="Kilde"/>
        <w:rPr>
          <w:lang w:val="en-US"/>
        </w:rPr>
      </w:pPr>
      <w:r w:rsidRPr="00E31CDA">
        <w:rPr>
          <w:lang w:val="en-US"/>
        </w:rPr>
        <w:t>Sources: Statistics Norway and Ministry of Finance.</w:t>
      </w:r>
    </w:p>
    <w:p w14:paraId="4BB93519" w14:textId="77777777" w:rsidR="00CB6E05" w:rsidRPr="00E31CDA" w:rsidRDefault="00CB6E05" w:rsidP="00A43258">
      <w:pPr>
        <w:rPr>
          <w:lang w:val="en-US"/>
        </w:rPr>
      </w:pPr>
      <w:r w:rsidRPr="00E31CDA">
        <w:rPr>
          <w:lang w:val="en-US"/>
        </w:rPr>
        <w:t xml:space="preserve">Higher food prices are pushing up the rise in prices for Norwegian goods. In July, food price inflation was at its highest since the peaks of inflation in 2022 and 1981. Prices for </w:t>
      </w:r>
      <w:r>
        <w:rPr>
          <w:lang w:val="en-US"/>
        </w:rPr>
        <w:lastRenderedPageBreak/>
        <w:t>services excluding rent</w:t>
      </w:r>
      <w:r w:rsidRPr="00E31CDA">
        <w:rPr>
          <w:lang w:val="en-US"/>
        </w:rPr>
        <w:t xml:space="preserve"> have also risen more than normal. This reflects high wage growth over the past two years.</w:t>
      </w:r>
    </w:p>
    <w:p w14:paraId="1B36D354" w14:textId="77777777" w:rsidR="00CB6E05" w:rsidRPr="00E31CDA" w:rsidRDefault="00CB6E05" w:rsidP="00A43258">
      <w:pPr>
        <w:rPr>
          <w:lang w:val="en-US"/>
        </w:rPr>
      </w:pPr>
      <w:r w:rsidRPr="00E31CDA">
        <w:rPr>
          <w:lang w:val="en-US"/>
        </w:rPr>
        <w:t xml:space="preserve">Prospects for continued high wage growth mean that consumer price inflation is expected to remain above the inflation target during the projection period, although it will likely decline. </w:t>
      </w:r>
      <w:proofErr w:type="gramStart"/>
      <w:r w:rsidRPr="00E31CDA">
        <w:rPr>
          <w:lang w:val="en-US"/>
        </w:rPr>
        <w:t>With the exception of</w:t>
      </w:r>
      <w:proofErr w:type="gramEnd"/>
      <w:r w:rsidRPr="00E31CDA">
        <w:rPr>
          <w:lang w:val="en-US"/>
        </w:rPr>
        <w:t xml:space="preserve"> services excluding rents, the monthly rise in goods and services groups in the CPI is approaching the levels observed prior to the high-inflation period. This suggests that the year-on-year rise in the consumer price index </w:t>
      </w:r>
      <w:proofErr w:type="gramStart"/>
      <w:r w:rsidRPr="00E31CDA">
        <w:rPr>
          <w:lang w:val="en-US"/>
        </w:rPr>
        <w:t>as a whole will</w:t>
      </w:r>
      <w:proofErr w:type="gramEnd"/>
      <w:r w:rsidRPr="00E31CDA">
        <w:rPr>
          <w:lang w:val="en-US"/>
        </w:rPr>
        <w:t xml:space="preserve"> gradually decline.</w:t>
      </w:r>
    </w:p>
    <w:p w14:paraId="21560FCA" w14:textId="77777777" w:rsidR="00CB6E05" w:rsidRPr="00E31CDA" w:rsidRDefault="00CB6E05" w:rsidP="00A43258">
      <w:pPr>
        <w:rPr>
          <w:lang w:val="en-US"/>
        </w:rPr>
      </w:pPr>
      <w:proofErr w:type="gramStart"/>
      <w:r w:rsidRPr="00E31CDA">
        <w:rPr>
          <w:lang w:val="en-US"/>
        </w:rPr>
        <w:t>A number of</w:t>
      </w:r>
      <w:proofErr w:type="gramEnd"/>
      <w:r w:rsidRPr="00E31CDA">
        <w:rPr>
          <w:lang w:val="en-US"/>
        </w:rPr>
        <w:t xml:space="preserve"> politically decided measures influence the path of inflation. The maximum price of kindergarten has been reduced two years in a </w:t>
      </w:r>
      <w:proofErr w:type="gramStart"/>
      <w:r w:rsidRPr="00E31CDA">
        <w:rPr>
          <w:lang w:val="en-US"/>
        </w:rPr>
        <w:t>row</w:t>
      </w:r>
      <w:r>
        <w:rPr>
          <w:lang w:val="en-US"/>
        </w:rPr>
        <w:t>, and</w:t>
      </w:r>
      <w:proofErr w:type="gramEnd"/>
      <w:r w:rsidRPr="00E31CDA">
        <w:rPr>
          <w:lang w:val="en-US"/>
        </w:rPr>
        <w:t xml:space="preserve"> has pulled down the twelve-month growth </w:t>
      </w:r>
      <w:r>
        <w:rPr>
          <w:lang w:val="en-US"/>
        </w:rPr>
        <w:t xml:space="preserve">rate </w:t>
      </w:r>
      <w:r w:rsidRPr="00E31CDA">
        <w:rPr>
          <w:lang w:val="en-US"/>
        </w:rPr>
        <w:t>by 0.3 percentage point since last autumn, and will continue to have an effect until autumn 2026. Reduced electricity taxes and the introduction of the Norwegian price will also pull down the growth in energy prices.</w:t>
      </w:r>
    </w:p>
    <w:p w14:paraId="7DA87CCA" w14:textId="77777777" w:rsidR="00CB6E05" w:rsidRPr="00E31CDA" w:rsidRDefault="00CB6E05" w:rsidP="001F11B9">
      <w:pPr>
        <w:pStyle w:val="avsnitt-undertittel"/>
        <w:rPr>
          <w:lang w:val="en-US"/>
        </w:rPr>
      </w:pPr>
      <w:r w:rsidRPr="00E31CDA">
        <w:rPr>
          <w:lang w:val="en-US"/>
        </w:rPr>
        <w:t>Prospects for real wage growth in the coming years</w:t>
      </w:r>
    </w:p>
    <w:p w14:paraId="43C84B5E" w14:textId="77777777" w:rsidR="00CB6E05" w:rsidRPr="00E31CDA" w:rsidRDefault="00CB6E05" w:rsidP="00A43258">
      <w:pPr>
        <w:rPr>
          <w:lang w:val="en-US"/>
        </w:rPr>
      </w:pPr>
      <w:r w:rsidRPr="00E31CDA">
        <w:rPr>
          <w:lang w:val="en-US"/>
        </w:rPr>
        <w:t>High profitability in manufacturing and low unemployment have provided the basis for high wage growth in recent years, and it will likely remain relatively high in the period ahead. In 2024, annual wages rose by 5.6 per cent, after an increase of 5.2 per cent the year before.</w:t>
      </w:r>
    </w:p>
    <w:p w14:paraId="760023E5" w14:textId="77777777" w:rsidR="00CB6E05" w:rsidRPr="00E31CDA" w:rsidRDefault="00CB6E05" w:rsidP="00A43258">
      <w:pPr>
        <w:rPr>
          <w:lang w:val="en-US"/>
        </w:rPr>
      </w:pPr>
      <w:r w:rsidRPr="00E31CDA">
        <w:rPr>
          <w:lang w:val="en-US"/>
        </w:rPr>
        <w:t>Wage growth has remained high so far in 2025. Figures from the a-</w:t>
      </w:r>
      <w:proofErr w:type="spellStart"/>
      <w:r w:rsidRPr="00E31CDA">
        <w:rPr>
          <w:lang w:val="en-US"/>
        </w:rPr>
        <w:t>ordningen</w:t>
      </w:r>
      <w:proofErr w:type="spellEnd"/>
      <w:r w:rsidRPr="00E31CDA">
        <w:rPr>
          <w:lang w:val="en-US"/>
        </w:rPr>
        <w:t xml:space="preserve"> show that from the first half of 2024 to the first half of 2025, contractual monthly wages increased by 5.3 per cent, and in almost all industries wages increased by 5 per cent or more. There may be variation between industries in the extent to which this year's wage settlement has affected observed wage growth in the first half of this year.</w:t>
      </w:r>
    </w:p>
    <w:p w14:paraId="7E6E04B8" w14:textId="77777777" w:rsidR="00CB6E05" w:rsidRDefault="00CB6E05" w:rsidP="00A43258">
      <w:pPr>
        <w:rPr>
          <w:lang w:val="en-US"/>
        </w:rPr>
      </w:pPr>
      <w:r w:rsidRPr="00E31CDA">
        <w:rPr>
          <w:lang w:val="en-US"/>
        </w:rPr>
        <w:t xml:space="preserve">This report assumes annual wage growth of 4.4 per cent in 2025, in line with the framework for the frontline </w:t>
      </w:r>
      <w:r>
        <w:rPr>
          <w:lang w:val="en-US"/>
        </w:rPr>
        <w:t>wage</w:t>
      </w:r>
      <w:r w:rsidRPr="00E31CDA">
        <w:rPr>
          <w:lang w:val="en-US"/>
        </w:rPr>
        <w:t xml:space="preserve"> settlement. A continued low share of </w:t>
      </w:r>
      <w:proofErr w:type="spellStart"/>
      <w:r w:rsidRPr="00E31CDA">
        <w:rPr>
          <w:lang w:val="en-US"/>
        </w:rPr>
        <w:t>labour</w:t>
      </w:r>
      <w:proofErr w:type="spellEnd"/>
      <w:r w:rsidRPr="00E31CDA">
        <w:rPr>
          <w:lang w:val="en-US"/>
        </w:rPr>
        <w:t xml:space="preserve"> costs may suggest that wage growth will remain elevated ahead</w:t>
      </w:r>
      <w:r>
        <w:rPr>
          <w:lang w:val="en-US"/>
        </w:rPr>
        <w:t>, see c</w:t>
      </w:r>
      <w:r w:rsidRPr="00E31CDA">
        <w:rPr>
          <w:lang w:val="en-US"/>
        </w:rPr>
        <w:t xml:space="preserve">hart 4.3. Somewhat lower annual wage growth is expected for the coming years, </w:t>
      </w:r>
      <w:r>
        <w:rPr>
          <w:lang w:val="en-US"/>
        </w:rPr>
        <w:t>although</w:t>
      </w:r>
      <w:r w:rsidRPr="00E31CDA">
        <w:rPr>
          <w:lang w:val="en-US"/>
        </w:rPr>
        <w:t xml:space="preserve"> still considerable real wage growth </w:t>
      </w:r>
      <w:proofErr w:type="gramStart"/>
      <w:r w:rsidRPr="00E31CDA">
        <w:rPr>
          <w:lang w:val="en-US"/>
        </w:rPr>
        <w:t>as a result of</w:t>
      </w:r>
      <w:proofErr w:type="gramEnd"/>
      <w:r w:rsidRPr="00E31CDA">
        <w:rPr>
          <w:lang w:val="en-US"/>
        </w:rPr>
        <w:t xml:space="preserve"> lower inflation</w:t>
      </w:r>
      <w:r>
        <w:rPr>
          <w:lang w:val="en-US"/>
        </w:rPr>
        <w:t>, see c</w:t>
      </w:r>
      <w:r w:rsidRPr="00E31CDA">
        <w:rPr>
          <w:lang w:val="en-US"/>
        </w:rPr>
        <w:t>hart 2.14.</w:t>
      </w:r>
    </w:p>
    <w:p w14:paraId="2715A74B" w14:textId="10FA49C3" w:rsidR="00CB6E05" w:rsidRPr="00D66095" w:rsidRDefault="00CB6E05" w:rsidP="00CB6E05">
      <w:pPr>
        <w:spacing w:after="120" w:line="276" w:lineRule="auto"/>
        <w:rPr>
          <w:rFonts w:ascii="Times New Roman" w:hAnsi="Times New Roman" w:cs="Times New Roman"/>
          <w:sz w:val="24"/>
          <w:lang w:val="en-US"/>
        </w:rPr>
      </w:pPr>
      <w:r w:rsidRPr="00D66095">
        <w:rPr>
          <w:rFonts w:ascii="Times New Roman" w:hAnsi="Times New Roman" w:cs="Times New Roman"/>
          <w:noProof/>
          <w:sz w:val="24"/>
        </w:rPr>
        <w:lastRenderedPageBreak/>
        <w:drawing>
          <wp:inline distT="0" distB="0" distL="0" distR="0" wp14:anchorId="332BC67E" wp14:editId="316A9B61">
            <wp:extent cx="2219405" cy="2171700"/>
            <wp:effectExtent l="0" t="0" r="9525" b="0"/>
            <wp:docPr id="736653943" name="Bilde 1" descr="Chart 2.14 Private consumption and real wages. Percentage change from previous year. 2015–2027. Projections for 2025–2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53943" name="Bilde 1" descr="Chart 2.14 Private consumption and real wages. Percentage change from previous year. 2015–2027. Projections for 2025–2027&#10;"/>
                    <pic:cNvPicPr/>
                  </pic:nvPicPr>
                  <pic:blipFill>
                    <a:blip r:embed="rId13"/>
                    <a:stretch>
                      <a:fillRect/>
                    </a:stretch>
                  </pic:blipFill>
                  <pic:spPr>
                    <a:xfrm>
                      <a:off x="0" y="0"/>
                      <a:ext cx="2227778" cy="2179893"/>
                    </a:xfrm>
                    <a:prstGeom prst="rect">
                      <a:avLst/>
                    </a:prstGeom>
                  </pic:spPr>
                </pic:pic>
              </a:graphicData>
            </a:graphic>
          </wp:inline>
        </w:drawing>
      </w:r>
    </w:p>
    <w:p w14:paraId="04BF9D86" w14:textId="77777777" w:rsidR="00CB6E05" w:rsidRPr="00E31CDA" w:rsidRDefault="00CB6E05" w:rsidP="0019728F">
      <w:pPr>
        <w:pStyle w:val="avsnitt-tittel"/>
        <w:rPr>
          <w:lang w:val="en-US"/>
        </w:rPr>
      </w:pPr>
      <w:r>
        <w:rPr>
          <w:lang w:val="en-US"/>
        </w:rPr>
        <w:t xml:space="preserve">Chart 2.14 </w:t>
      </w:r>
      <w:r w:rsidRPr="00E31CDA">
        <w:rPr>
          <w:lang w:val="en-US"/>
        </w:rPr>
        <w:t>Private consumption and real wages. Percentage change from previous year. 2015–2027. Projections for 2025–2027</w:t>
      </w:r>
    </w:p>
    <w:p w14:paraId="460AD6C6" w14:textId="77777777" w:rsidR="00CB6E05" w:rsidRPr="00E31CDA" w:rsidRDefault="00CB6E05" w:rsidP="0019728F">
      <w:pPr>
        <w:pStyle w:val="Kilde"/>
        <w:rPr>
          <w:lang w:val="en-US"/>
        </w:rPr>
      </w:pPr>
      <w:r w:rsidRPr="00E31CDA">
        <w:rPr>
          <w:lang w:val="en-US"/>
        </w:rPr>
        <w:t>Sources: Statistics Norway and Ministry of Finance.</w:t>
      </w:r>
    </w:p>
    <w:p w14:paraId="28DE5381" w14:textId="77777777" w:rsidR="00CB6E05" w:rsidRPr="00E31CDA" w:rsidRDefault="00CB6E05" w:rsidP="001F11B9">
      <w:pPr>
        <w:pStyle w:val="avsnitt-undertittel"/>
        <w:rPr>
          <w:lang w:val="en-US"/>
        </w:rPr>
      </w:pPr>
      <w:r w:rsidRPr="00E31CDA">
        <w:rPr>
          <w:lang w:val="en-US"/>
        </w:rPr>
        <w:t>Higher growth in consumption ahead</w:t>
      </w:r>
    </w:p>
    <w:p w14:paraId="74365314" w14:textId="77777777" w:rsidR="00CB6E05" w:rsidRPr="00E31CDA" w:rsidRDefault="00CB6E05" w:rsidP="00A43258">
      <w:pPr>
        <w:rPr>
          <w:lang w:val="en-US"/>
        </w:rPr>
      </w:pPr>
      <w:r w:rsidRPr="00E31CDA">
        <w:rPr>
          <w:lang w:val="en-US"/>
        </w:rPr>
        <w:t xml:space="preserve">Growth in household consumption has picked up markedly this year, following a slight rise through last year. This reflects strong growth in household real disposable income, which rose by 4.2 per cent last year. Prospects for continued high real wage growth, further employment growth and gradually lower interest rates mean that income growth is expected to remain high in the period ahead, </w:t>
      </w:r>
      <w:r>
        <w:rPr>
          <w:lang w:val="en-US"/>
        </w:rPr>
        <w:t>boosting</w:t>
      </w:r>
      <w:r w:rsidRPr="00E31CDA">
        <w:rPr>
          <w:lang w:val="en-US"/>
        </w:rPr>
        <w:t xml:space="preserve"> consumption. </w:t>
      </w:r>
      <w:r>
        <w:rPr>
          <w:lang w:val="en-US"/>
        </w:rPr>
        <w:t>Higher</w:t>
      </w:r>
      <w:r w:rsidRPr="00E31CDA">
        <w:rPr>
          <w:lang w:val="en-US"/>
        </w:rPr>
        <w:t xml:space="preserve"> </w:t>
      </w:r>
      <w:r>
        <w:rPr>
          <w:lang w:val="en-US"/>
        </w:rPr>
        <w:t xml:space="preserve">housing prices </w:t>
      </w:r>
      <w:r w:rsidRPr="00E31CDA">
        <w:rPr>
          <w:lang w:val="en-US"/>
        </w:rPr>
        <w:t>is also expected to push up consumption growth. At the same time, it is assumed that households will save a slightly larger share of their income in the years ahead, following the low saving ratio in the post-pandemic period.</w:t>
      </w:r>
    </w:p>
    <w:p w14:paraId="631E1096" w14:textId="77777777" w:rsidR="00CB6E05" w:rsidRPr="00E31CDA" w:rsidRDefault="00CB6E05" w:rsidP="001F11B9">
      <w:pPr>
        <w:pStyle w:val="avsnitt-undertittel"/>
        <w:rPr>
          <w:lang w:val="en-US"/>
        </w:rPr>
      </w:pPr>
      <w:r w:rsidRPr="00E31CDA">
        <w:rPr>
          <w:lang w:val="en-US"/>
        </w:rPr>
        <w:t>Housing investment is expected to pick up next year</w:t>
      </w:r>
    </w:p>
    <w:p w14:paraId="136F411B" w14:textId="77777777" w:rsidR="00CB6E05" w:rsidRPr="00E31CDA" w:rsidRDefault="00CB6E05" w:rsidP="00A43258">
      <w:pPr>
        <w:rPr>
          <w:lang w:val="en-US"/>
        </w:rPr>
      </w:pPr>
      <w:r w:rsidRPr="00E31CDA">
        <w:rPr>
          <w:lang w:val="en-US"/>
        </w:rPr>
        <w:t xml:space="preserve">Following a sharp decline in housing investment in 2023 and 2024, the outlook for the new housing market is now brighter. New home sales have picked up from low levels over the past year and a half, and the number of new </w:t>
      </w:r>
      <w:proofErr w:type="gramStart"/>
      <w:r w:rsidRPr="00E31CDA">
        <w:rPr>
          <w:lang w:val="en-US"/>
        </w:rPr>
        <w:t>housing</w:t>
      </w:r>
      <w:proofErr w:type="gramEnd"/>
      <w:r w:rsidRPr="00E31CDA">
        <w:rPr>
          <w:lang w:val="en-US"/>
        </w:rPr>
        <w:t xml:space="preserve"> starts has increased so far this year. Construction companies in </w:t>
      </w:r>
      <w:proofErr w:type="spellStart"/>
      <w:r w:rsidRPr="00E31CDA">
        <w:rPr>
          <w:lang w:val="en-US"/>
        </w:rPr>
        <w:t>Norges</w:t>
      </w:r>
      <w:proofErr w:type="spellEnd"/>
      <w:r w:rsidRPr="00E31CDA">
        <w:rPr>
          <w:lang w:val="en-US"/>
        </w:rPr>
        <w:t xml:space="preserve"> Bank's regional network expect further activity growth in </w:t>
      </w:r>
      <w:r>
        <w:rPr>
          <w:lang w:val="en-US"/>
        </w:rPr>
        <w:t>the fourth quarter</w:t>
      </w:r>
      <w:r w:rsidRPr="00E31CDA">
        <w:rPr>
          <w:lang w:val="en-US"/>
        </w:rPr>
        <w:t>.</w:t>
      </w:r>
    </w:p>
    <w:p w14:paraId="2E2170E4" w14:textId="77777777" w:rsidR="00CB6E05" w:rsidRPr="00E31CDA" w:rsidRDefault="00CB6E05" w:rsidP="00A43258">
      <w:pPr>
        <w:rPr>
          <w:lang w:val="en-US"/>
        </w:rPr>
      </w:pPr>
      <w:r w:rsidRPr="00E31CDA">
        <w:rPr>
          <w:lang w:val="en-US"/>
        </w:rPr>
        <w:t xml:space="preserve">Housing construction has been very low in recent years, at the same time as demographic changes and migration patterns indicate a substantial underlying need for more housing to be built, particularly in and around the large cities. Together with the </w:t>
      </w:r>
      <w:r w:rsidRPr="00E31CDA">
        <w:rPr>
          <w:lang w:val="en-US"/>
        </w:rPr>
        <w:lastRenderedPageBreak/>
        <w:t>prospect of continued increased purchasing power and some further decline in interest rates, housing investment suggests that housing investment will pick up ahead. There is uncertainty as to how quickly housing investment will increase. This report assumes a marked increase, in line with previous experience following a sharp decline in housing investment.</w:t>
      </w:r>
    </w:p>
    <w:p w14:paraId="53F4AAA0" w14:textId="77777777" w:rsidR="00CB6E05" w:rsidRPr="00E31CDA" w:rsidRDefault="00CB6E05" w:rsidP="00A43258">
      <w:pPr>
        <w:rPr>
          <w:lang w:val="en-US"/>
        </w:rPr>
      </w:pPr>
      <w:r w:rsidRPr="00E31CDA">
        <w:rPr>
          <w:lang w:val="en-US"/>
        </w:rPr>
        <w:t xml:space="preserve">The </w:t>
      </w:r>
      <w:r>
        <w:rPr>
          <w:lang w:val="en-US"/>
        </w:rPr>
        <w:t>existing dwellings</w:t>
      </w:r>
      <w:r w:rsidRPr="00E31CDA">
        <w:rPr>
          <w:lang w:val="en-US"/>
        </w:rPr>
        <w:t xml:space="preserve"> market has been </w:t>
      </w:r>
      <w:proofErr w:type="spellStart"/>
      <w:r w:rsidRPr="00E31CDA">
        <w:rPr>
          <w:lang w:val="en-US"/>
        </w:rPr>
        <w:t>characterised</w:t>
      </w:r>
      <w:proofErr w:type="spellEnd"/>
      <w:r w:rsidRPr="00E31CDA">
        <w:rPr>
          <w:lang w:val="en-US"/>
        </w:rPr>
        <w:t xml:space="preserve"> by high activity and higher prices, even though prices are still below previous peak levels in real terms</w:t>
      </w:r>
      <w:r>
        <w:rPr>
          <w:lang w:val="en-US"/>
        </w:rPr>
        <w:t>, see c</w:t>
      </w:r>
      <w:r w:rsidRPr="00E31CDA">
        <w:rPr>
          <w:lang w:val="en-US"/>
        </w:rPr>
        <w:t xml:space="preserve">hart 2.15. </w:t>
      </w:r>
      <w:r>
        <w:rPr>
          <w:lang w:val="en-US"/>
        </w:rPr>
        <w:t xml:space="preserve">Housing price growth was </w:t>
      </w:r>
      <w:r w:rsidRPr="00E31CDA">
        <w:rPr>
          <w:lang w:val="en-US"/>
        </w:rPr>
        <w:t xml:space="preserve">abnormally </w:t>
      </w:r>
      <w:r>
        <w:rPr>
          <w:lang w:val="en-US"/>
        </w:rPr>
        <w:t xml:space="preserve">high </w:t>
      </w:r>
      <w:r w:rsidRPr="00E31CDA">
        <w:rPr>
          <w:lang w:val="en-US"/>
        </w:rPr>
        <w:t>around the turn of the year. It then declined somewhat in the following months before picking up again in August. The upturn this winter reflects improved purchasing power, expectations of lower interest rates and probably also the reduction in the lending regulation's equity capital requirement for residential mortgages. Hous</w:t>
      </w:r>
      <w:r>
        <w:rPr>
          <w:lang w:val="en-US"/>
        </w:rPr>
        <w:t>ing</w:t>
      </w:r>
      <w:r w:rsidRPr="00E31CDA">
        <w:rPr>
          <w:lang w:val="en-US"/>
        </w:rPr>
        <w:t xml:space="preserve"> price</w:t>
      </w:r>
      <w:r>
        <w:rPr>
          <w:lang w:val="en-US"/>
        </w:rPr>
        <w:t>s</w:t>
      </w:r>
      <w:r w:rsidRPr="00E31CDA">
        <w:rPr>
          <w:lang w:val="en-US"/>
        </w:rPr>
        <w:t xml:space="preserve"> is expected to </w:t>
      </w:r>
      <w:r>
        <w:rPr>
          <w:lang w:val="en-US"/>
        </w:rPr>
        <w:t xml:space="preserve">growth more </w:t>
      </w:r>
      <w:r w:rsidRPr="00E31CDA">
        <w:rPr>
          <w:lang w:val="en-US"/>
        </w:rPr>
        <w:t xml:space="preserve">than normal this year and next. This can reduce the price differences between </w:t>
      </w:r>
      <w:r>
        <w:rPr>
          <w:lang w:val="en-US"/>
        </w:rPr>
        <w:t>existing dwellings</w:t>
      </w:r>
      <w:r w:rsidRPr="00E31CDA">
        <w:rPr>
          <w:lang w:val="en-US"/>
        </w:rPr>
        <w:t xml:space="preserve"> and new homes and contribute to a pick-up in residential construction.</w:t>
      </w:r>
    </w:p>
    <w:p w14:paraId="6C42A71F" w14:textId="77777777" w:rsidR="00CB6E05" w:rsidRPr="00F51511" w:rsidRDefault="00CB6E05" w:rsidP="00CB6E05">
      <w:pPr>
        <w:spacing w:after="120" w:line="276" w:lineRule="auto"/>
        <w:rPr>
          <w:rFonts w:ascii="Times New Roman" w:hAnsi="Times New Roman" w:cs="Times New Roman"/>
          <w:sz w:val="24"/>
          <w:lang w:val="en-US"/>
        </w:rPr>
      </w:pPr>
      <w:r w:rsidRPr="00D66095">
        <w:rPr>
          <w:noProof/>
          <w:lang w:val="en-US"/>
        </w:rPr>
        <w:t xml:space="preserve"> </w:t>
      </w:r>
      <w:r w:rsidRPr="00D66095">
        <w:rPr>
          <w:rFonts w:ascii="Times New Roman" w:hAnsi="Times New Roman" w:cs="Times New Roman"/>
          <w:noProof/>
          <w:sz w:val="24"/>
        </w:rPr>
        <w:drawing>
          <wp:inline distT="0" distB="0" distL="0" distR="0" wp14:anchorId="61D79647" wp14:editId="26AD0AEB">
            <wp:extent cx="2273185" cy="2181225"/>
            <wp:effectExtent l="0" t="0" r="0" b="0"/>
            <wp:docPr id="953626608" name="Bilde 1" descr="Chart 2.15 Prices of existing dwellings. January 2020 = 100. Seasonally adjusted. Jan. 2020-Aug.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26608" name="Bilde 1" descr="Chart 2.15 Prices of existing dwellings. January 2020 = 100. Seasonally adjusted. Jan. 2020-Aug. 2025&#10;"/>
                    <pic:cNvPicPr/>
                  </pic:nvPicPr>
                  <pic:blipFill>
                    <a:blip r:embed="rId14"/>
                    <a:stretch>
                      <a:fillRect/>
                    </a:stretch>
                  </pic:blipFill>
                  <pic:spPr>
                    <a:xfrm>
                      <a:off x="0" y="0"/>
                      <a:ext cx="2276351" cy="2184263"/>
                    </a:xfrm>
                    <a:prstGeom prst="rect">
                      <a:avLst/>
                    </a:prstGeom>
                  </pic:spPr>
                </pic:pic>
              </a:graphicData>
            </a:graphic>
          </wp:inline>
        </w:drawing>
      </w:r>
    </w:p>
    <w:p w14:paraId="541238C9" w14:textId="77777777" w:rsidR="00CB6E05" w:rsidRPr="00E31CDA" w:rsidRDefault="00CB6E05" w:rsidP="0019728F">
      <w:pPr>
        <w:pStyle w:val="avsnitt-tittel"/>
        <w:rPr>
          <w:lang w:val="en-US"/>
        </w:rPr>
      </w:pPr>
      <w:r>
        <w:rPr>
          <w:lang w:val="en-US"/>
        </w:rPr>
        <w:t>Chart 2.15 Prices of existing dwellings</w:t>
      </w:r>
      <w:r w:rsidRPr="00E31CDA">
        <w:rPr>
          <w:lang w:val="en-US"/>
        </w:rPr>
        <w:t>. January 2020 = 100. Seasonally adjusted. Jan. 2020-Aug. 2025</w:t>
      </w:r>
    </w:p>
    <w:p w14:paraId="5A195FD8" w14:textId="77777777" w:rsidR="00CB6E05" w:rsidRPr="00E31CDA" w:rsidRDefault="00CB6E05" w:rsidP="0019728F">
      <w:pPr>
        <w:pStyle w:val="Note"/>
        <w:rPr>
          <w:lang w:val="en-US"/>
        </w:rPr>
      </w:pPr>
      <w:r w:rsidRPr="00E31CDA">
        <w:rPr>
          <w:lang w:val="en-US"/>
        </w:rPr>
        <w:t>Note: Real house prices are calculated by deflating Real Estate Norway's seasonally adjusted second-hand housing price series by the seasonally adjusted consumer price index.</w:t>
      </w:r>
    </w:p>
    <w:p w14:paraId="1A7EBFBB" w14:textId="77777777" w:rsidR="00CB6E05" w:rsidRPr="00E31CDA" w:rsidRDefault="00CB6E05" w:rsidP="0019728F">
      <w:pPr>
        <w:pStyle w:val="Kilde"/>
        <w:rPr>
          <w:lang w:val="en-US"/>
        </w:rPr>
      </w:pPr>
      <w:r w:rsidRPr="00E31CDA">
        <w:rPr>
          <w:lang w:val="en-US"/>
        </w:rPr>
        <w:t xml:space="preserve">Sources: Property Norway, </w:t>
      </w:r>
      <w:proofErr w:type="spellStart"/>
      <w:r w:rsidRPr="00E31CDA">
        <w:rPr>
          <w:lang w:val="en-US"/>
        </w:rPr>
        <w:t>Eiendomsverdi</w:t>
      </w:r>
      <w:proofErr w:type="spellEnd"/>
      <w:r w:rsidRPr="00E31CDA">
        <w:rPr>
          <w:lang w:val="en-US"/>
        </w:rPr>
        <w:t>, Finn.no, Statistics Norway and Ministry of Finance.</w:t>
      </w:r>
    </w:p>
    <w:p w14:paraId="0B8E2FBF" w14:textId="77777777" w:rsidR="00CB6E05" w:rsidRPr="00E31CDA" w:rsidRDefault="00CB6E05" w:rsidP="001F11B9">
      <w:pPr>
        <w:pStyle w:val="avsnitt-undertittel"/>
        <w:rPr>
          <w:lang w:val="en-US"/>
        </w:rPr>
      </w:pPr>
      <w:r w:rsidRPr="00E31CDA">
        <w:rPr>
          <w:lang w:val="en-US"/>
        </w:rPr>
        <w:lastRenderedPageBreak/>
        <w:t>Power</w:t>
      </w:r>
      <w:r>
        <w:rPr>
          <w:lang w:val="en-US"/>
        </w:rPr>
        <w:t xml:space="preserve"> supply</w:t>
      </w:r>
      <w:r w:rsidRPr="00E31CDA">
        <w:rPr>
          <w:lang w:val="en-US"/>
        </w:rPr>
        <w:t xml:space="preserve"> investment is underpinning business investment</w:t>
      </w:r>
    </w:p>
    <w:p w14:paraId="68CA5873" w14:textId="77777777" w:rsidR="00CB6E05" w:rsidRPr="00E31CDA" w:rsidRDefault="00CB6E05" w:rsidP="00A43258">
      <w:pPr>
        <w:rPr>
          <w:lang w:val="en-US"/>
        </w:rPr>
      </w:pPr>
      <w:r w:rsidRPr="00E31CDA">
        <w:rPr>
          <w:lang w:val="en-US"/>
        </w:rPr>
        <w:t xml:space="preserve">After a gradual decline from 2019, mainland business investment has </w:t>
      </w:r>
      <w:proofErr w:type="spellStart"/>
      <w:r w:rsidRPr="00E31CDA">
        <w:rPr>
          <w:lang w:val="en-US"/>
        </w:rPr>
        <w:t>stabilised</w:t>
      </w:r>
      <w:proofErr w:type="spellEnd"/>
      <w:r w:rsidRPr="00E31CDA">
        <w:rPr>
          <w:lang w:val="en-US"/>
        </w:rPr>
        <w:t xml:space="preserve"> close to its historical average, measured as a share of GDP. After falling slightly last year, moderate growth is expected ahea</w:t>
      </w:r>
      <w:r>
        <w:rPr>
          <w:lang w:val="en-US"/>
        </w:rPr>
        <w:t>d, see c</w:t>
      </w:r>
      <w:r w:rsidRPr="00E31CDA">
        <w:rPr>
          <w:lang w:val="en-US"/>
        </w:rPr>
        <w:t>hart 2.16.</w:t>
      </w:r>
    </w:p>
    <w:p w14:paraId="35B0181B" w14:textId="77777777" w:rsidR="00CB6E05" w:rsidRPr="005F493D" w:rsidRDefault="00CB6E05" w:rsidP="00CB6E05">
      <w:pPr>
        <w:spacing w:after="120" w:line="276" w:lineRule="auto"/>
        <w:rPr>
          <w:rFonts w:ascii="Times New Roman" w:hAnsi="Times New Roman" w:cs="Times New Roman"/>
          <w:sz w:val="24"/>
          <w:lang w:val="en-US"/>
        </w:rPr>
      </w:pPr>
      <w:r w:rsidRPr="005F493D">
        <w:rPr>
          <w:noProof/>
          <w:lang w:val="en-US"/>
        </w:rPr>
        <w:t xml:space="preserve"> </w:t>
      </w:r>
      <w:r w:rsidRPr="00D66095">
        <w:rPr>
          <w:rFonts w:ascii="Times New Roman" w:hAnsi="Times New Roman" w:cs="Times New Roman"/>
          <w:noProof/>
          <w:sz w:val="24"/>
        </w:rPr>
        <w:drawing>
          <wp:inline distT="0" distB="0" distL="0" distR="0" wp14:anchorId="5788AD24" wp14:editId="31671AC4">
            <wp:extent cx="2287295" cy="2188210"/>
            <wp:effectExtent l="0" t="0" r="0" b="2540"/>
            <wp:docPr id="1139841576" name="Bilde 1" descr="Chart 2.16 Gross fixed capital formation. Mainland industries, petroleum and housing. NOK billion at 2022 prices. 2000–2027. Projections 2025-2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41576" name="Bilde 1" descr="Chart 2.16 Gross fixed capital formation. Mainland industries, petroleum and housing. NOK billion at 2022 prices. 2000–2027. Projections 2025-2027&#10;"/>
                    <pic:cNvPicPr/>
                  </pic:nvPicPr>
                  <pic:blipFill>
                    <a:blip r:embed="rId15"/>
                    <a:stretch>
                      <a:fillRect/>
                    </a:stretch>
                  </pic:blipFill>
                  <pic:spPr>
                    <a:xfrm>
                      <a:off x="0" y="0"/>
                      <a:ext cx="2295519" cy="2196078"/>
                    </a:xfrm>
                    <a:prstGeom prst="rect">
                      <a:avLst/>
                    </a:prstGeom>
                  </pic:spPr>
                </pic:pic>
              </a:graphicData>
            </a:graphic>
          </wp:inline>
        </w:drawing>
      </w:r>
    </w:p>
    <w:p w14:paraId="3F99A5F7" w14:textId="77777777" w:rsidR="00CB6E05" w:rsidRPr="00E31CDA" w:rsidRDefault="00CB6E05" w:rsidP="00E1651D">
      <w:pPr>
        <w:pStyle w:val="avsnitt-tittel"/>
        <w:rPr>
          <w:lang w:val="en-US"/>
        </w:rPr>
      </w:pPr>
      <w:r>
        <w:rPr>
          <w:lang w:val="en-US"/>
        </w:rPr>
        <w:t xml:space="preserve">Chart 2.16 </w:t>
      </w:r>
      <w:r w:rsidRPr="00E31CDA">
        <w:rPr>
          <w:lang w:val="en-US"/>
        </w:rPr>
        <w:t>Gross fixed capital formation. Mainland industries, petroleum and housing. NOK billion at 2022 prices. 2000–2027. Projections 2025-2027</w:t>
      </w:r>
    </w:p>
    <w:p w14:paraId="0480CCA0" w14:textId="77777777" w:rsidR="00CB6E05" w:rsidRPr="00E31CDA" w:rsidRDefault="00CB6E05" w:rsidP="00E1651D">
      <w:pPr>
        <w:pStyle w:val="Kilde"/>
        <w:rPr>
          <w:lang w:val="en-US"/>
        </w:rPr>
      </w:pPr>
      <w:r w:rsidRPr="00E31CDA">
        <w:rPr>
          <w:lang w:val="en-US"/>
        </w:rPr>
        <w:t>Sources: Statistics Norway, the Ministry of Energy, the Norwegian Offshore Directorate and the Ministry of Finance.</w:t>
      </w:r>
    </w:p>
    <w:p w14:paraId="5C36CC12" w14:textId="77777777" w:rsidR="00CB6E05" w:rsidRPr="00E31CDA" w:rsidRDefault="00CB6E05" w:rsidP="00A43258">
      <w:pPr>
        <w:rPr>
          <w:lang w:val="en-US"/>
        </w:rPr>
      </w:pPr>
      <w:r w:rsidRPr="00E31CDA">
        <w:rPr>
          <w:lang w:val="en-US"/>
        </w:rPr>
        <w:t xml:space="preserve">Investments in </w:t>
      </w:r>
      <w:r>
        <w:rPr>
          <w:lang w:val="en-US"/>
        </w:rPr>
        <w:t xml:space="preserve">the </w:t>
      </w:r>
      <w:r w:rsidRPr="00E31CDA">
        <w:rPr>
          <w:lang w:val="en-US"/>
        </w:rPr>
        <w:t xml:space="preserve">power supply are making a significant contribution to overall investment growth this year, and estimates from Statistics Norway's investment intentions survey indicate a further increase in power investment next year. In other industries, </w:t>
      </w:r>
      <w:r>
        <w:rPr>
          <w:lang w:val="en-US"/>
        </w:rPr>
        <w:t>growth is</w:t>
      </w:r>
      <w:r w:rsidRPr="00E31CDA">
        <w:rPr>
          <w:lang w:val="en-US"/>
        </w:rPr>
        <w:t xml:space="preserve"> more subdued. According to </w:t>
      </w:r>
      <w:proofErr w:type="spellStart"/>
      <w:r w:rsidRPr="00E31CDA">
        <w:rPr>
          <w:lang w:val="en-US"/>
        </w:rPr>
        <w:t>Norges</w:t>
      </w:r>
      <w:proofErr w:type="spellEnd"/>
      <w:r w:rsidRPr="00E31CDA">
        <w:rPr>
          <w:lang w:val="en-US"/>
        </w:rPr>
        <w:t xml:space="preserve"> Bank's regional network, the service industries, which account for about two-thirds of investment in mainland industries, expect no change this year and some growth next year.</w:t>
      </w:r>
    </w:p>
    <w:p w14:paraId="3D3FC65A" w14:textId="77777777" w:rsidR="00CB6E05" w:rsidRPr="00E31CDA" w:rsidRDefault="00CB6E05" w:rsidP="00A43258">
      <w:pPr>
        <w:rPr>
          <w:lang w:val="en-US"/>
        </w:rPr>
      </w:pPr>
      <w:r>
        <w:rPr>
          <w:lang w:val="en-US"/>
        </w:rPr>
        <w:t xml:space="preserve">Increased </w:t>
      </w:r>
      <w:proofErr w:type="spellStart"/>
      <w:r w:rsidRPr="00E31CDA">
        <w:rPr>
          <w:lang w:val="en-US"/>
        </w:rPr>
        <w:t>defence</w:t>
      </w:r>
      <w:proofErr w:type="spellEnd"/>
      <w:r w:rsidRPr="00E31CDA">
        <w:rPr>
          <w:lang w:val="en-US"/>
        </w:rPr>
        <w:t xml:space="preserve"> </w:t>
      </w:r>
      <w:r>
        <w:rPr>
          <w:lang w:val="en-US"/>
        </w:rPr>
        <w:t xml:space="preserve">expenditure </w:t>
      </w:r>
      <w:r w:rsidRPr="00E31CDA">
        <w:rPr>
          <w:lang w:val="en-US"/>
        </w:rPr>
        <w:t>in Europe may boost activity in domestic</w:t>
      </w:r>
      <w:r>
        <w:rPr>
          <w:lang w:val="en-US"/>
        </w:rPr>
        <w:t xml:space="preserve"> manufacturing industry</w:t>
      </w:r>
      <w:r w:rsidRPr="00E31CDA">
        <w:rPr>
          <w:lang w:val="en-US"/>
        </w:rPr>
        <w:t>, but the investment intentions survey points to higher investment only from next year. The</w:t>
      </w:r>
      <w:r>
        <w:rPr>
          <w:lang w:val="en-US"/>
        </w:rPr>
        <w:t xml:space="preserve"> contacts</w:t>
      </w:r>
      <w:r w:rsidRPr="00E31CDA">
        <w:rPr>
          <w:lang w:val="en-US"/>
        </w:rPr>
        <w:t xml:space="preserve"> in </w:t>
      </w:r>
      <w:proofErr w:type="spellStart"/>
      <w:r w:rsidRPr="00E31CDA">
        <w:rPr>
          <w:lang w:val="en-US"/>
        </w:rPr>
        <w:t>Norges</w:t>
      </w:r>
      <w:proofErr w:type="spellEnd"/>
      <w:r w:rsidRPr="00E31CDA">
        <w:rPr>
          <w:lang w:val="en-US"/>
        </w:rPr>
        <w:t xml:space="preserve"> Bank's regional network report that international trade conflicts have little effect on the willingness to invest, and that exports to the US can largely be diverted to other markets.</w:t>
      </w:r>
    </w:p>
    <w:p w14:paraId="52A92F2E" w14:textId="77777777" w:rsidR="00CB6E05" w:rsidRPr="00E31CDA" w:rsidRDefault="00CB6E05" w:rsidP="001F11B9">
      <w:pPr>
        <w:pStyle w:val="avsnitt-undertittel"/>
        <w:rPr>
          <w:lang w:val="en-US"/>
        </w:rPr>
      </w:pPr>
      <w:r w:rsidRPr="00E31CDA">
        <w:rPr>
          <w:lang w:val="en-US"/>
        </w:rPr>
        <w:lastRenderedPageBreak/>
        <w:t>Lower growth impulses from petroleum investment</w:t>
      </w:r>
    </w:p>
    <w:p w14:paraId="3F83D24D" w14:textId="77777777" w:rsidR="00CB6E05" w:rsidRPr="00E31CDA" w:rsidRDefault="00CB6E05" w:rsidP="00A43258">
      <w:pPr>
        <w:rPr>
          <w:lang w:val="en-US"/>
        </w:rPr>
      </w:pPr>
      <w:r w:rsidRPr="00E31CDA">
        <w:rPr>
          <w:lang w:val="en-US"/>
        </w:rPr>
        <w:t xml:space="preserve">Petroleum investment has increased sharply over the past two years, particularly </w:t>
      </w:r>
      <w:proofErr w:type="gramStart"/>
      <w:r w:rsidRPr="00E31CDA">
        <w:rPr>
          <w:lang w:val="en-US"/>
        </w:rPr>
        <w:t>as a result of</w:t>
      </w:r>
      <w:proofErr w:type="gramEnd"/>
      <w:r w:rsidRPr="00E31CDA">
        <w:rPr>
          <w:lang w:val="en-US"/>
        </w:rPr>
        <w:t xml:space="preserve"> the tax rule changes adopted by the Storting in spring 2020. Report</w:t>
      </w:r>
      <w:r>
        <w:rPr>
          <w:lang w:val="en-US"/>
        </w:rPr>
        <w:t>s</w:t>
      </w:r>
      <w:r w:rsidRPr="00E31CDA">
        <w:rPr>
          <w:lang w:val="en-US"/>
        </w:rPr>
        <w:t xml:space="preserve"> from the oil companies to the Norwegian Offshore Directorate and Statistics Norway's investment intentions survey for the third quarter may indicate that petroleum investment will increase further in 2025, particularly for investments in producing fields.</w:t>
      </w:r>
    </w:p>
    <w:p w14:paraId="3F279E9A" w14:textId="77777777" w:rsidR="00CB6E05" w:rsidRPr="00E31CDA" w:rsidRDefault="00CB6E05" w:rsidP="00A43258">
      <w:pPr>
        <w:rPr>
          <w:lang w:val="en-US"/>
        </w:rPr>
      </w:pPr>
      <w:r w:rsidRPr="00E31CDA">
        <w:rPr>
          <w:lang w:val="en-US"/>
        </w:rPr>
        <w:t xml:space="preserve">Petroleum investment has long been expected to decline further out. So far this year, only one plan for development and operation (PDO) has been submitted and approved, which is in stark contrast to the high number of plans submitted before the end of 2022 to take advantage of the temporary tax rules. Petroleum investment is projected to decline in the coming years, particularly </w:t>
      </w:r>
      <w:proofErr w:type="gramStart"/>
      <w:r w:rsidRPr="00E31CDA">
        <w:rPr>
          <w:lang w:val="en-US"/>
        </w:rPr>
        <w:t>as a result of</w:t>
      </w:r>
      <w:proofErr w:type="gramEnd"/>
      <w:r w:rsidRPr="00E31CDA">
        <w:rPr>
          <w:lang w:val="en-US"/>
        </w:rPr>
        <w:t xml:space="preserve"> a decline in field development</w:t>
      </w:r>
      <w:r>
        <w:rPr>
          <w:lang w:val="en-US"/>
        </w:rPr>
        <w:t>, see c</w:t>
      </w:r>
      <w:r w:rsidRPr="00E31CDA">
        <w:rPr>
          <w:lang w:val="en-US"/>
        </w:rPr>
        <w:t>hart 2.16.</w:t>
      </w:r>
    </w:p>
    <w:p w14:paraId="6DFC507C" w14:textId="77777777" w:rsidR="00CB6E05" w:rsidRPr="00E31CDA" w:rsidRDefault="00CB6E05" w:rsidP="001F11B9">
      <w:pPr>
        <w:pStyle w:val="avsnitt-undertittel"/>
        <w:rPr>
          <w:lang w:val="en-US"/>
        </w:rPr>
      </w:pPr>
      <w:r w:rsidRPr="00E31CDA">
        <w:rPr>
          <w:lang w:val="en-US"/>
        </w:rPr>
        <w:t>The krone has appreciated slightly this year</w:t>
      </w:r>
    </w:p>
    <w:p w14:paraId="03A89D63" w14:textId="77777777" w:rsidR="00CB6E05" w:rsidRPr="00E31CDA" w:rsidRDefault="00CB6E05" w:rsidP="00A43258">
      <w:pPr>
        <w:rPr>
          <w:lang w:val="en-US"/>
        </w:rPr>
      </w:pPr>
      <w:r w:rsidRPr="00E31CDA">
        <w:rPr>
          <w:lang w:val="en-US"/>
        </w:rPr>
        <w:t>After depreciating markedly through 2022 and the first half of 2023, the krone exchange rate has been more stable over the past two years</w:t>
      </w:r>
      <w:r>
        <w:rPr>
          <w:lang w:val="en-US"/>
        </w:rPr>
        <w:t>, see c</w:t>
      </w:r>
      <w:r w:rsidRPr="00E31CDA">
        <w:rPr>
          <w:lang w:val="en-US"/>
        </w:rPr>
        <w:t xml:space="preserve">hart 2.17. In connection with the announcement of higher tariffs on US imports this spring, the krone depreciated </w:t>
      </w:r>
      <w:proofErr w:type="gramStart"/>
      <w:r w:rsidRPr="00E31CDA">
        <w:rPr>
          <w:lang w:val="en-US"/>
        </w:rPr>
        <w:t>considerably, but</w:t>
      </w:r>
      <w:proofErr w:type="gramEnd"/>
      <w:r w:rsidRPr="00E31CDA">
        <w:rPr>
          <w:lang w:val="en-US"/>
        </w:rPr>
        <w:t xml:space="preserve"> has since appreciated and is now slightly stronger than at the beginning of the year, as measured by the import-weighted krone exchange rate I-44. Even though global uncertainty has diminished somewhat through summer, there is still a risk of financial market turbulence and there is considerable uncertainty about future movements in the krone exchange rate. This report makes the technical assumption that the exchange rate will remain unchanged going forward. Technically, this means that the krone as an annual average will appreciate by about 1/2 per cent this year and by a further 1/2 per cent next year. The level of the krone exchange rate nevertheless indicates that it continues to contribute to solid earning capacity in the </w:t>
      </w:r>
      <w:r>
        <w:rPr>
          <w:lang w:val="en-US"/>
        </w:rPr>
        <w:t>frontline</w:t>
      </w:r>
      <w:r w:rsidRPr="00E31CDA">
        <w:rPr>
          <w:lang w:val="en-US"/>
        </w:rPr>
        <w:t xml:space="preserve"> sector.</w:t>
      </w:r>
    </w:p>
    <w:p w14:paraId="76AA87A6" w14:textId="77777777" w:rsidR="00CB6E05" w:rsidRPr="005F493D" w:rsidRDefault="00CB6E05" w:rsidP="00CB6E05">
      <w:pPr>
        <w:spacing w:after="120" w:line="276" w:lineRule="auto"/>
        <w:rPr>
          <w:rFonts w:ascii="Times New Roman" w:hAnsi="Times New Roman" w:cs="Times New Roman"/>
          <w:sz w:val="24"/>
          <w:lang w:val="en-US"/>
        </w:rPr>
      </w:pPr>
      <w:r w:rsidRPr="005F493D">
        <w:rPr>
          <w:noProof/>
          <w:lang w:val="en-US"/>
        </w:rPr>
        <w:lastRenderedPageBreak/>
        <w:t xml:space="preserve"> </w:t>
      </w:r>
      <w:r w:rsidRPr="00D66095">
        <w:rPr>
          <w:rFonts w:ascii="Times New Roman" w:hAnsi="Times New Roman" w:cs="Times New Roman"/>
          <w:noProof/>
          <w:sz w:val="24"/>
        </w:rPr>
        <w:drawing>
          <wp:inline distT="0" distB="0" distL="0" distR="0" wp14:anchorId="5B7A9F21" wp14:editId="0A378B3C">
            <wp:extent cx="2181225" cy="2178580"/>
            <wp:effectExtent l="0" t="0" r="0" b="0"/>
            <wp:docPr id="2126800842" name="Bilde 1" descr="Chart 2.17 Import-weighted exchange rate index (I-44)1. Jan. 1st 2019–Sept. 30th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0842" name="Bilde 1" descr="Chart 2.17 Import-weighted exchange rate index (I-44)1. Jan. 1st 2019–Sept. 30th 2025&#10;"/>
                    <pic:cNvPicPr/>
                  </pic:nvPicPr>
                  <pic:blipFill>
                    <a:blip r:embed="rId16"/>
                    <a:stretch>
                      <a:fillRect/>
                    </a:stretch>
                  </pic:blipFill>
                  <pic:spPr>
                    <a:xfrm>
                      <a:off x="0" y="0"/>
                      <a:ext cx="2189821" cy="2187165"/>
                    </a:xfrm>
                    <a:prstGeom prst="rect">
                      <a:avLst/>
                    </a:prstGeom>
                  </pic:spPr>
                </pic:pic>
              </a:graphicData>
            </a:graphic>
          </wp:inline>
        </w:drawing>
      </w:r>
    </w:p>
    <w:p w14:paraId="0722DD59" w14:textId="77777777" w:rsidR="00CB6E05" w:rsidRPr="00E31CDA" w:rsidRDefault="00CB6E05" w:rsidP="00E1651D">
      <w:pPr>
        <w:pStyle w:val="avsnitt-tittel"/>
        <w:rPr>
          <w:lang w:val="en-US"/>
        </w:rPr>
      </w:pPr>
      <w:r>
        <w:rPr>
          <w:lang w:val="en-US"/>
        </w:rPr>
        <w:t xml:space="preserve">Chart 2.17 </w:t>
      </w:r>
      <w:r w:rsidRPr="00E31CDA">
        <w:rPr>
          <w:lang w:val="en-US"/>
        </w:rPr>
        <w:t>Import-weighted exchange rate index (I-44)</w:t>
      </w:r>
      <w:r w:rsidRPr="00E31CDA">
        <w:rPr>
          <w:sz w:val="20"/>
          <w:vertAlign w:val="superscript"/>
          <w:lang w:val="en-US"/>
        </w:rPr>
        <w:t>1</w:t>
      </w:r>
      <w:r w:rsidRPr="00E31CDA">
        <w:rPr>
          <w:lang w:val="en-US"/>
        </w:rPr>
        <w:t xml:space="preserve">. Jan. </w:t>
      </w:r>
      <w:r>
        <w:rPr>
          <w:lang w:val="en-US"/>
        </w:rPr>
        <w:t>1st</w:t>
      </w:r>
      <w:proofErr w:type="gramStart"/>
      <w:r w:rsidRPr="00E31CDA">
        <w:rPr>
          <w:lang w:val="en-US"/>
        </w:rPr>
        <w:t xml:space="preserve"> 2019</w:t>
      </w:r>
      <w:proofErr w:type="gramEnd"/>
      <w:r w:rsidRPr="00E31CDA">
        <w:rPr>
          <w:lang w:val="en-US"/>
        </w:rPr>
        <w:t>–Sept. 30</w:t>
      </w:r>
      <w:r>
        <w:rPr>
          <w:lang w:val="en-US"/>
        </w:rPr>
        <w:t>th</w:t>
      </w:r>
      <w:r w:rsidRPr="00E31CDA">
        <w:rPr>
          <w:lang w:val="en-US"/>
        </w:rPr>
        <w:t xml:space="preserve"> 2025</w:t>
      </w:r>
    </w:p>
    <w:p w14:paraId="5F92647D" w14:textId="77777777" w:rsidR="00CB6E05" w:rsidRPr="00E31CDA" w:rsidRDefault="00CB6E05" w:rsidP="00E1651D">
      <w:pPr>
        <w:pStyle w:val="Note"/>
        <w:rPr>
          <w:vertAlign w:val="superscript"/>
          <w:lang w:val="en-US"/>
        </w:rPr>
      </w:pPr>
      <w:r w:rsidRPr="00E31CDA">
        <w:rPr>
          <w:vertAlign w:val="superscript"/>
          <w:lang w:val="en-US"/>
        </w:rPr>
        <w:t>1</w:t>
      </w:r>
      <w:r w:rsidRPr="00E31CDA">
        <w:rPr>
          <w:lang w:val="en-US"/>
        </w:rPr>
        <w:tab/>
        <w:t>I-44 is a calculated exchange rate index based on exchange rates between NOK and the currencies of Norway's 44 most important trading partners measured by import value. A higher index value means a weaker krone, and the axes have therefore been inverted.</w:t>
      </w:r>
    </w:p>
    <w:p w14:paraId="0E26025B" w14:textId="77777777" w:rsidR="00CB6E05" w:rsidRPr="00E31CDA" w:rsidRDefault="00CB6E05" w:rsidP="00E1651D">
      <w:pPr>
        <w:pStyle w:val="Kilde"/>
        <w:rPr>
          <w:lang w:val="en-US"/>
        </w:rPr>
      </w:pPr>
      <w:r w:rsidRPr="00E31CDA">
        <w:rPr>
          <w:lang w:val="en-US"/>
        </w:rPr>
        <w:t xml:space="preserve">Source: </w:t>
      </w:r>
      <w:proofErr w:type="spellStart"/>
      <w:r w:rsidRPr="00E31CDA">
        <w:rPr>
          <w:lang w:val="en-US"/>
        </w:rPr>
        <w:t>Norges</w:t>
      </w:r>
      <w:proofErr w:type="spellEnd"/>
      <w:r w:rsidRPr="00E31CDA">
        <w:rPr>
          <w:lang w:val="en-US"/>
        </w:rPr>
        <w:t xml:space="preserve"> Bank.</w:t>
      </w:r>
    </w:p>
    <w:p w14:paraId="63350299" w14:textId="77777777" w:rsidR="00CB6E05" w:rsidRPr="00E31CDA" w:rsidRDefault="00CB6E05" w:rsidP="001F11B9">
      <w:pPr>
        <w:pStyle w:val="avsnitt-undertittel"/>
        <w:rPr>
          <w:lang w:val="en-US"/>
        </w:rPr>
      </w:pPr>
      <w:r w:rsidRPr="00E31CDA">
        <w:rPr>
          <w:lang w:val="en-US"/>
        </w:rPr>
        <w:t>Somewhat lower growth in mainland exports ahead</w:t>
      </w:r>
    </w:p>
    <w:p w14:paraId="03B18180" w14:textId="77777777" w:rsidR="00CB6E05" w:rsidRPr="00E31CDA" w:rsidRDefault="00CB6E05" w:rsidP="00A43258">
      <w:pPr>
        <w:rPr>
          <w:lang w:val="en-US"/>
        </w:rPr>
      </w:pPr>
      <w:r w:rsidRPr="00E31CDA">
        <w:rPr>
          <w:lang w:val="en-US"/>
        </w:rPr>
        <w:t xml:space="preserve">Mainland exports have increased markedly over the past four years. There has been particularly strong growth in service exports, partly </w:t>
      </w:r>
      <w:proofErr w:type="gramStart"/>
      <w:r w:rsidRPr="00E31CDA">
        <w:rPr>
          <w:lang w:val="en-US"/>
        </w:rPr>
        <w:t>as a result of</w:t>
      </w:r>
      <w:proofErr w:type="gramEnd"/>
      <w:r w:rsidRPr="00E31CDA">
        <w:rPr>
          <w:lang w:val="en-US"/>
        </w:rPr>
        <w:t xml:space="preserve"> strong growth in the tourism industry. In 2024, tourism accounted for almost 8 per cent of mainland exports, which is slightly higher than in the pre-pandemic years. High growth in exports of engineering products has also pushed up mainland exports. In recent years, a weak krone has contributed to export growth by improving the competitiveness of Norwegian manufacturing companies and by boosting tourism activity in Norway. Somewhat lower growth in exports is expected ahead, partly </w:t>
      </w:r>
      <w:proofErr w:type="gramStart"/>
      <w:r w:rsidRPr="00E31CDA">
        <w:rPr>
          <w:lang w:val="en-US"/>
        </w:rPr>
        <w:t>as a result of</w:t>
      </w:r>
      <w:proofErr w:type="gramEnd"/>
      <w:r w:rsidRPr="00E31CDA">
        <w:rPr>
          <w:lang w:val="en-US"/>
        </w:rPr>
        <w:t xml:space="preserve"> the post-pandemic recovery effect on tourism and the </w:t>
      </w:r>
      <w:proofErr w:type="spellStart"/>
      <w:r w:rsidRPr="00E31CDA">
        <w:rPr>
          <w:lang w:val="en-US"/>
        </w:rPr>
        <w:t>favourable</w:t>
      </w:r>
      <w:proofErr w:type="spellEnd"/>
      <w:r w:rsidRPr="00E31CDA">
        <w:rPr>
          <w:lang w:val="en-US"/>
        </w:rPr>
        <w:t xml:space="preserve"> growth stimulus of a weaker krone on exports</w:t>
      </w:r>
      <w:r>
        <w:rPr>
          <w:lang w:val="en-US"/>
        </w:rPr>
        <w:t xml:space="preserve"> has been exhausted</w:t>
      </w:r>
      <w:r w:rsidRPr="00E31CDA">
        <w:rPr>
          <w:lang w:val="en-US"/>
        </w:rPr>
        <w:t>.</w:t>
      </w:r>
    </w:p>
    <w:p w14:paraId="4BC1BDC7" w14:textId="77777777" w:rsidR="00CB6E05" w:rsidRPr="005F493D" w:rsidRDefault="00CB6E05" w:rsidP="00E1651D">
      <w:pPr>
        <w:pStyle w:val="avsnitt-tittel"/>
        <w:rPr>
          <w:rFonts w:ascii="Times New Roman" w:hAnsi="Times New Roman"/>
          <w:vanish/>
          <w:szCs w:val="24"/>
        </w:rPr>
      </w:pPr>
      <w:r>
        <w:rPr>
          <w:lang w:val="en-US"/>
        </w:rPr>
        <w:lastRenderedPageBreak/>
        <w:t xml:space="preserve">Table 2.3 </w:t>
      </w:r>
      <w:r w:rsidRPr="00E31CDA">
        <w:rPr>
          <w:lang w:val="en-US"/>
        </w:rPr>
        <w:t>Key figures for the Norwegian economy. Percentage change from previous year, unless otherwise stated.</w:t>
      </w:r>
    </w:p>
    <w:tbl>
      <w:tblPr>
        <w:tblW w:w="9460" w:type="dxa"/>
        <w:tblLayout w:type="fixed"/>
        <w:tblCellMar>
          <w:top w:w="100" w:type="dxa"/>
          <w:left w:w="43" w:type="dxa"/>
          <w:bottom w:w="43" w:type="dxa"/>
          <w:right w:w="43" w:type="dxa"/>
        </w:tblCellMar>
        <w:tblLook w:val="0000" w:firstRow="0" w:lastRow="0" w:firstColumn="0" w:lastColumn="0" w:noHBand="0" w:noVBand="0"/>
      </w:tblPr>
      <w:tblGrid>
        <w:gridCol w:w="1134"/>
        <w:gridCol w:w="3726"/>
        <w:gridCol w:w="1240"/>
        <w:gridCol w:w="840"/>
        <w:gridCol w:w="840"/>
        <w:gridCol w:w="840"/>
        <w:gridCol w:w="840"/>
      </w:tblGrid>
      <w:tr w:rsidR="00CB6E05" w:rsidRPr="00BA3885" w14:paraId="3B7FCC30" w14:textId="77777777" w:rsidTr="00C7062A">
        <w:trPr>
          <w:trHeight w:val="320"/>
        </w:trPr>
        <w:tc>
          <w:tcPr>
            <w:tcW w:w="4860" w:type="dxa"/>
            <w:gridSpan w:val="2"/>
            <w:vMerge w:val="restart"/>
            <w:tcBorders>
              <w:top w:val="single" w:sz="4" w:space="0" w:color="000000"/>
              <w:left w:val="nil"/>
              <w:bottom w:val="single" w:sz="4" w:space="0" w:color="000000"/>
              <w:right w:val="nil"/>
            </w:tcBorders>
            <w:tcMar>
              <w:top w:w="100" w:type="dxa"/>
              <w:left w:w="43" w:type="dxa"/>
              <w:bottom w:w="43" w:type="dxa"/>
              <w:right w:w="43" w:type="dxa"/>
            </w:tcMar>
            <w:vAlign w:val="bottom"/>
          </w:tcPr>
          <w:p w14:paraId="629A508F" w14:textId="77777777" w:rsidR="00CB6E05" w:rsidRPr="00BA3885" w:rsidRDefault="00CB6E05" w:rsidP="00E1651D"/>
        </w:tc>
        <w:tc>
          <w:tcPr>
            <w:tcW w:w="2080" w:type="dxa"/>
            <w:gridSpan w:val="2"/>
            <w:tcBorders>
              <w:top w:val="single" w:sz="4" w:space="0" w:color="000000"/>
              <w:left w:val="nil"/>
              <w:bottom w:val="single" w:sz="4" w:space="0" w:color="000000"/>
              <w:right w:val="nil"/>
            </w:tcBorders>
            <w:tcMar>
              <w:top w:w="100" w:type="dxa"/>
              <w:left w:w="43" w:type="dxa"/>
              <w:bottom w:w="43" w:type="dxa"/>
              <w:right w:w="43" w:type="dxa"/>
            </w:tcMar>
            <w:vAlign w:val="bottom"/>
          </w:tcPr>
          <w:p w14:paraId="551172E9" w14:textId="77777777" w:rsidR="00CB6E05" w:rsidRPr="00BA3885" w:rsidRDefault="00CB6E05" w:rsidP="008E7405">
            <w:r w:rsidRPr="00BA3885">
              <w:t>NOK billion</w:t>
            </w:r>
            <w:r w:rsidRPr="00F51511">
              <w:rPr>
                <w:vertAlign w:val="superscript"/>
              </w:rPr>
              <w:t>1</w:t>
            </w:r>
          </w:p>
        </w:tc>
        <w:tc>
          <w:tcPr>
            <w:tcW w:w="8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1972433E" w14:textId="77777777" w:rsidR="00CB6E05" w:rsidRPr="00BA3885" w:rsidRDefault="00CB6E05" w:rsidP="008E7405">
            <w:pPr>
              <w:jc w:val="right"/>
            </w:pPr>
          </w:p>
        </w:tc>
        <w:tc>
          <w:tcPr>
            <w:tcW w:w="8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F8A58E5" w14:textId="77777777" w:rsidR="00CB6E05" w:rsidRPr="00BA3885" w:rsidRDefault="00CB6E05" w:rsidP="008E7405">
            <w:pPr>
              <w:jc w:val="right"/>
            </w:pPr>
          </w:p>
        </w:tc>
        <w:tc>
          <w:tcPr>
            <w:tcW w:w="84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09812BF3" w14:textId="77777777" w:rsidR="00CB6E05" w:rsidRPr="00BA3885" w:rsidRDefault="00CB6E05" w:rsidP="008E7405">
            <w:pPr>
              <w:jc w:val="right"/>
            </w:pPr>
          </w:p>
        </w:tc>
      </w:tr>
      <w:tr w:rsidR="00CB6E05" w:rsidRPr="00BA3885" w14:paraId="56C75E65" w14:textId="77777777" w:rsidTr="00C7062A">
        <w:trPr>
          <w:trHeight w:val="320"/>
        </w:trPr>
        <w:tc>
          <w:tcPr>
            <w:tcW w:w="4860" w:type="dxa"/>
            <w:gridSpan w:val="2"/>
            <w:vMerge/>
            <w:tcBorders>
              <w:top w:val="single" w:sz="4" w:space="0" w:color="000000"/>
              <w:left w:val="nil"/>
              <w:bottom w:val="single" w:sz="4" w:space="0" w:color="000000"/>
              <w:right w:val="nil"/>
            </w:tcBorders>
          </w:tcPr>
          <w:p w14:paraId="30C92F25" w14:textId="77777777" w:rsidR="00CB6E05" w:rsidRPr="00BA3885" w:rsidRDefault="00CB6E05" w:rsidP="00E1651D">
            <w:pPr>
              <w:rPr>
                <w:rFonts w:ascii="UniCentury Old Style" w:hAnsi="UniCentury Old Style" w:cs="UniCentury Old Style"/>
                <w:b/>
                <w:bCs/>
                <w:color w:val="FF0000"/>
                <w:w w:val="0"/>
                <w:sz w:val="82"/>
                <w:szCs w:val="82"/>
                <w14:ligatures w14:val="standardContextual"/>
              </w:rPr>
            </w:pPr>
          </w:p>
        </w:tc>
        <w:tc>
          <w:tcPr>
            <w:tcW w:w="1240" w:type="dxa"/>
            <w:tcBorders>
              <w:top w:val="nil"/>
              <w:left w:val="nil"/>
              <w:bottom w:val="single" w:sz="4" w:space="0" w:color="000000"/>
              <w:right w:val="nil"/>
            </w:tcBorders>
            <w:tcMar>
              <w:top w:w="100" w:type="dxa"/>
              <w:left w:w="43" w:type="dxa"/>
              <w:bottom w:w="43" w:type="dxa"/>
              <w:right w:w="43" w:type="dxa"/>
            </w:tcMar>
            <w:vAlign w:val="bottom"/>
          </w:tcPr>
          <w:p w14:paraId="312272E3" w14:textId="77777777" w:rsidR="00CB6E05" w:rsidRPr="00BA3885" w:rsidRDefault="00CB6E05" w:rsidP="008E7405">
            <w:pPr>
              <w:jc w:val="right"/>
            </w:pPr>
            <w:r w:rsidRPr="00BA3885">
              <w:t>2024</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119E3D25" w14:textId="77777777" w:rsidR="00CB6E05" w:rsidRPr="00BA3885" w:rsidRDefault="00CB6E05" w:rsidP="008E7405">
            <w:pPr>
              <w:jc w:val="right"/>
            </w:pPr>
            <w:r w:rsidRPr="00BA3885">
              <w:t>2024</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7E9C5D46" w14:textId="77777777" w:rsidR="00CB6E05" w:rsidRPr="00BA3885" w:rsidRDefault="00CB6E05" w:rsidP="008E7405">
            <w:pPr>
              <w:jc w:val="right"/>
            </w:pPr>
            <w:r w:rsidRPr="00BA3885">
              <w:t>2025</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4FB34668" w14:textId="77777777" w:rsidR="00CB6E05" w:rsidRPr="00BA3885" w:rsidRDefault="00CB6E05" w:rsidP="008E7405">
            <w:pPr>
              <w:jc w:val="right"/>
            </w:pPr>
            <w:r w:rsidRPr="00BA3885">
              <w:t>2026</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2BA0E6EA" w14:textId="77777777" w:rsidR="00CB6E05" w:rsidRPr="00BA3885" w:rsidRDefault="00CB6E05" w:rsidP="008E7405">
            <w:pPr>
              <w:jc w:val="right"/>
            </w:pPr>
            <w:r w:rsidRPr="00BA3885">
              <w:t>2027</w:t>
            </w:r>
          </w:p>
        </w:tc>
      </w:tr>
      <w:tr w:rsidR="00CB6E05" w:rsidRPr="00BA3885" w14:paraId="337D7C39" w14:textId="77777777" w:rsidTr="00C7062A">
        <w:trPr>
          <w:trHeight w:val="340"/>
        </w:trPr>
        <w:tc>
          <w:tcPr>
            <w:tcW w:w="4860" w:type="dxa"/>
            <w:gridSpan w:val="2"/>
            <w:tcBorders>
              <w:top w:val="single" w:sz="4" w:space="0" w:color="000000"/>
              <w:left w:val="nil"/>
              <w:bottom w:val="nil"/>
              <w:right w:val="nil"/>
            </w:tcBorders>
            <w:tcMar>
              <w:top w:w="100" w:type="dxa"/>
              <w:left w:w="43" w:type="dxa"/>
              <w:bottom w:w="43" w:type="dxa"/>
              <w:right w:w="43" w:type="dxa"/>
            </w:tcMar>
          </w:tcPr>
          <w:p w14:paraId="397D3C28" w14:textId="77777777" w:rsidR="00CB6E05" w:rsidRPr="00BA3885" w:rsidRDefault="00CB6E05" w:rsidP="00E1651D">
            <w:r w:rsidRPr="00BA3885">
              <w:t xml:space="preserve">Private </w:t>
            </w:r>
            <w:proofErr w:type="spellStart"/>
            <w:r w:rsidRPr="00BA3885">
              <w:t>consumption</w:t>
            </w:r>
            <w:proofErr w:type="spellEnd"/>
            <w:r w:rsidRPr="00BA3885">
              <w:tab/>
            </w:r>
          </w:p>
        </w:tc>
        <w:tc>
          <w:tcPr>
            <w:tcW w:w="1240" w:type="dxa"/>
            <w:tcBorders>
              <w:top w:val="single" w:sz="4" w:space="0" w:color="000000"/>
              <w:left w:val="nil"/>
              <w:bottom w:val="nil"/>
              <w:right w:val="nil"/>
            </w:tcBorders>
            <w:tcMar>
              <w:top w:w="100" w:type="dxa"/>
              <w:left w:w="43" w:type="dxa"/>
              <w:bottom w:w="43" w:type="dxa"/>
              <w:right w:w="43" w:type="dxa"/>
            </w:tcMar>
            <w:vAlign w:val="bottom"/>
          </w:tcPr>
          <w:p w14:paraId="1479A0DA" w14:textId="77777777" w:rsidR="00CB6E05" w:rsidRPr="00BA3885" w:rsidRDefault="00CB6E05" w:rsidP="008E7405">
            <w:pPr>
              <w:jc w:val="right"/>
            </w:pPr>
            <w:r w:rsidRPr="00BA3885">
              <w:t>2 051</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191C8844" w14:textId="77777777" w:rsidR="00CB6E05" w:rsidRPr="00BA3885" w:rsidRDefault="00CB6E05" w:rsidP="008E7405">
            <w:pPr>
              <w:jc w:val="right"/>
            </w:pPr>
            <w:r w:rsidRPr="00BA3885">
              <w:t>1,4</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76A44D99" w14:textId="77777777" w:rsidR="00CB6E05" w:rsidRPr="00BA3885" w:rsidRDefault="00CB6E05" w:rsidP="008E7405">
            <w:pPr>
              <w:jc w:val="right"/>
            </w:pPr>
            <w:r w:rsidRPr="00BA3885">
              <w:t>2,4</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1841EFEE" w14:textId="77777777" w:rsidR="00CB6E05" w:rsidRPr="00BA3885" w:rsidRDefault="00CB6E05" w:rsidP="008E7405">
            <w:pPr>
              <w:jc w:val="right"/>
            </w:pPr>
            <w:r w:rsidRPr="00BA3885">
              <w:t>2,4</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349E2EFD" w14:textId="77777777" w:rsidR="00CB6E05" w:rsidRPr="00BA3885" w:rsidRDefault="00CB6E05" w:rsidP="008E7405">
            <w:pPr>
              <w:jc w:val="right"/>
            </w:pPr>
            <w:r w:rsidRPr="00BA3885">
              <w:t>1,9</w:t>
            </w:r>
          </w:p>
        </w:tc>
      </w:tr>
      <w:tr w:rsidR="00CB6E05" w:rsidRPr="00BA3885" w14:paraId="2614635C"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70136827" w14:textId="77777777" w:rsidR="00CB6E05" w:rsidRPr="00BA3885" w:rsidRDefault="00CB6E05" w:rsidP="00E1651D">
            <w:r w:rsidRPr="00BA3885">
              <w:t xml:space="preserve">Public </w:t>
            </w:r>
            <w:proofErr w:type="spellStart"/>
            <w:r w:rsidRPr="00BA3885">
              <w:t>sector</w:t>
            </w:r>
            <w:proofErr w:type="spellEnd"/>
            <w:r w:rsidRPr="00BA3885">
              <w:t xml:space="preserve"> </w:t>
            </w:r>
            <w:proofErr w:type="spellStart"/>
            <w:r w:rsidRPr="00BA3885">
              <w:t>consumption</w:t>
            </w:r>
            <w:proofErr w:type="spellEnd"/>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338F8B04" w14:textId="77777777" w:rsidR="00CB6E05" w:rsidRPr="00BA3885" w:rsidRDefault="00CB6E05" w:rsidP="008E7405">
            <w:pPr>
              <w:jc w:val="right"/>
            </w:pPr>
            <w:r w:rsidRPr="00BA3885">
              <w:t>1 184</w:t>
            </w:r>
          </w:p>
        </w:tc>
        <w:tc>
          <w:tcPr>
            <w:tcW w:w="840" w:type="dxa"/>
            <w:tcBorders>
              <w:top w:val="nil"/>
              <w:left w:val="nil"/>
              <w:bottom w:val="nil"/>
              <w:right w:val="nil"/>
            </w:tcBorders>
            <w:tcMar>
              <w:top w:w="100" w:type="dxa"/>
              <w:left w:w="43" w:type="dxa"/>
              <w:bottom w:w="43" w:type="dxa"/>
              <w:right w:w="43" w:type="dxa"/>
            </w:tcMar>
            <w:vAlign w:val="bottom"/>
          </w:tcPr>
          <w:p w14:paraId="24D4F331" w14:textId="77777777" w:rsidR="00CB6E05" w:rsidRPr="00BA3885" w:rsidRDefault="00CB6E05" w:rsidP="008E7405">
            <w:pPr>
              <w:jc w:val="right"/>
            </w:pPr>
            <w:r w:rsidRPr="00BA3885">
              <w:t>2,4</w:t>
            </w:r>
          </w:p>
        </w:tc>
        <w:tc>
          <w:tcPr>
            <w:tcW w:w="840" w:type="dxa"/>
            <w:tcBorders>
              <w:top w:val="nil"/>
              <w:left w:val="nil"/>
              <w:bottom w:val="nil"/>
              <w:right w:val="nil"/>
            </w:tcBorders>
            <w:tcMar>
              <w:top w:w="100" w:type="dxa"/>
              <w:left w:w="43" w:type="dxa"/>
              <w:bottom w:w="43" w:type="dxa"/>
              <w:right w:w="43" w:type="dxa"/>
            </w:tcMar>
            <w:vAlign w:val="bottom"/>
          </w:tcPr>
          <w:p w14:paraId="1882775E" w14:textId="77777777" w:rsidR="00CB6E05" w:rsidRPr="00BA3885" w:rsidRDefault="00CB6E05" w:rsidP="008E7405">
            <w:pPr>
              <w:jc w:val="right"/>
            </w:pPr>
            <w:r w:rsidRPr="00BA3885">
              <w:t>2,2</w:t>
            </w:r>
          </w:p>
        </w:tc>
        <w:tc>
          <w:tcPr>
            <w:tcW w:w="840" w:type="dxa"/>
            <w:tcBorders>
              <w:top w:val="nil"/>
              <w:left w:val="nil"/>
              <w:bottom w:val="nil"/>
              <w:right w:val="nil"/>
            </w:tcBorders>
            <w:tcMar>
              <w:top w:w="100" w:type="dxa"/>
              <w:left w:w="43" w:type="dxa"/>
              <w:bottom w:w="43" w:type="dxa"/>
              <w:right w:w="43" w:type="dxa"/>
            </w:tcMar>
            <w:vAlign w:val="bottom"/>
          </w:tcPr>
          <w:p w14:paraId="602A1F72" w14:textId="77777777" w:rsidR="00CB6E05" w:rsidRPr="00BA3885" w:rsidRDefault="00CB6E05" w:rsidP="008E7405">
            <w:pPr>
              <w:jc w:val="right"/>
            </w:pPr>
            <w:r w:rsidRPr="00BA3885">
              <w:t>2,8</w:t>
            </w:r>
          </w:p>
        </w:tc>
        <w:tc>
          <w:tcPr>
            <w:tcW w:w="840" w:type="dxa"/>
            <w:tcBorders>
              <w:top w:val="nil"/>
              <w:left w:val="nil"/>
              <w:bottom w:val="nil"/>
              <w:right w:val="nil"/>
            </w:tcBorders>
            <w:tcMar>
              <w:top w:w="100" w:type="dxa"/>
              <w:left w:w="43" w:type="dxa"/>
              <w:bottom w:w="43" w:type="dxa"/>
              <w:right w:w="43" w:type="dxa"/>
            </w:tcMar>
            <w:vAlign w:val="bottom"/>
          </w:tcPr>
          <w:p w14:paraId="4B05517F" w14:textId="77777777" w:rsidR="00CB6E05" w:rsidRPr="00BA3885" w:rsidRDefault="00CB6E05" w:rsidP="008E7405">
            <w:pPr>
              <w:jc w:val="right"/>
            </w:pPr>
            <w:r w:rsidRPr="00BA3885">
              <w:t>1,2</w:t>
            </w:r>
          </w:p>
        </w:tc>
      </w:tr>
      <w:tr w:rsidR="00CB6E05" w:rsidRPr="00BA3885" w14:paraId="0C42605F"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77347B50" w14:textId="77777777" w:rsidR="00CB6E05" w:rsidRPr="00BA3885" w:rsidRDefault="00CB6E05" w:rsidP="00E1651D">
            <w:r w:rsidRPr="00BA3885">
              <w:t xml:space="preserve">Gross </w:t>
            </w:r>
            <w:proofErr w:type="spellStart"/>
            <w:r w:rsidRPr="00BA3885">
              <w:t>fixed</w:t>
            </w:r>
            <w:proofErr w:type="spellEnd"/>
            <w:r w:rsidRPr="00BA3885">
              <w:t xml:space="preserve"> </w:t>
            </w:r>
            <w:proofErr w:type="spellStart"/>
            <w:r w:rsidRPr="00BA3885">
              <w:t>capital</w:t>
            </w:r>
            <w:proofErr w:type="spellEnd"/>
            <w:r w:rsidRPr="00BA3885">
              <w:t xml:space="preserve"> </w:t>
            </w:r>
            <w:proofErr w:type="spellStart"/>
            <w:r w:rsidRPr="00BA3885">
              <w:t>formation</w:t>
            </w:r>
            <w:proofErr w:type="spellEnd"/>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336BA36D" w14:textId="77777777" w:rsidR="00CB6E05" w:rsidRPr="00BA3885" w:rsidRDefault="00CB6E05" w:rsidP="008E7405">
            <w:pPr>
              <w:jc w:val="right"/>
            </w:pPr>
            <w:r w:rsidRPr="00BA3885">
              <w:t>1 143</w:t>
            </w:r>
          </w:p>
        </w:tc>
        <w:tc>
          <w:tcPr>
            <w:tcW w:w="840" w:type="dxa"/>
            <w:tcBorders>
              <w:top w:val="nil"/>
              <w:left w:val="nil"/>
              <w:bottom w:val="nil"/>
              <w:right w:val="nil"/>
            </w:tcBorders>
            <w:tcMar>
              <w:top w:w="100" w:type="dxa"/>
              <w:left w:w="43" w:type="dxa"/>
              <w:bottom w:w="43" w:type="dxa"/>
              <w:right w:w="43" w:type="dxa"/>
            </w:tcMar>
            <w:vAlign w:val="bottom"/>
          </w:tcPr>
          <w:p w14:paraId="43694DB6" w14:textId="77777777" w:rsidR="00CB6E05" w:rsidRPr="00BA3885" w:rsidRDefault="00CB6E05" w:rsidP="008E7405">
            <w:pPr>
              <w:jc w:val="right"/>
            </w:pPr>
            <w:r w:rsidRPr="00BA3885">
              <w:t>-1,4</w:t>
            </w:r>
          </w:p>
        </w:tc>
        <w:tc>
          <w:tcPr>
            <w:tcW w:w="840" w:type="dxa"/>
            <w:tcBorders>
              <w:top w:val="nil"/>
              <w:left w:val="nil"/>
              <w:bottom w:val="nil"/>
              <w:right w:val="nil"/>
            </w:tcBorders>
            <w:tcMar>
              <w:top w:w="100" w:type="dxa"/>
              <w:left w:w="43" w:type="dxa"/>
              <w:bottom w:w="43" w:type="dxa"/>
              <w:right w:w="43" w:type="dxa"/>
            </w:tcMar>
            <w:vAlign w:val="bottom"/>
          </w:tcPr>
          <w:p w14:paraId="39D7130A" w14:textId="77777777" w:rsidR="00CB6E05" w:rsidRPr="00BA3885" w:rsidRDefault="00CB6E05" w:rsidP="008E7405">
            <w:pPr>
              <w:jc w:val="right"/>
            </w:pPr>
            <w:r w:rsidRPr="00BA3885">
              <w:t>1,4</w:t>
            </w:r>
          </w:p>
        </w:tc>
        <w:tc>
          <w:tcPr>
            <w:tcW w:w="840" w:type="dxa"/>
            <w:tcBorders>
              <w:top w:val="nil"/>
              <w:left w:val="nil"/>
              <w:bottom w:val="nil"/>
              <w:right w:val="nil"/>
            </w:tcBorders>
            <w:tcMar>
              <w:top w:w="100" w:type="dxa"/>
              <w:left w:w="43" w:type="dxa"/>
              <w:bottom w:w="43" w:type="dxa"/>
              <w:right w:w="43" w:type="dxa"/>
            </w:tcMar>
            <w:vAlign w:val="bottom"/>
          </w:tcPr>
          <w:p w14:paraId="0B022AE5" w14:textId="77777777" w:rsidR="00CB6E05" w:rsidRPr="00BA3885" w:rsidRDefault="00CB6E05" w:rsidP="008E7405">
            <w:pPr>
              <w:jc w:val="right"/>
            </w:pPr>
            <w:r w:rsidRPr="00BA3885">
              <w:t>0,6</w:t>
            </w:r>
          </w:p>
        </w:tc>
        <w:tc>
          <w:tcPr>
            <w:tcW w:w="840" w:type="dxa"/>
            <w:tcBorders>
              <w:top w:val="nil"/>
              <w:left w:val="nil"/>
              <w:bottom w:val="nil"/>
              <w:right w:val="nil"/>
            </w:tcBorders>
            <w:tcMar>
              <w:top w:w="100" w:type="dxa"/>
              <w:left w:w="43" w:type="dxa"/>
              <w:bottom w:w="43" w:type="dxa"/>
              <w:right w:w="43" w:type="dxa"/>
            </w:tcMar>
            <w:vAlign w:val="bottom"/>
          </w:tcPr>
          <w:p w14:paraId="6D3458DF" w14:textId="77777777" w:rsidR="00CB6E05" w:rsidRPr="00BA3885" w:rsidRDefault="00CB6E05" w:rsidP="008E7405">
            <w:pPr>
              <w:jc w:val="right"/>
            </w:pPr>
            <w:r w:rsidRPr="00BA3885">
              <w:t>2,1</w:t>
            </w:r>
          </w:p>
        </w:tc>
      </w:tr>
      <w:tr w:rsidR="00CB6E05" w:rsidRPr="00BA3885" w14:paraId="7BE6229E"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6977CBA4" w14:textId="77777777" w:rsidR="00CB6E05" w:rsidRPr="00BA3885" w:rsidRDefault="00CB6E05" w:rsidP="00E1651D">
            <w:proofErr w:type="spellStart"/>
            <w:r>
              <w:t>Of</w:t>
            </w:r>
            <w:proofErr w:type="spellEnd"/>
            <w:r>
              <w:t xml:space="preserve"> </w:t>
            </w:r>
            <w:proofErr w:type="spellStart"/>
            <w:r>
              <w:t>which</w:t>
            </w:r>
            <w:proofErr w:type="spellEnd"/>
            <w:r w:rsidRPr="00530E23">
              <w:t>:</w:t>
            </w:r>
            <w:r w:rsidRPr="00BA3885">
              <w:t xml:space="preserve"> </w:t>
            </w:r>
          </w:p>
        </w:tc>
        <w:tc>
          <w:tcPr>
            <w:tcW w:w="3726" w:type="dxa"/>
            <w:tcBorders>
              <w:top w:val="nil"/>
              <w:left w:val="nil"/>
              <w:bottom w:val="nil"/>
              <w:right w:val="nil"/>
            </w:tcBorders>
            <w:tcMar>
              <w:top w:w="100" w:type="dxa"/>
              <w:left w:w="43" w:type="dxa"/>
              <w:bottom w:w="43" w:type="dxa"/>
              <w:right w:w="43" w:type="dxa"/>
            </w:tcMar>
          </w:tcPr>
          <w:p w14:paraId="33CC3615" w14:textId="77777777" w:rsidR="00CB6E05" w:rsidRPr="00E31CDA" w:rsidRDefault="00CB6E05" w:rsidP="00E1651D">
            <w:pPr>
              <w:rPr>
                <w:lang w:val="en-US"/>
              </w:rPr>
            </w:pPr>
            <w:r w:rsidRPr="00E31CDA">
              <w:rPr>
                <w:lang w:val="en-US"/>
              </w:rPr>
              <w:t>Oil extraction and pipeline transport</w:t>
            </w:r>
            <w:r w:rsidRPr="00E31CDA">
              <w:rPr>
                <w:lang w:val="en-US"/>
              </w:rPr>
              <w:tab/>
            </w:r>
          </w:p>
        </w:tc>
        <w:tc>
          <w:tcPr>
            <w:tcW w:w="1240" w:type="dxa"/>
            <w:tcBorders>
              <w:top w:val="nil"/>
              <w:left w:val="nil"/>
              <w:bottom w:val="nil"/>
              <w:right w:val="nil"/>
            </w:tcBorders>
            <w:tcMar>
              <w:top w:w="100" w:type="dxa"/>
              <w:left w:w="43" w:type="dxa"/>
              <w:bottom w:w="43" w:type="dxa"/>
              <w:right w:w="43" w:type="dxa"/>
            </w:tcMar>
            <w:vAlign w:val="bottom"/>
          </w:tcPr>
          <w:p w14:paraId="3C43A5DC" w14:textId="77777777" w:rsidR="00CB6E05" w:rsidRPr="00BA3885" w:rsidRDefault="00CB6E05" w:rsidP="008E7405">
            <w:pPr>
              <w:jc w:val="right"/>
            </w:pPr>
            <w:r w:rsidRPr="00BA3885">
              <w:t>253</w:t>
            </w:r>
          </w:p>
        </w:tc>
        <w:tc>
          <w:tcPr>
            <w:tcW w:w="840" w:type="dxa"/>
            <w:tcBorders>
              <w:top w:val="nil"/>
              <w:left w:val="nil"/>
              <w:bottom w:val="nil"/>
              <w:right w:val="nil"/>
            </w:tcBorders>
            <w:tcMar>
              <w:top w:w="100" w:type="dxa"/>
              <w:left w:w="43" w:type="dxa"/>
              <w:bottom w:w="43" w:type="dxa"/>
              <w:right w:w="43" w:type="dxa"/>
            </w:tcMar>
            <w:vAlign w:val="bottom"/>
          </w:tcPr>
          <w:p w14:paraId="0A3EC7C9" w14:textId="77777777" w:rsidR="00CB6E05" w:rsidRPr="00BA3885" w:rsidRDefault="00CB6E05" w:rsidP="008E7405">
            <w:pPr>
              <w:jc w:val="right"/>
            </w:pPr>
            <w:r w:rsidRPr="00BA3885">
              <w:t>9,8</w:t>
            </w:r>
          </w:p>
        </w:tc>
        <w:tc>
          <w:tcPr>
            <w:tcW w:w="840" w:type="dxa"/>
            <w:tcBorders>
              <w:top w:val="nil"/>
              <w:left w:val="nil"/>
              <w:bottom w:val="nil"/>
              <w:right w:val="nil"/>
            </w:tcBorders>
            <w:tcMar>
              <w:top w:w="100" w:type="dxa"/>
              <w:left w:w="43" w:type="dxa"/>
              <w:bottom w:w="43" w:type="dxa"/>
              <w:right w:w="43" w:type="dxa"/>
            </w:tcMar>
            <w:vAlign w:val="bottom"/>
          </w:tcPr>
          <w:p w14:paraId="25831BD9" w14:textId="77777777" w:rsidR="00CB6E05" w:rsidRPr="00BA3885" w:rsidRDefault="00CB6E05" w:rsidP="008E7405">
            <w:pPr>
              <w:jc w:val="right"/>
            </w:pPr>
            <w:r w:rsidRPr="00BA3885">
              <w:t>4,0</w:t>
            </w:r>
          </w:p>
        </w:tc>
        <w:tc>
          <w:tcPr>
            <w:tcW w:w="840" w:type="dxa"/>
            <w:tcBorders>
              <w:top w:val="nil"/>
              <w:left w:val="nil"/>
              <w:bottom w:val="nil"/>
              <w:right w:val="nil"/>
            </w:tcBorders>
            <w:tcMar>
              <w:top w:w="100" w:type="dxa"/>
              <w:left w:w="43" w:type="dxa"/>
              <w:bottom w:w="43" w:type="dxa"/>
              <w:right w:w="43" w:type="dxa"/>
            </w:tcMar>
            <w:vAlign w:val="bottom"/>
          </w:tcPr>
          <w:p w14:paraId="31D025A8" w14:textId="77777777" w:rsidR="00CB6E05" w:rsidRPr="00BA3885" w:rsidRDefault="00CB6E05" w:rsidP="008E7405">
            <w:pPr>
              <w:jc w:val="right"/>
            </w:pPr>
            <w:r w:rsidRPr="00BA3885">
              <w:t>-7,0</w:t>
            </w:r>
          </w:p>
        </w:tc>
        <w:tc>
          <w:tcPr>
            <w:tcW w:w="840" w:type="dxa"/>
            <w:tcBorders>
              <w:top w:val="nil"/>
              <w:left w:val="nil"/>
              <w:bottom w:val="nil"/>
              <w:right w:val="nil"/>
            </w:tcBorders>
            <w:tcMar>
              <w:top w:w="100" w:type="dxa"/>
              <w:left w:w="43" w:type="dxa"/>
              <w:bottom w:w="43" w:type="dxa"/>
              <w:right w:w="43" w:type="dxa"/>
            </w:tcMar>
            <w:vAlign w:val="bottom"/>
          </w:tcPr>
          <w:p w14:paraId="19415EFF" w14:textId="77777777" w:rsidR="00CB6E05" w:rsidRPr="00BA3885" w:rsidRDefault="00CB6E05" w:rsidP="008E7405">
            <w:pPr>
              <w:jc w:val="right"/>
            </w:pPr>
            <w:r w:rsidRPr="00BA3885">
              <w:t>-6,5</w:t>
            </w:r>
          </w:p>
        </w:tc>
      </w:tr>
      <w:tr w:rsidR="00CB6E05" w:rsidRPr="00BA3885" w14:paraId="6DABAACF"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46CAFA43" w14:textId="77777777" w:rsidR="00CB6E05" w:rsidRPr="00BA3885" w:rsidRDefault="00CB6E05" w:rsidP="00E1651D"/>
        </w:tc>
        <w:tc>
          <w:tcPr>
            <w:tcW w:w="3726" w:type="dxa"/>
            <w:tcBorders>
              <w:top w:val="nil"/>
              <w:left w:val="nil"/>
              <w:bottom w:val="nil"/>
              <w:right w:val="nil"/>
            </w:tcBorders>
            <w:tcMar>
              <w:top w:w="100" w:type="dxa"/>
              <w:left w:w="43" w:type="dxa"/>
              <w:bottom w:w="43" w:type="dxa"/>
              <w:right w:w="43" w:type="dxa"/>
            </w:tcMar>
          </w:tcPr>
          <w:p w14:paraId="73EFC7B6" w14:textId="77777777" w:rsidR="00CB6E05" w:rsidRPr="00BA3885" w:rsidRDefault="00CB6E05" w:rsidP="00E1651D">
            <w:r>
              <w:t>Industries</w:t>
            </w:r>
            <w:r w:rsidRPr="00BA3885">
              <w:t xml:space="preserve"> in </w:t>
            </w:r>
            <w:proofErr w:type="spellStart"/>
            <w:r w:rsidRPr="00BA3885">
              <w:t>mainland</w:t>
            </w:r>
            <w:proofErr w:type="spellEnd"/>
            <w:r w:rsidRPr="00BA3885">
              <w:t xml:space="preserve"> Norway</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50CD761F" w14:textId="77777777" w:rsidR="00CB6E05" w:rsidRPr="00BA3885" w:rsidRDefault="00CB6E05" w:rsidP="008E7405">
            <w:pPr>
              <w:jc w:val="right"/>
            </w:pPr>
            <w:r w:rsidRPr="00BA3885">
              <w:t>424</w:t>
            </w:r>
          </w:p>
        </w:tc>
        <w:tc>
          <w:tcPr>
            <w:tcW w:w="840" w:type="dxa"/>
            <w:tcBorders>
              <w:top w:val="nil"/>
              <w:left w:val="nil"/>
              <w:bottom w:val="nil"/>
              <w:right w:val="nil"/>
            </w:tcBorders>
            <w:tcMar>
              <w:top w:w="100" w:type="dxa"/>
              <w:left w:w="43" w:type="dxa"/>
              <w:bottom w:w="43" w:type="dxa"/>
              <w:right w:w="43" w:type="dxa"/>
            </w:tcMar>
            <w:vAlign w:val="bottom"/>
          </w:tcPr>
          <w:p w14:paraId="75395767" w14:textId="77777777" w:rsidR="00CB6E05" w:rsidRPr="00BA3885" w:rsidRDefault="00CB6E05" w:rsidP="008E7405">
            <w:pPr>
              <w:jc w:val="right"/>
            </w:pPr>
            <w:r w:rsidRPr="00BA3885">
              <w:t>-2,9</w:t>
            </w:r>
          </w:p>
        </w:tc>
        <w:tc>
          <w:tcPr>
            <w:tcW w:w="840" w:type="dxa"/>
            <w:tcBorders>
              <w:top w:val="nil"/>
              <w:left w:val="nil"/>
              <w:bottom w:val="nil"/>
              <w:right w:val="nil"/>
            </w:tcBorders>
            <w:tcMar>
              <w:top w:w="100" w:type="dxa"/>
              <w:left w:w="43" w:type="dxa"/>
              <w:bottom w:w="43" w:type="dxa"/>
              <w:right w:w="43" w:type="dxa"/>
            </w:tcMar>
            <w:vAlign w:val="bottom"/>
          </w:tcPr>
          <w:p w14:paraId="33DB09F2" w14:textId="77777777" w:rsidR="00CB6E05" w:rsidRPr="00BA3885" w:rsidRDefault="00CB6E05" w:rsidP="008E7405">
            <w:pPr>
              <w:jc w:val="right"/>
            </w:pPr>
            <w:r w:rsidRPr="00BA3885">
              <w:t>2,4</w:t>
            </w:r>
          </w:p>
        </w:tc>
        <w:tc>
          <w:tcPr>
            <w:tcW w:w="840" w:type="dxa"/>
            <w:tcBorders>
              <w:top w:val="nil"/>
              <w:left w:val="nil"/>
              <w:bottom w:val="nil"/>
              <w:right w:val="nil"/>
            </w:tcBorders>
            <w:tcMar>
              <w:top w:w="100" w:type="dxa"/>
              <w:left w:w="43" w:type="dxa"/>
              <w:bottom w:w="43" w:type="dxa"/>
              <w:right w:w="43" w:type="dxa"/>
            </w:tcMar>
            <w:vAlign w:val="bottom"/>
          </w:tcPr>
          <w:p w14:paraId="751968BF" w14:textId="77777777" w:rsidR="00CB6E05" w:rsidRPr="00BA3885" w:rsidRDefault="00CB6E05" w:rsidP="008E7405">
            <w:pPr>
              <w:jc w:val="right"/>
            </w:pPr>
            <w:r w:rsidRPr="00BA3885">
              <w:t>2,9</w:t>
            </w:r>
          </w:p>
        </w:tc>
        <w:tc>
          <w:tcPr>
            <w:tcW w:w="840" w:type="dxa"/>
            <w:tcBorders>
              <w:top w:val="nil"/>
              <w:left w:val="nil"/>
              <w:bottom w:val="nil"/>
              <w:right w:val="nil"/>
            </w:tcBorders>
            <w:tcMar>
              <w:top w:w="100" w:type="dxa"/>
              <w:left w:w="43" w:type="dxa"/>
              <w:bottom w:w="43" w:type="dxa"/>
              <w:right w:w="43" w:type="dxa"/>
            </w:tcMar>
            <w:vAlign w:val="bottom"/>
          </w:tcPr>
          <w:p w14:paraId="6AD44D70" w14:textId="77777777" w:rsidR="00CB6E05" w:rsidRPr="00BA3885" w:rsidRDefault="00CB6E05" w:rsidP="008E7405">
            <w:pPr>
              <w:jc w:val="right"/>
            </w:pPr>
            <w:r w:rsidRPr="00BA3885">
              <w:t>2,3</w:t>
            </w:r>
          </w:p>
        </w:tc>
      </w:tr>
      <w:tr w:rsidR="00CB6E05" w:rsidRPr="00BA3885" w14:paraId="15B24B12"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6DC4C168" w14:textId="77777777" w:rsidR="00CB6E05" w:rsidRPr="00BA3885" w:rsidRDefault="00CB6E05" w:rsidP="00E1651D"/>
        </w:tc>
        <w:tc>
          <w:tcPr>
            <w:tcW w:w="3726" w:type="dxa"/>
            <w:tcBorders>
              <w:top w:val="nil"/>
              <w:left w:val="nil"/>
              <w:bottom w:val="nil"/>
              <w:right w:val="nil"/>
            </w:tcBorders>
            <w:tcMar>
              <w:top w:w="100" w:type="dxa"/>
              <w:left w:w="43" w:type="dxa"/>
              <w:bottom w:w="43" w:type="dxa"/>
              <w:right w:w="43" w:type="dxa"/>
            </w:tcMar>
          </w:tcPr>
          <w:p w14:paraId="303C9683" w14:textId="77777777" w:rsidR="00CB6E05" w:rsidRPr="00BA3885" w:rsidRDefault="00CB6E05" w:rsidP="00E1651D">
            <w:r>
              <w:t>Dwellings</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1F66F071" w14:textId="77777777" w:rsidR="00CB6E05" w:rsidRPr="00BA3885" w:rsidRDefault="00CB6E05" w:rsidP="008E7405">
            <w:pPr>
              <w:jc w:val="right"/>
            </w:pPr>
            <w:r w:rsidRPr="00BA3885">
              <w:t>170</w:t>
            </w:r>
          </w:p>
        </w:tc>
        <w:tc>
          <w:tcPr>
            <w:tcW w:w="840" w:type="dxa"/>
            <w:tcBorders>
              <w:top w:val="nil"/>
              <w:left w:val="nil"/>
              <w:bottom w:val="nil"/>
              <w:right w:val="nil"/>
            </w:tcBorders>
            <w:tcMar>
              <w:top w:w="100" w:type="dxa"/>
              <w:left w:w="43" w:type="dxa"/>
              <w:bottom w:w="43" w:type="dxa"/>
              <w:right w:w="43" w:type="dxa"/>
            </w:tcMar>
            <w:vAlign w:val="bottom"/>
          </w:tcPr>
          <w:p w14:paraId="4B22D227" w14:textId="77777777" w:rsidR="00CB6E05" w:rsidRPr="00BA3885" w:rsidRDefault="00CB6E05" w:rsidP="008E7405">
            <w:pPr>
              <w:jc w:val="right"/>
            </w:pPr>
            <w:r w:rsidRPr="00BA3885">
              <w:t>-19,1</w:t>
            </w:r>
          </w:p>
        </w:tc>
        <w:tc>
          <w:tcPr>
            <w:tcW w:w="840" w:type="dxa"/>
            <w:tcBorders>
              <w:top w:val="nil"/>
              <w:left w:val="nil"/>
              <w:bottom w:val="nil"/>
              <w:right w:val="nil"/>
            </w:tcBorders>
            <w:tcMar>
              <w:top w:w="100" w:type="dxa"/>
              <w:left w:w="43" w:type="dxa"/>
              <w:bottom w:w="43" w:type="dxa"/>
              <w:right w:w="43" w:type="dxa"/>
            </w:tcMar>
            <w:vAlign w:val="bottom"/>
          </w:tcPr>
          <w:p w14:paraId="11E4F75D" w14:textId="77777777" w:rsidR="00CB6E05" w:rsidRPr="00BA3885" w:rsidRDefault="00CB6E05" w:rsidP="008E7405">
            <w:pPr>
              <w:jc w:val="right"/>
            </w:pPr>
            <w:r w:rsidRPr="00BA3885">
              <w:t>-5,2</w:t>
            </w:r>
          </w:p>
        </w:tc>
        <w:tc>
          <w:tcPr>
            <w:tcW w:w="840" w:type="dxa"/>
            <w:tcBorders>
              <w:top w:val="nil"/>
              <w:left w:val="nil"/>
              <w:bottom w:val="nil"/>
              <w:right w:val="nil"/>
            </w:tcBorders>
            <w:tcMar>
              <w:top w:w="100" w:type="dxa"/>
              <w:left w:w="43" w:type="dxa"/>
              <w:bottom w:w="43" w:type="dxa"/>
              <w:right w:w="43" w:type="dxa"/>
            </w:tcMar>
            <w:vAlign w:val="bottom"/>
          </w:tcPr>
          <w:p w14:paraId="17F2726B" w14:textId="77777777" w:rsidR="00CB6E05" w:rsidRPr="00BA3885" w:rsidRDefault="00CB6E05" w:rsidP="008E7405">
            <w:pPr>
              <w:jc w:val="right"/>
            </w:pPr>
            <w:r w:rsidRPr="00BA3885">
              <w:t>11,7</w:t>
            </w:r>
          </w:p>
        </w:tc>
        <w:tc>
          <w:tcPr>
            <w:tcW w:w="840" w:type="dxa"/>
            <w:tcBorders>
              <w:top w:val="nil"/>
              <w:left w:val="nil"/>
              <w:bottom w:val="nil"/>
              <w:right w:val="nil"/>
            </w:tcBorders>
            <w:tcMar>
              <w:top w:w="100" w:type="dxa"/>
              <w:left w:w="43" w:type="dxa"/>
              <w:bottom w:w="43" w:type="dxa"/>
              <w:right w:w="43" w:type="dxa"/>
            </w:tcMar>
            <w:vAlign w:val="bottom"/>
          </w:tcPr>
          <w:p w14:paraId="4B1C3F39" w14:textId="77777777" w:rsidR="00CB6E05" w:rsidRPr="00BA3885" w:rsidRDefault="00CB6E05" w:rsidP="008E7405">
            <w:pPr>
              <w:jc w:val="right"/>
            </w:pPr>
            <w:r w:rsidRPr="00BA3885">
              <w:t>11,9</w:t>
            </w:r>
          </w:p>
        </w:tc>
      </w:tr>
      <w:tr w:rsidR="00CB6E05" w:rsidRPr="00BA3885" w14:paraId="4C42140B"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73F6B173" w14:textId="77777777" w:rsidR="00CB6E05" w:rsidRPr="00BA3885" w:rsidRDefault="00CB6E05" w:rsidP="00E1651D"/>
        </w:tc>
        <w:tc>
          <w:tcPr>
            <w:tcW w:w="3726" w:type="dxa"/>
            <w:tcBorders>
              <w:top w:val="nil"/>
              <w:left w:val="nil"/>
              <w:bottom w:val="nil"/>
              <w:right w:val="nil"/>
            </w:tcBorders>
            <w:tcMar>
              <w:top w:w="100" w:type="dxa"/>
              <w:left w:w="43" w:type="dxa"/>
              <w:bottom w:w="43" w:type="dxa"/>
              <w:right w:w="43" w:type="dxa"/>
            </w:tcMar>
          </w:tcPr>
          <w:p w14:paraId="5A0286A8" w14:textId="77777777" w:rsidR="00CB6E05" w:rsidRPr="00BA3885" w:rsidRDefault="00CB6E05" w:rsidP="00E1651D">
            <w:r>
              <w:t xml:space="preserve">General </w:t>
            </w:r>
            <w:proofErr w:type="spellStart"/>
            <w:r>
              <w:t>government</w:t>
            </w:r>
            <w:proofErr w:type="spellEnd"/>
          </w:p>
        </w:tc>
        <w:tc>
          <w:tcPr>
            <w:tcW w:w="1240" w:type="dxa"/>
            <w:tcBorders>
              <w:top w:val="nil"/>
              <w:left w:val="nil"/>
              <w:bottom w:val="nil"/>
              <w:right w:val="nil"/>
            </w:tcBorders>
            <w:tcMar>
              <w:top w:w="100" w:type="dxa"/>
              <w:left w:w="43" w:type="dxa"/>
              <w:bottom w:w="43" w:type="dxa"/>
              <w:right w:w="43" w:type="dxa"/>
            </w:tcMar>
            <w:vAlign w:val="bottom"/>
          </w:tcPr>
          <w:p w14:paraId="2DF4BADE" w14:textId="77777777" w:rsidR="00CB6E05" w:rsidRPr="00BA3885" w:rsidRDefault="00CB6E05" w:rsidP="008E7405">
            <w:pPr>
              <w:jc w:val="right"/>
            </w:pPr>
            <w:r w:rsidRPr="00BA3885">
              <w:t>286</w:t>
            </w:r>
          </w:p>
        </w:tc>
        <w:tc>
          <w:tcPr>
            <w:tcW w:w="840" w:type="dxa"/>
            <w:tcBorders>
              <w:top w:val="nil"/>
              <w:left w:val="nil"/>
              <w:bottom w:val="nil"/>
              <w:right w:val="nil"/>
            </w:tcBorders>
            <w:tcMar>
              <w:top w:w="100" w:type="dxa"/>
              <w:left w:w="43" w:type="dxa"/>
              <w:bottom w:w="43" w:type="dxa"/>
              <w:right w:w="43" w:type="dxa"/>
            </w:tcMar>
            <w:vAlign w:val="bottom"/>
          </w:tcPr>
          <w:p w14:paraId="20B19657" w14:textId="77777777" w:rsidR="00CB6E05" w:rsidRPr="00BA3885" w:rsidRDefault="00CB6E05" w:rsidP="008E7405">
            <w:pPr>
              <w:jc w:val="right"/>
            </w:pPr>
            <w:r w:rsidRPr="00BA3885">
              <w:t>3,9</w:t>
            </w:r>
          </w:p>
        </w:tc>
        <w:tc>
          <w:tcPr>
            <w:tcW w:w="840" w:type="dxa"/>
            <w:tcBorders>
              <w:top w:val="nil"/>
              <w:left w:val="nil"/>
              <w:bottom w:val="nil"/>
              <w:right w:val="nil"/>
            </w:tcBorders>
            <w:tcMar>
              <w:top w:w="100" w:type="dxa"/>
              <w:left w:w="43" w:type="dxa"/>
              <w:bottom w:w="43" w:type="dxa"/>
              <w:right w:w="43" w:type="dxa"/>
            </w:tcMar>
            <w:vAlign w:val="bottom"/>
          </w:tcPr>
          <w:p w14:paraId="57E14A37" w14:textId="77777777" w:rsidR="00CB6E05" w:rsidRPr="00BA3885" w:rsidRDefault="00CB6E05" w:rsidP="008E7405">
            <w:pPr>
              <w:jc w:val="right"/>
            </w:pPr>
            <w:r w:rsidRPr="00BA3885">
              <w:t>1,7</w:t>
            </w:r>
          </w:p>
        </w:tc>
        <w:tc>
          <w:tcPr>
            <w:tcW w:w="840" w:type="dxa"/>
            <w:tcBorders>
              <w:top w:val="nil"/>
              <w:left w:val="nil"/>
              <w:bottom w:val="nil"/>
              <w:right w:val="nil"/>
            </w:tcBorders>
            <w:tcMar>
              <w:top w:w="100" w:type="dxa"/>
              <w:left w:w="43" w:type="dxa"/>
              <w:bottom w:w="43" w:type="dxa"/>
              <w:right w:w="43" w:type="dxa"/>
            </w:tcMar>
            <w:vAlign w:val="bottom"/>
          </w:tcPr>
          <w:p w14:paraId="78E90C2C" w14:textId="77777777" w:rsidR="00CB6E05" w:rsidRPr="00BA3885" w:rsidRDefault="00CB6E05" w:rsidP="008E7405">
            <w:pPr>
              <w:jc w:val="right"/>
            </w:pPr>
            <w:r w:rsidRPr="00BA3885">
              <w:t>-2,6</w:t>
            </w:r>
          </w:p>
        </w:tc>
        <w:tc>
          <w:tcPr>
            <w:tcW w:w="840" w:type="dxa"/>
            <w:tcBorders>
              <w:top w:val="nil"/>
              <w:left w:val="nil"/>
              <w:bottom w:val="nil"/>
              <w:right w:val="nil"/>
            </w:tcBorders>
            <w:tcMar>
              <w:top w:w="100" w:type="dxa"/>
              <w:left w:w="43" w:type="dxa"/>
              <w:bottom w:w="43" w:type="dxa"/>
              <w:right w:w="43" w:type="dxa"/>
            </w:tcMar>
            <w:vAlign w:val="bottom"/>
          </w:tcPr>
          <w:p w14:paraId="1F84FF47" w14:textId="77777777" w:rsidR="00CB6E05" w:rsidRPr="00BA3885" w:rsidRDefault="00CB6E05" w:rsidP="008E7405">
            <w:pPr>
              <w:jc w:val="right"/>
            </w:pPr>
            <w:r w:rsidRPr="00BA3885">
              <w:t>2,3</w:t>
            </w:r>
          </w:p>
        </w:tc>
      </w:tr>
      <w:tr w:rsidR="00CB6E05" w:rsidRPr="00BA3885" w14:paraId="04255D9E"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1E07CE41" w14:textId="77777777" w:rsidR="00CB6E05" w:rsidRPr="00BA3885" w:rsidRDefault="00CB6E05" w:rsidP="00E1651D">
            <w:proofErr w:type="spellStart"/>
            <w:r w:rsidRPr="00BA3885">
              <w:t>Demand</w:t>
            </w:r>
            <w:proofErr w:type="spellEnd"/>
            <w:r w:rsidRPr="00BA3885">
              <w:t xml:space="preserve"> from </w:t>
            </w:r>
            <w:proofErr w:type="spellStart"/>
            <w:r w:rsidRPr="00BA3885">
              <w:t>mainland</w:t>
            </w:r>
            <w:proofErr w:type="spellEnd"/>
            <w:r w:rsidRPr="00BA3885">
              <w:t xml:space="preserve"> Norway</w:t>
            </w:r>
            <w:r w:rsidRPr="00BA3885">
              <w:rPr>
                <w:sz w:val="20"/>
                <w:vertAlign w:val="superscript"/>
              </w:rPr>
              <w:t>2</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2C804870" w14:textId="77777777" w:rsidR="00CB6E05" w:rsidRPr="00BA3885" w:rsidRDefault="00CB6E05" w:rsidP="008E7405">
            <w:pPr>
              <w:jc w:val="right"/>
            </w:pPr>
            <w:r w:rsidRPr="00BA3885">
              <w:t>4 115</w:t>
            </w:r>
          </w:p>
        </w:tc>
        <w:tc>
          <w:tcPr>
            <w:tcW w:w="840" w:type="dxa"/>
            <w:tcBorders>
              <w:top w:val="nil"/>
              <w:left w:val="nil"/>
              <w:bottom w:val="nil"/>
              <w:right w:val="nil"/>
            </w:tcBorders>
            <w:tcMar>
              <w:top w:w="100" w:type="dxa"/>
              <w:left w:w="43" w:type="dxa"/>
              <w:bottom w:w="43" w:type="dxa"/>
              <w:right w:w="43" w:type="dxa"/>
            </w:tcMar>
            <w:vAlign w:val="bottom"/>
          </w:tcPr>
          <w:p w14:paraId="5067CCB3" w14:textId="77777777" w:rsidR="00CB6E05" w:rsidRPr="00BA3885" w:rsidRDefault="00CB6E05" w:rsidP="008E7405">
            <w:pPr>
              <w:jc w:val="right"/>
            </w:pPr>
            <w:r w:rsidRPr="00BA3885">
              <w:t>0,3</w:t>
            </w:r>
          </w:p>
        </w:tc>
        <w:tc>
          <w:tcPr>
            <w:tcW w:w="840" w:type="dxa"/>
            <w:tcBorders>
              <w:top w:val="nil"/>
              <w:left w:val="nil"/>
              <w:bottom w:val="nil"/>
              <w:right w:val="nil"/>
            </w:tcBorders>
            <w:tcMar>
              <w:top w:w="100" w:type="dxa"/>
              <w:left w:w="43" w:type="dxa"/>
              <w:bottom w:w="43" w:type="dxa"/>
              <w:right w:w="43" w:type="dxa"/>
            </w:tcMar>
            <w:vAlign w:val="bottom"/>
          </w:tcPr>
          <w:p w14:paraId="3924CAF7" w14:textId="77777777" w:rsidR="00CB6E05" w:rsidRPr="00BA3885" w:rsidRDefault="00CB6E05" w:rsidP="008E7405">
            <w:pPr>
              <w:jc w:val="right"/>
            </w:pPr>
            <w:r w:rsidRPr="00BA3885">
              <w:t>2,0</w:t>
            </w:r>
          </w:p>
        </w:tc>
        <w:tc>
          <w:tcPr>
            <w:tcW w:w="840" w:type="dxa"/>
            <w:tcBorders>
              <w:top w:val="nil"/>
              <w:left w:val="nil"/>
              <w:bottom w:val="nil"/>
              <w:right w:val="nil"/>
            </w:tcBorders>
            <w:tcMar>
              <w:top w:w="100" w:type="dxa"/>
              <w:left w:w="43" w:type="dxa"/>
              <w:bottom w:w="43" w:type="dxa"/>
              <w:right w:w="43" w:type="dxa"/>
            </w:tcMar>
            <w:vAlign w:val="bottom"/>
          </w:tcPr>
          <w:p w14:paraId="538B3AB3" w14:textId="77777777" w:rsidR="00CB6E05" w:rsidRPr="00BA3885" w:rsidRDefault="00CB6E05" w:rsidP="008E7405">
            <w:pPr>
              <w:jc w:val="right"/>
            </w:pPr>
            <w:r w:rsidRPr="00BA3885">
              <w:t>2,6</w:t>
            </w:r>
          </w:p>
        </w:tc>
        <w:tc>
          <w:tcPr>
            <w:tcW w:w="840" w:type="dxa"/>
            <w:tcBorders>
              <w:top w:val="nil"/>
              <w:left w:val="nil"/>
              <w:bottom w:val="nil"/>
              <w:right w:val="nil"/>
            </w:tcBorders>
            <w:tcMar>
              <w:top w:w="100" w:type="dxa"/>
              <w:left w:w="43" w:type="dxa"/>
              <w:bottom w:w="43" w:type="dxa"/>
              <w:right w:w="43" w:type="dxa"/>
            </w:tcMar>
            <w:vAlign w:val="bottom"/>
          </w:tcPr>
          <w:p w14:paraId="1F57BE1F" w14:textId="77777777" w:rsidR="00CB6E05" w:rsidRPr="00BA3885" w:rsidRDefault="00CB6E05" w:rsidP="008E7405">
            <w:pPr>
              <w:jc w:val="right"/>
            </w:pPr>
            <w:r w:rsidRPr="00BA3885">
              <w:t>2,2</w:t>
            </w:r>
          </w:p>
        </w:tc>
      </w:tr>
      <w:tr w:rsidR="00CB6E05" w:rsidRPr="00BA3885" w14:paraId="76BE5A51"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28852C46" w14:textId="77777777" w:rsidR="00CB6E05" w:rsidRPr="00BA3885" w:rsidRDefault="00CB6E05" w:rsidP="00E1651D">
            <w:proofErr w:type="spellStart"/>
            <w:r>
              <w:t>Of</w:t>
            </w:r>
            <w:proofErr w:type="spellEnd"/>
            <w:r>
              <w:t xml:space="preserve"> </w:t>
            </w:r>
            <w:proofErr w:type="spellStart"/>
            <w:r>
              <w:t>which</w:t>
            </w:r>
            <w:proofErr w:type="spellEnd"/>
            <w:r w:rsidRPr="00530E23">
              <w:t>:</w:t>
            </w:r>
            <w:r w:rsidRPr="00BA3885">
              <w:t xml:space="preserve"> </w:t>
            </w:r>
          </w:p>
        </w:tc>
        <w:tc>
          <w:tcPr>
            <w:tcW w:w="3726" w:type="dxa"/>
            <w:tcBorders>
              <w:top w:val="nil"/>
              <w:left w:val="nil"/>
              <w:bottom w:val="nil"/>
              <w:right w:val="nil"/>
            </w:tcBorders>
            <w:tcMar>
              <w:top w:w="100" w:type="dxa"/>
              <w:left w:w="43" w:type="dxa"/>
              <w:bottom w:w="43" w:type="dxa"/>
              <w:right w:w="43" w:type="dxa"/>
            </w:tcMar>
          </w:tcPr>
          <w:p w14:paraId="180043E9" w14:textId="77777777" w:rsidR="00CB6E05" w:rsidRPr="00BA3885" w:rsidRDefault="00CB6E05" w:rsidP="00E1651D">
            <w:r w:rsidRPr="00BA3885">
              <w:t xml:space="preserve">Public </w:t>
            </w:r>
            <w:proofErr w:type="spellStart"/>
            <w:r w:rsidRPr="00BA3885">
              <w:t>sector</w:t>
            </w:r>
            <w:proofErr w:type="spellEnd"/>
            <w:r w:rsidRPr="00BA3885">
              <w:t xml:space="preserve"> </w:t>
            </w:r>
            <w:proofErr w:type="spellStart"/>
            <w:r w:rsidRPr="00BA3885">
              <w:t>demand</w:t>
            </w:r>
            <w:proofErr w:type="spellEnd"/>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5D3A0A40" w14:textId="77777777" w:rsidR="00CB6E05" w:rsidRPr="00BA3885" w:rsidRDefault="00CB6E05" w:rsidP="008E7405">
            <w:pPr>
              <w:jc w:val="right"/>
            </w:pPr>
            <w:r w:rsidRPr="00BA3885">
              <w:t>1 470</w:t>
            </w:r>
          </w:p>
        </w:tc>
        <w:tc>
          <w:tcPr>
            <w:tcW w:w="840" w:type="dxa"/>
            <w:tcBorders>
              <w:top w:val="nil"/>
              <w:left w:val="nil"/>
              <w:bottom w:val="nil"/>
              <w:right w:val="nil"/>
            </w:tcBorders>
            <w:tcMar>
              <w:top w:w="100" w:type="dxa"/>
              <w:left w:w="43" w:type="dxa"/>
              <w:bottom w:w="43" w:type="dxa"/>
              <w:right w:w="43" w:type="dxa"/>
            </w:tcMar>
            <w:vAlign w:val="bottom"/>
          </w:tcPr>
          <w:p w14:paraId="16A81377" w14:textId="77777777" w:rsidR="00CB6E05" w:rsidRPr="00BA3885" w:rsidRDefault="00CB6E05" w:rsidP="008E7405">
            <w:pPr>
              <w:jc w:val="right"/>
            </w:pPr>
            <w:r w:rsidRPr="00BA3885">
              <w:t>2,7</w:t>
            </w:r>
          </w:p>
        </w:tc>
        <w:tc>
          <w:tcPr>
            <w:tcW w:w="840" w:type="dxa"/>
            <w:tcBorders>
              <w:top w:val="nil"/>
              <w:left w:val="nil"/>
              <w:bottom w:val="nil"/>
              <w:right w:val="nil"/>
            </w:tcBorders>
            <w:tcMar>
              <w:top w:w="100" w:type="dxa"/>
              <w:left w:w="43" w:type="dxa"/>
              <w:bottom w:w="43" w:type="dxa"/>
              <w:right w:w="43" w:type="dxa"/>
            </w:tcMar>
            <w:vAlign w:val="bottom"/>
          </w:tcPr>
          <w:p w14:paraId="48FF8A61" w14:textId="77777777" w:rsidR="00CB6E05" w:rsidRPr="00BA3885" w:rsidRDefault="00CB6E05" w:rsidP="008E7405">
            <w:pPr>
              <w:jc w:val="right"/>
            </w:pPr>
            <w:r w:rsidRPr="00BA3885">
              <w:t>2,1</w:t>
            </w:r>
          </w:p>
        </w:tc>
        <w:tc>
          <w:tcPr>
            <w:tcW w:w="840" w:type="dxa"/>
            <w:tcBorders>
              <w:top w:val="nil"/>
              <w:left w:val="nil"/>
              <w:bottom w:val="nil"/>
              <w:right w:val="nil"/>
            </w:tcBorders>
            <w:tcMar>
              <w:top w:w="100" w:type="dxa"/>
              <w:left w:w="43" w:type="dxa"/>
              <w:bottom w:w="43" w:type="dxa"/>
              <w:right w:w="43" w:type="dxa"/>
            </w:tcMar>
            <w:vAlign w:val="bottom"/>
          </w:tcPr>
          <w:p w14:paraId="0E6C9664" w14:textId="77777777" w:rsidR="00CB6E05" w:rsidRPr="00BA3885" w:rsidRDefault="00CB6E05" w:rsidP="008E7405">
            <w:pPr>
              <w:jc w:val="right"/>
            </w:pPr>
            <w:r w:rsidRPr="00BA3885">
              <w:t>1,7</w:t>
            </w:r>
          </w:p>
        </w:tc>
        <w:tc>
          <w:tcPr>
            <w:tcW w:w="840" w:type="dxa"/>
            <w:tcBorders>
              <w:top w:val="nil"/>
              <w:left w:val="nil"/>
              <w:bottom w:val="nil"/>
              <w:right w:val="nil"/>
            </w:tcBorders>
            <w:tcMar>
              <w:top w:w="100" w:type="dxa"/>
              <w:left w:w="43" w:type="dxa"/>
              <w:bottom w:w="43" w:type="dxa"/>
              <w:right w:w="43" w:type="dxa"/>
            </w:tcMar>
            <w:vAlign w:val="bottom"/>
          </w:tcPr>
          <w:p w14:paraId="76D2240F" w14:textId="77777777" w:rsidR="00CB6E05" w:rsidRPr="00BA3885" w:rsidRDefault="00CB6E05" w:rsidP="008E7405">
            <w:pPr>
              <w:jc w:val="right"/>
            </w:pPr>
            <w:r w:rsidRPr="00BA3885">
              <w:t>1,4</w:t>
            </w:r>
          </w:p>
        </w:tc>
      </w:tr>
      <w:tr w:rsidR="00CB6E05" w:rsidRPr="00BA3885" w14:paraId="4D57CB89" w14:textId="77777777" w:rsidTr="00C7062A">
        <w:trPr>
          <w:trHeight w:val="340"/>
        </w:trPr>
        <w:tc>
          <w:tcPr>
            <w:tcW w:w="4860" w:type="dxa"/>
            <w:gridSpan w:val="2"/>
            <w:tcBorders>
              <w:top w:val="single" w:sz="4" w:space="0" w:color="000000"/>
              <w:left w:val="nil"/>
              <w:bottom w:val="nil"/>
              <w:right w:val="nil"/>
            </w:tcBorders>
            <w:tcMar>
              <w:top w:w="100" w:type="dxa"/>
              <w:left w:w="43" w:type="dxa"/>
              <w:bottom w:w="43" w:type="dxa"/>
              <w:right w:w="43" w:type="dxa"/>
            </w:tcMar>
          </w:tcPr>
          <w:p w14:paraId="7F9BD3D4" w14:textId="77777777" w:rsidR="00CB6E05" w:rsidRPr="00BA3885" w:rsidRDefault="00CB6E05" w:rsidP="00E1651D">
            <w:proofErr w:type="spellStart"/>
            <w:r w:rsidRPr="00BA3885">
              <w:t>Export</w:t>
            </w:r>
            <w:proofErr w:type="spellEnd"/>
            <w:r w:rsidRPr="00BA3885">
              <w:tab/>
            </w:r>
          </w:p>
        </w:tc>
        <w:tc>
          <w:tcPr>
            <w:tcW w:w="1240" w:type="dxa"/>
            <w:tcBorders>
              <w:top w:val="single" w:sz="4" w:space="0" w:color="000000"/>
              <w:left w:val="nil"/>
              <w:bottom w:val="nil"/>
              <w:right w:val="nil"/>
            </w:tcBorders>
            <w:tcMar>
              <w:top w:w="100" w:type="dxa"/>
              <w:left w:w="43" w:type="dxa"/>
              <w:bottom w:w="43" w:type="dxa"/>
              <w:right w:w="43" w:type="dxa"/>
            </w:tcMar>
            <w:vAlign w:val="bottom"/>
          </w:tcPr>
          <w:p w14:paraId="181A5657" w14:textId="77777777" w:rsidR="00CB6E05" w:rsidRPr="00BA3885" w:rsidRDefault="00CB6E05" w:rsidP="008E7405">
            <w:pPr>
              <w:jc w:val="right"/>
            </w:pPr>
            <w:r w:rsidRPr="00BA3885">
              <w:t>2 468</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456F17DB" w14:textId="77777777" w:rsidR="00CB6E05" w:rsidRPr="00BA3885" w:rsidRDefault="00CB6E05" w:rsidP="008E7405">
            <w:pPr>
              <w:jc w:val="right"/>
            </w:pPr>
            <w:r w:rsidRPr="00BA3885">
              <w:t>5,2</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51F2F4A4" w14:textId="77777777" w:rsidR="00CB6E05" w:rsidRPr="00BA3885" w:rsidRDefault="00CB6E05" w:rsidP="008E7405">
            <w:pPr>
              <w:jc w:val="right"/>
            </w:pPr>
            <w:r w:rsidRPr="00BA3885">
              <w:t>-1,2</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70A00760" w14:textId="77777777" w:rsidR="00CB6E05" w:rsidRPr="00BA3885" w:rsidRDefault="00CB6E05" w:rsidP="008E7405">
            <w:pPr>
              <w:jc w:val="right"/>
            </w:pPr>
            <w:r w:rsidRPr="00BA3885">
              <w:t>0,6</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4647D8DF" w14:textId="77777777" w:rsidR="00CB6E05" w:rsidRPr="00BA3885" w:rsidRDefault="00CB6E05" w:rsidP="008E7405">
            <w:pPr>
              <w:jc w:val="right"/>
            </w:pPr>
            <w:r w:rsidRPr="00BA3885">
              <w:t>0,2</w:t>
            </w:r>
          </w:p>
        </w:tc>
      </w:tr>
      <w:tr w:rsidR="00CB6E05" w:rsidRPr="00BA3885" w14:paraId="4E7A69E6"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3C282F85" w14:textId="77777777" w:rsidR="00CB6E05" w:rsidRPr="00BA3885" w:rsidRDefault="00CB6E05" w:rsidP="00E1651D">
            <w:proofErr w:type="spellStart"/>
            <w:r>
              <w:t>Of</w:t>
            </w:r>
            <w:proofErr w:type="spellEnd"/>
            <w:r>
              <w:t xml:space="preserve"> </w:t>
            </w:r>
            <w:proofErr w:type="spellStart"/>
            <w:r>
              <w:t>which</w:t>
            </w:r>
            <w:proofErr w:type="spellEnd"/>
            <w:r w:rsidRPr="00530E23">
              <w:t>:</w:t>
            </w:r>
          </w:p>
        </w:tc>
        <w:tc>
          <w:tcPr>
            <w:tcW w:w="3726" w:type="dxa"/>
            <w:tcBorders>
              <w:top w:val="nil"/>
              <w:left w:val="nil"/>
              <w:bottom w:val="nil"/>
              <w:right w:val="nil"/>
            </w:tcBorders>
            <w:tcMar>
              <w:top w:w="100" w:type="dxa"/>
              <w:left w:w="43" w:type="dxa"/>
              <w:bottom w:w="43" w:type="dxa"/>
              <w:right w:w="43" w:type="dxa"/>
            </w:tcMar>
          </w:tcPr>
          <w:p w14:paraId="6CB3D89B" w14:textId="77777777" w:rsidR="00CB6E05" w:rsidRPr="00E31CDA" w:rsidRDefault="00CB6E05" w:rsidP="00E1651D">
            <w:pPr>
              <w:rPr>
                <w:lang w:val="en-US"/>
              </w:rPr>
            </w:pPr>
            <w:r w:rsidRPr="00E31CDA">
              <w:rPr>
                <w:lang w:val="en-US"/>
              </w:rPr>
              <w:t>Crude oil and natural gas</w:t>
            </w:r>
            <w:r w:rsidRPr="00E31CDA">
              <w:rPr>
                <w:lang w:val="en-US"/>
              </w:rPr>
              <w:tab/>
            </w:r>
          </w:p>
        </w:tc>
        <w:tc>
          <w:tcPr>
            <w:tcW w:w="1240" w:type="dxa"/>
            <w:tcBorders>
              <w:top w:val="nil"/>
              <w:left w:val="nil"/>
              <w:bottom w:val="nil"/>
              <w:right w:val="nil"/>
            </w:tcBorders>
            <w:tcMar>
              <w:top w:w="100" w:type="dxa"/>
              <w:left w:w="43" w:type="dxa"/>
              <w:bottom w:w="43" w:type="dxa"/>
              <w:right w:w="43" w:type="dxa"/>
            </w:tcMar>
            <w:vAlign w:val="bottom"/>
          </w:tcPr>
          <w:p w14:paraId="4A89A39A" w14:textId="77777777" w:rsidR="00CB6E05" w:rsidRPr="00BA3885" w:rsidRDefault="00CB6E05" w:rsidP="008E7405">
            <w:pPr>
              <w:jc w:val="right"/>
            </w:pPr>
            <w:r w:rsidRPr="00BA3885">
              <w:t>1 169</w:t>
            </w:r>
          </w:p>
        </w:tc>
        <w:tc>
          <w:tcPr>
            <w:tcW w:w="840" w:type="dxa"/>
            <w:tcBorders>
              <w:top w:val="nil"/>
              <w:left w:val="nil"/>
              <w:bottom w:val="nil"/>
              <w:right w:val="nil"/>
            </w:tcBorders>
            <w:tcMar>
              <w:top w:w="100" w:type="dxa"/>
              <w:left w:w="43" w:type="dxa"/>
              <w:bottom w:w="43" w:type="dxa"/>
              <w:right w:w="43" w:type="dxa"/>
            </w:tcMar>
            <w:vAlign w:val="bottom"/>
          </w:tcPr>
          <w:p w14:paraId="1D561700" w14:textId="77777777" w:rsidR="00CB6E05" w:rsidRPr="00BA3885" w:rsidRDefault="00CB6E05" w:rsidP="008E7405">
            <w:pPr>
              <w:jc w:val="right"/>
            </w:pPr>
            <w:r w:rsidRPr="00BA3885">
              <w:t>6,7</w:t>
            </w:r>
          </w:p>
        </w:tc>
        <w:tc>
          <w:tcPr>
            <w:tcW w:w="840" w:type="dxa"/>
            <w:tcBorders>
              <w:top w:val="nil"/>
              <w:left w:val="nil"/>
              <w:bottom w:val="nil"/>
              <w:right w:val="nil"/>
            </w:tcBorders>
            <w:tcMar>
              <w:top w:w="100" w:type="dxa"/>
              <w:left w:w="43" w:type="dxa"/>
              <w:bottom w:w="43" w:type="dxa"/>
              <w:right w:w="43" w:type="dxa"/>
            </w:tcMar>
            <w:vAlign w:val="bottom"/>
          </w:tcPr>
          <w:p w14:paraId="0ABD1C7E" w14:textId="77777777" w:rsidR="00CB6E05" w:rsidRPr="00BA3885" w:rsidRDefault="00CB6E05" w:rsidP="008E7405">
            <w:pPr>
              <w:jc w:val="right"/>
            </w:pPr>
            <w:r w:rsidRPr="00BA3885">
              <w:t>-2,7</w:t>
            </w:r>
          </w:p>
        </w:tc>
        <w:tc>
          <w:tcPr>
            <w:tcW w:w="840" w:type="dxa"/>
            <w:tcBorders>
              <w:top w:val="nil"/>
              <w:left w:val="nil"/>
              <w:bottom w:val="nil"/>
              <w:right w:val="nil"/>
            </w:tcBorders>
            <w:tcMar>
              <w:top w:w="100" w:type="dxa"/>
              <w:left w:w="43" w:type="dxa"/>
              <w:bottom w:w="43" w:type="dxa"/>
              <w:right w:w="43" w:type="dxa"/>
            </w:tcMar>
            <w:vAlign w:val="bottom"/>
          </w:tcPr>
          <w:p w14:paraId="13FAB7D0" w14:textId="77777777" w:rsidR="00CB6E05" w:rsidRPr="00BA3885" w:rsidRDefault="00CB6E05" w:rsidP="008E7405">
            <w:pPr>
              <w:jc w:val="right"/>
            </w:pPr>
            <w:r w:rsidRPr="00BA3885">
              <w:t>-0,5</w:t>
            </w:r>
          </w:p>
        </w:tc>
        <w:tc>
          <w:tcPr>
            <w:tcW w:w="840" w:type="dxa"/>
            <w:tcBorders>
              <w:top w:val="nil"/>
              <w:left w:val="nil"/>
              <w:bottom w:val="nil"/>
              <w:right w:val="nil"/>
            </w:tcBorders>
            <w:tcMar>
              <w:top w:w="100" w:type="dxa"/>
              <w:left w:w="43" w:type="dxa"/>
              <w:bottom w:w="43" w:type="dxa"/>
              <w:right w:w="43" w:type="dxa"/>
            </w:tcMar>
            <w:vAlign w:val="bottom"/>
          </w:tcPr>
          <w:p w14:paraId="146A5638" w14:textId="77777777" w:rsidR="00CB6E05" w:rsidRPr="00BA3885" w:rsidRDefault="00CB6E05" w:rsidP="008E7405">
            <w:pPr>
              <w:jc w:val="right"/>
            </w:pPr>
            <w:r w:rsidRPr="00BA3885">
              <w:t>-1,6</w:t>
            </w:r>
          </w:p>
        </w:tc>
      </w:tr>
      <w:tr w:rsidR="00CB6E05" w:rsidRPr="00BA3885" w14:paraId="49F2CF84"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493D884D" w14:textId="77777777" w:rsidR="00CB6E05" w:rsidRPr="00BA3885" w:rsidRDefault="00CB6E05" w:rsidP="00E1651D"/>
        </w:tc>
        <w:tc>
          <w:tcPr>
            <w:tcW w:w="3726" w:type="dxa"/>
            <w:tcBorders>
              <w:top w:val="nil"/>
              <w:left w:val="nil"/>
              <w:bottom w:val="nil"/>
              <w:right w:val="nil"/>
            </w:tcBorders>
            <w:tcMar>
              <w:top w:w="100" w:type="dxa"/>
              <w:left w:w="43" w:type="dxa"/>
              <w:bottom w:w="43" w:type="dxa"/>
              <w:right w:w="43" w:type="dxa"/>
            </w:tcMar>
          </w:tcPr>
          <w:p w14:paraId="58A2D374" w14:textId="77777777" w:rsidR="00CB6E05" w:rsidRPr="00E31CDA" w:rsidRDefault="00CB6E05" w:rsidP="00E1651D">
            <w:pPr>
              <w:rPr>
                <w:lang w:val="en-US"/>
              </w:rPr>
            </w:pPr>
            <w:r w:rsidRPr="00E31CDA">
              <w:rPr>
                <w:lang w:val="en-US"/>
              </w:rPr>
              <w:t xml:space="preserve">Goods and services from mainland Norway </w:t>
            </w:r>
            <w:r w:rsidRPr="00E31CDA">
              <w:rPr>
                <w:lang w:val="en-US"/>
              </w:rPr>
              <w:tab/>
            </w:r>
          </w:p>
        </w:tc>
        <w:tc>
          <w:tcPr>
            <w:tcW w:w="1240" w:type="dxa"/>
            <w:tcBorders>
              <w:top w:val="nil"/>
              <w:left w:val="nil"/>
              <w:bottom w:val="nil"/>
              <w:right w:val="nil"/>
            </w:tcBorders>
            <w:tcMar>
              <w:top w:w="100" w:type="dxa"/>
              <w:left w:w="43" w:type="dxa"/>
              <w:bottom w:w="43" w:type="dxa"/>
              <w:right w:w="43" w:type="dxa"/>
            </w:tcMar>
            <w:vAlign w:val="bottom"/>
          </w:tcPr>
          <w:p w14:paraId="7996EF0A" w14:textId="77777777" w:rsidR="00CB6E05" w:rsidRPr="00BA3885" w:rsidRDefault="00CB6E05" w:rsidP="008E7405">
            <w:pPr>
              <w:jc w:val="right"/>
            </w:pPr>
            <w:r w:rsidRPr="00BA3885">
              <w:t>1 111</w:t>
            </w:r>
          </w:p>
        </w:tc>
        <w:tc>
          <w:tcPr>
            <w:tcW w:w="840" w:type="dxa"/>
            <w:tcBorders>
              <w:top w:val="nil"/>
              <w:left w:val="nil"/>
              <w:bottom w:val="nil"/>
              <w:right w:val="nil"/>
            </w:tcBorders>
            <w:tcMar>
              <w:top w:w="100" w:type="dxa"/>
              <w:left w:w="43" w:type="dxa"/>
              <w:bottom w:w="43" w:type="dxa"/>
              <w:right w:w="43" w:type="dxa"/>
            </w:tcMar>
            <w:vAlign w:val="bottom"/>
          </w:tcPr>
          <w:p w14:paraId="2E5D5409" w14:textId="77777777" w:rsidR="00CB6E05" w:rsidRPr="00BA3885" w:rsidRDefault="00CB6E05" w:rsidP="008E7405">
            <w:pPr>
              <w:jc w:val="right"/>
            </w:pPr>
            <w:r w:rsidRPr="00BA3885">
              <w:t>4,0</w:t>
            </w:r>
          </w:p>
        </w:tc>
        <w:tc>
          <w:tcPr>
            <w:tcW w:w="840" w:type="dxa"/>
            <w:tcBorders>
              <w:top w:val="nil"/>
              <w:left w:val="nil"/>
              <w:bottom w:val="nil"/>
              <w:right w:val="nil"/>
            </w:tcBorders>
            <w:tcMar>
              <w:top w:w="100" w:type="dxa"/>
              <w:left w:w="43" w:type="dxa"/>
              <w:bottom w:w="43" w:type="dxa"/>
              <w:right w:w="43" w:type="dxa"/>
            </w:tcMar>
            <w:vAlign w:val="bottom"/>
          </w:tcPr>
          <w:p w14:paraId="4D6DAB6B" w14:textId="77777777" w:rsidR="00CB6E05" w:rsidRPr="00BA3885" w:rsidRDefault="00CB6E05" w:rsidP="008E7405">
            <w:pPr>
              <w:jc w:val="right"/>
            </w:pPr>
            <w:r w:rsidRPr="00BA3885">
              <w:t>2,8</w:t>
            </w:r>
          </w:p>
        </w:tc>
        <w:tc>
          <w:tcPr>
            <w:tcW w:w="840" w:type="dxa"/>
            <w:tcBorders>
              <w:top w:val="nil"/>
              <w:left w:val="nil"/>
              <w:bottom w:val="nil"/>
              <w:right w:val="nil"/>
            </w:tcBorders>
            <w:tcMar>
              <w:top w:w="100" w:type="dxa"/>
              <w:left w:w="43" w:type="dxa"/>
              <w:bottom w:w="43" w:type="dxa"/>
              <w:right w:w="43" w:type="dxa"/>
            </w:tcMar>
            <w:vAlign w:val="bottom"/>
          </w:tcPr>
          <w:p w14:paraId="03561306" w14:textId="77777777" w:rsidR="00CB6E05" w:rsidRPr="00BA3885" w:rsidRDefault="00CB6E05" w:rsidP="008E7405">
            <w:pPr>
              <w:jc w:val="right"/>
            </w:pPr>
            <w:r w:rsidRPr="00BA3885">
              <w:t>2,4</w:t>
            </w:r>
          </w:p>
        </w:tc>
        <w:tc>
          <w:tcPr>
            <w:tcW w:w="840" w:type="dxa"/>
            <w:tcBorders>
              <w:top w:val="nil"/>
              <w:left w:val="nil"/>
              <w:bottom w:val="nil"/>
              <w:right w:val="nil"/>
            </w:tcBorders>
            <w:tcMar>
              <w:top w:w="100" w:type="dxa"/>
              <w:left w:w="43" w:type="dxa"/>
              <w:bottom w:w="43" w:type="dxa"/>
              <w:right w:w="43" w:type="dxa"/>
            </w:tcMar>
            <w:vAlign w:val="bottom"/>
          </w:tcPr>
          <w:p w14:paraId="182476EB" w14:textId="77777777" w:rsidR="00CB6E05" w:rsidRPr="00BA3885" w:rsidRDefault="00CB6E05" w:rsidP="008E7405">
            <w:pPr>
              <w:jc w:val="right"/>
            </w:pPr>
            <w:r w:rsidRPr="00BA3885">
              <w:t>2,3</w:t>
            </w:r>
          </w:p>
        </w:tc>
      </w:tr>
      <w:tr w:rsidR="00CB6E05" w:rsidRPr="00BA3885" w14:paraId="114CEA9E"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030FD2FF" w14:textId="77777777" w:rsidR="00CB6E05" w:rsidRPr="00BA3885" w:rsidRDefault="00CB6E05" w:rsidP="00E1651D">
            <w:r w:rsidRPr="00BA3885">
              <w:lastRenderedPageBreak/>
              <w:t>Import</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111E4486" w14:textId="77777777" w:rsidR="00CB6E05" w:rsidRPr="00BA3885" w:rsidRDefault="00CB6E05" w:rsidP="008E7405">
            <w:pPr>
              <w:jc w:val="right"/>
            </w:pPr>
            <w:r w:rsidRPr="00BA3885">
              <w:t>1 760</w:t>
            </w:r>
          </w:p>
        </w:tc>
        <w:tc>
          <w:tcPr>
            <w:tcW w:w="840" w:type="dxa"/>
            <w:tcBorders>
              <w:top w:val="nil"/>
              <w:left w:val="nil"/>
              <w:bottom w:val="nil"/>
              <w:right w:val="nil"/>
            </w:tcBorders>
            <w:tcMar>
              <w:top w:w="100" w:type="dxa"/>
              <w:left w:w="43" w:type="dxa"/>
              <w:bottom w:w="43" w:type="dxa"/>
              <w:right w:w="43" w:type="dxa"/>
            </w:tcMar>
            <w:vAlign w:val="bottom"/>
          </w:tcPr>
          <w:p w14:paraId="513791E3" w14:textId="77777777" w:rsidR="00CB6E05" w:rsidRPr="00BA3885" w:rsidRDefault="00CB6E05" w:rsidP="008E7405">
            <w:pPr>
              <w:jc w:val="right"/>
            </w:pPr>
            <w:r w:rsidRPr="00BA3885">
              <w:t>4,3</w:t>
            </w:r>
          </w:p>
        </w:tc>
        <w:tc>
          <w:tcPr>
            <w:tcW w:w="840" w:type="dxa"/>
            <w:tcBorders>
              <w:top w:val="nil"/>
              <w:left w:val="nil"/>
              <w:bottom w:val="nil"/>
              <w:right w:val="nil"/>
            </w:tcBorders>
            <w:tcMar>
              <w:top w:w="100" w:type="dxa"/>
              <w:left w:w="43" w:type="dxa"/>
              <w:bottom w:w="43" w:type="dxa"/>
              <w:right w:w="43" w:type="dxa"/>
            </w:tcMar>
            <w:vAlign w:val="bottom"/>
          </w:tcPr>
          <w:p w14:paraId="5BE48DB3" w14:textId="77777777" w:rsidR="00CB6E05" w:rsidRPr="00BA3885" w:rsidRDefault="00CB6E05" w:rsidP="008E7405">
            <w:pPr>
              <w:jc w:val="right"/>
            </w:pPr>
            <w:r w:rsidRPr="00BA3885">
              <w:t>1,4</w:t>
            </w:r>
          </w:p>
        </w:tc>
        <w:tc>
          <w:tcPr>
            <w:tcW w:w="840" w:type="dxa"/>
            <w:tcBorders>
              <w:top w:val="nil"/>
              <w:left w:val="nil"/>
              <w:bottom w:val="nil"/>
              <w:right w:val="nil"/>
            </w:tcBorders>
            <w:tcMar>
              <w:top w:w="100" w:type="dxa"/>
              <w:left w:w="43" w:type="dxa"/>
              <w:bottom w:w="43" w:type="dxa"/>
              <w:right w:w="43" w:type="dxa"/>
            </w:tcMar>
            <w:vAlign w:val="bottom"/>
          </w:tcPr>
          <w:p w14:paraId="6A1CFCDE" w14:textId="77777777" w:rsidR="00CB6E05" w:rsidRPr="00BA3885" w:rsidRDefault="00CB6E05" w:rsidP="008E7405">
            <w:pPr>
              <w:jc w:val="right"/>
            </w:pPr>
            <w:r w:rsidRPr="00BA3885">
              <w:t>2,0</w:t>
            </w:r>
          </w:p>
        </w:tc>
        <w:tc>
          <w:tcPr>
            <w:tcW w:w="840" w:type="dxa"/>
            <w:tcBorders>
              <w:top w:val="nil"/>
              <w:left w:val="nil"/>
              <w:bottom w:val="nil"/>
              <w:right w:val="nil"/>
            </w:tcBorders>
            <w:tcMar>
              <w:top w:w="100" w:type="dxa"/>
              <w:left w:w="43" w:type="dxa"/>
              <w:bottom w:w="43" w:type="dxa"/>
              <w:right w:w="43" w:type="dxa"/>
            </w:tcMar>
            <w:vAlign w:val="bottom"/>
          </w:tcPr>
          <w:p w14:paraId="751DBF9D" w14:textId="77777777" w:rsidR="00CB6E05" w:rsidRPr="00BA3885" w:rsidRDefault="00CB6E05" w:rsidP="008E7405">
            <w:pPr>
              <w:jc w:val="right"/>
            </w:pPr>
            <w:r w:rsidRPr="00BA3885">
              <w:t>2,4</w:t>
            </w:r>
          </w:p>
        </w:tc>
      </w:tr>
      <w:tr w:rsidR="00CB6E05" w:rsidRPr="00BA3885" w14:paraId="5C5977F8" w14:textId="77777777" w:rsidTr="00C7062A">
        <w:trPr>
          <w:trHeight w:val="340"/>
        </w:trPr>
        <w:tc>
          <w:tcPr>
            <w:tcW w:w="4860" w:type="dxa"/>
            <w:gridSpan w:val="2"/>
            <w:tcBorders>
              <w:top w:val="single" w:sz="4" w:space="0" w:color="000000"/>
              <w:left w:val="nil"/>
              <w:bottom w:val="nil"/>
              <w:right w:val="nil"/>
            </w:tcBorders>
            <w:tcMar>
              <w:top w:w="100" w:type="dxa"/>
              <w:left w:w="43" w:type="dxa"/>
              <w:bottom w:w="43" w:type="dxa"/>
              <w:right w:w="43" w:type="dxa"/>
            </w:tcMar>
          </w:tcPr>
          <w:p w14:paraId="4ED1572F" w14:textId="77777777" w:rsidR="00CB6E05" w:rsidRPr="00BA3885" w:rsidRDefault="00CB6E05" w:rsidP="00E1651D">
            <w:r w:rsidRPr="00BA3885">
              <w:t xml:space="preserve">Gross </w:t>
            </w:r>
            <w:proofErr w:type="spellStart"/>
            <w:r w:rsidRPr="00BA3885">
              <w:t>domestic</w:t>
            </w:r>
            <w:proofErr w:type="spellEnd"/>
            <w:r w:rsidRPr="00BA3885">
              <w:t xml:space="preserve"> </w:t>
            </w:r>
            <w:proofErr w:type="spellStart"/>
            <w:r w:rsidRPr="00BA3885">
              <w:t>product</w:t>
            </w:r>
            <w:proofErr w:type="spellEnd"/>
            <w:r w:rsidRPr="00BA3885">
              <w:tab/>
            </w:r>
          </w:p>
        </w:tc>
        <w:tc>
          <w:tcPr>
            <w:tcW w:w="1240" w:type="dxa"/>
            <w:tcBorders>
              <w:top w:val="single" w:sz="4" w:space="0" w:color="000000"/>
              <w:left w:val="nil"/>
              <w:bottom w:val="nil"/>
              <w:right w:val="nil"/>
            </w:tcBorders>
            <w:tcMar>
              <w:top w:w="100" w:type="dxa"/>
              <w:left w:w="43" w:type="dxa"/>
              <w:bottom w:w="43" w:type="dxa"/>
              <w:right w:w="43" w:type="dxa"/>
            </w:tcMar>
            <w:vAlign w:val="bottom"/>
          </w:tcPr>
          <w:p w14:paraId="500A9139" w14:textId="77777777" w:rsidR="00CB6E05" w:rsidRPr="00BA3885" w:rsidRDefault="00CB6E05" w:rsidP="008E7405">
            <w:pPr>
              <w:jc w:val="right"/>
            </w:pPr>
            <w:r w:rsidRPr="00BA3885">
              <w:t>5 197</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407207CE" w14:textId="77777777" w:rsidR="00CB6E05" w:rsidRPr="00BA3885" w:rsidRDefault="00CB6E05" w:rsidP="008E7405">
            <w:pPr>
              <w:jc w:val="right"/>
            </w:pPr>
            <w:r w:rsidRPr="00BA3885">
              <w:t>2,1</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71A24A57" w14:textId="77777777" w:rsidR="00CB6E05" w:rsidRPr="00BA3885" w:rsidRDefault="00CB6E05" w:rsidP="008E7405">
            <w:pPr>
              <w:jc w:val="right"/>
            </w:pPr>
            <w:r w:rsidRPr="00BA3885">
              <w:t>0,4</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7A0AEA02" w14:textId="77777777" w:rsidR="00CB6E05" w:rsidRPr="00BA3885" w:rsidRDefault="00CB6E05" w:rsidP="008E7405">
            <w:pPr>
              <w:jc w:val="right"/>
            </w:pPr>
            <w:r w:rsidRPr="00BA3885">
              <w:t>1,2</w:t>
            </w: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0FC0390E" w14:textId="77777777" w:rsidR="00CB6E05" w:rsidRPr="00BA3885" w:rsidRDefault="00CB6E05" w:rsidP="008E7405">
            <w:pPr>
              <w:jc w:val="right"/>
            </w:pPr>
            <w:r w:rsidRPr="00BA3885">
              <w:t>0,7</w:t>
            </w:r>
          </w:p>
        </w:tc>
      </w:tr>
      <w:tr w:rsidR="00CB6E05" w:rsidRPr="00BA3885" w14:paraId="1CAFDC97" w14:textId="77777777" w:rsidTr="00C7062A">
        <w:trPr>
          <w:trHeight w:val="340"/>
        </w:trPr>
        <w:tc>
          <w:tcPr>
            <w:tcW w:w="1134" w:type="dxa"/>
            <w:tcBorders>
              <w:top w:val="nil"/>
              <w:left w:val="nil"/>
              <w:bottom w:val="nil"/>
              <w:right w:val="nil"/>
            </w:tcBorders>
            <w:tcMar>
              <w:top w:w="100" w:type="dxa"/>
              <w:left w:w="43" w:type="dxa"/>
              <w:bottom w:w="43" w:type="dxa"/>
              <w:right w:w="43" w:type="dxa"/>
            </w:tcMar>
          </w:tcPr>
          <w:p w14:paraId="6F5C5389" w14:textId="77777777" w:rsidR="00CB6E05" w:rsidRPr="00BA3885" w:rsidRDefault="00CB6E05" w:rsidP="00E1651D">
            <w:proofErr w:type="spellStart"/>
            <w:r>
              <w:t>Of</w:t>
            </w:r>
            <w:proofErr w:type="spellEnd"/>
            <w:r>
              <w:t xml:space="preserve"> </w:t>
            </w:r>
            <w:proofErr w:type="spellStart"/>
            <w:proofErr w:type="gramStart"/>
            <w:r>
              <w:t>which</w:t>
            </w:r>
            <w:proofErr w:type="spellEnd"/>
            <w:r w:rsidRPr="00530E23">
              <w:t>:</w:t>
            </w:r>
            <w:r w:rsidRPr="00BA3885">
              <w:t xml:space="preserve">  </w:t>
            </w:r>
            <w:r w:rsidRPr="00BA3885">
              <w:tab/>
            </w:r>
            <w:proofErr w:type="gramEnd"/>
          </w:p>
        </w:tc>
        <w:tc>
          <w:tcPr>
            <w:tcW w:w="3726" w:type="dxa"/>
            <w:tcBorders>
              <w:top w:val="nil"/>
              <w:left w:val="nil"/>
              <w:bottom w:val="nil"/>
              <w:right w:val="nil"/>
            </w:tcBorders>
            <w:tcMar>
              <w:top w:w="100" w:type="dxa"/>
              <w:left w:w="43" w:type="dxa"/>
              <w:bottom w:w="43" w:type="dxa"/>
              <w:right w:w="43" w:type="dxa"/>
            </w:tcMar>
          </w:tcPr>
          <w:p w14:paraId="43FDA4EE" w14:textId="77777777" w:rsidR="00CB6E05" w:rsidRPr="00BA3885" w:rsidRDefault="00CB6E05" w:rsidP="00E1651D">
            <w:r w:rsidRPr="00BA3885">
              <w:t>Mainland Norway</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74AD2988" w14:textId="77777777" w:rsidR="00CB6E05" w:rsidRPr="00BA3885" w:rsidRDefault="00CB6E05" w:rsidP="008E7405">
            <w:pPr>
              <w:jc w:val="right"/>
            </w:pPr>
            <w:r w:rsidRPr="00BA3885">
              <w:t>4 050</w:t>
            </w:r>
          </w:p>
        </w:tc>
        <w:tc>
          <w:tcPr>
            <w:tcW w:w="840" w:type="dxa"/>
            <w:tcBorders>
              <w:top w:val="nil"/>
              <w:left w:val="nil"/>
              <w:bottom w:val="nil"/>
              <w:right w:val="nil"/>
            </w:tcBorders>
            <w:tcMar>
              <w:top w:w="100" w:type="dxa"/>
              <w:left w:w="43" w:type="dxa"/>
              <w:bottom w:w="43" w:type="dxa"/>
              <w:right w:w="43" w:type="dxa"/>
            </w:tcMar>
            <w:vAlign w:val="bottom"/>
          </w:tcPr>
          <w:p w14:paraId="321F35E7" w14:textId="77777777" w:rsidR="00CB6E05" w:rsidRPr="00BA3885" w:rsidRDefault="00CB6E05" w:rsidP="008E7405">
            <w:pPr>
              <w:jc w:val="right"/>
            </w:pPr>
            <w:r w:rsidRPr="00BA3885">
              <w:t>0,6</w:t>
            </w:r>
          </w:p>
        </w:tc>
        <w:tc>
          <w:tcPr>
            <w:tcW w:w="840" w:type="dxa"/>
            <w:tcBorders>
              <w:top w:val="nil"/>
              <w:left w:val="nil"/>
              <w:bottom w:val="nil"/>
              <w:right w:val="nil"/>
            </w:tcBorders>
            <w:tcMar>
              <w:top w:w="100" w:type="dxa"/>
              <w:left w:w="43" w:type="dxa"/>
              <w:bottom w:w="43" w:type="dxa"/>
              <w:right w:w="43" w:type="dxa"/>
            </w:tcMar>
            <w:vAlign w:val="bottom"/>
          </w:tcPr>
          <w:p w14:paraId="72639D2E" w14:textId="77777777" w:rsidR="00CB6E05" w:rsidRPr="00BA3885" w:rsidRDefault="00CB6E05" w:rsidP="008E7405">
            <w:pPr>
              <w:jc w:val="right"/>
            </w:pPr>
            <w:r w:rsidRPr="00BA3885">
              <w:t>2,0</w:t>
            </w:r>
          </w:p>
        </w:tc>
        <w:tc>
          <w:tcPr>
            <w:tcW w:w="840" w:type="dxa"/>
            <w:tcBorders>
              <w:top w:val="nil"/>
              <w:left w:val="nil"/>
              <w:bottom w:val="nil"/>
              <w:right w:val="nil"/>
            </w:tcBorders>
            <w:tcMar>
              <w:top w:w="100" w:type="dxa"/>
              <w:left w:w="43" w:type="dxa"/>
              <w:bottom w:w="43" w:type="dxa"/>
              <w:right w:w="43" w:type="dxa"/>
            </w:tcMar>
            <w:vAlign w:val="bottom"/>
          </w:tcPr>
          <w:p w14:paraId="7291EBBD" w14:textId="77777777" w:rsidR="00CB6E05" w:rsidRPr="00BA3885" w:rsidRDefault="00CB6E05" w:rsidP="008E7405">
            <w:pPr>
              <w:jc w:val="right"/>
            </w:pPr>
            <w:r w:rsidRPr="00BA3885">
              <w:t>2,1</w:t>
            </w:r>
          </w:p>
        </w:tc>
        <w:tc>
          <w:tcPr>
            <w:tcW w:w="840" w:type="dxa"/>
            <w:tcBorders>
              <w:top w:val="nil"/>
              <w:left w:val="nil"/>
              <w:bottom w:val="nil"/>
              <w:right w:val="nil"/>
            </w:tcBorders>
            <w:tcMar>
              <w:top w:w="100" w:type="dxa"/>
              <w:left w:w="43" w:type="dxa"/>
              <w:bottom w:w="43" w:type="dxa"/>
              <w:right w:w="43" w:type="dxa"/>
            </w:tcMar>
            <w:vAlign w:val="bottom"/>
          </w:tcPr>
          <w:p w14:paraId="630D9F94" w14:textId="77777777" w:rsidR="00CB6E05" w:rsidRPr="00BA3885" w:rsidRDefault="00CB6E05" w:rsidP="008E7405">
            <w:pPr>
              <w:jc w:val="right"/>
            </w:pPr>
            <w:r w:rsidRPr="00BA3885">
              <w:t>1,8</w:t>
            </w:r>
          </w:p>
        </w:tc>
      </w:tr>
      <w:tr w:rsidR="00CB6E05" w:rsidRPr="00BA3885" w14:paraId="7313BEBD" w14:textId="77777777" w:rsidTr="00C7062A">
        <w:trPr>
          <w:trHeight w:val="340"/>
        </w:trPr>
        <w:tc>
          <w:tcPr>
            <w:tcW w:w="4860" w:type="dxa"/>
            <w:gridSpan w:val="2"/>
            <w:tcBorders>
              <w:top w:val="single" w:sz="4" w:space="0" w:color="000000"/>
              <w:left w:val="nil"/>
              <w:bottom w:val="nil"/>
              <w:right w:val="nil"/>
            </w:tcBorders>
            <w:tcMar>
              <w:top w:w="100" w:type="dxa"/>
              <w:left w:w="43" w:type="dxa"/>
              <w:bottom w:w="43" w:type="dxa"/>
              <w:right w:w="43" w:type="dxa"/>
            </w:tcMar>
          </w:tcPr>
          <w:p w14:paraId="21AE4EF2" w14:textId="77777777" w:rsidR="00CB6E05" w:rsidRPr="00BA3885" w:rsidRDefault="00CB6E05" w:rsidP="00E1651D">
            <w:proofErr w:type="spellStart"/>
            <w:r w:rsidRPr="00BA3885">
              <w:rPr>
                <w:i/>
              </w:rPr>
              <w:t>Other</w:t>
            </w:r>
            <w:proofErr w:type="spellEnd"/>
            <w:r w:rsidRPr="00BA3885">
              <w:rPr>
                <w:i/>
              </w:rPr>
              <w:t xml:space="preserve"> </w:t>
            </w:r>
            <w:proofErr w:type="spellStart"/>
            <w:r w:rsidRPr="00BA3885">
              <w:rPr>
                <w:i/>
              </w:rPr>
              <w:t>key</w:t>
            </w:r>
            <w:proofErr w:type="spellEnd"/>
            <w:r w:rsidRPr="00BA3885">
              <w:rPr>
                <w:i/>
              </w:rPr>
              <w:t xml:space="preserve"> </w:t>
            </w:r>
            <w:proofErr w:type="spellStart"/>
            <w:r w:rsidRPr="00BA3885">
              <w:rPr>
                <w:i/>
              </w:rPr>
              <w:t>figures</w:t>
            </w:r>
            <w:proofErr w:type="spellEnd"/>
            <w:r w:rsidRPr="00BA3885">
              <w:rPr>
                <w:i/>
              </w:rPr>
              <w:t>:</w:t>
            </w:r>
          </w:p>
        </w:tc>
        <w:tc>
          <w:tcPr>
            <w:tcW w:w="1240" w:type="dxa"/>
            <w:tcBorders>
              <w:top w:val="single" w:sz="4" w:space="0" w:color="000000"/>
              <w:left w:val="nil"/>
              <w:bottom w:val="nil"/>
              <w:right w:val="nil"/>
            </w:tcBorders>
            <w:tcMar>
              <w:top w:w="100" w:type="dxa"/>
              <w:left w:w="43" w:type="dxa"/>
              <w:bottom w:w="43" w:type="dxa"/>
              <w:right w:w="43" w:type="dxa"/>
            </w:tcMar>
            <w:vAlign w:val="bottom"/>
          </w:tcPr>
          <w:p w14:paraId="37175555" w14:textId="77777777" w:rsidR="00CB6E05" w:rsidRPr="00BA3885" w:rsidRDefault="00CB6E05" w:rsidP="008E7405">
            <w:pPr>
              <w:jc w:val="right"/>
            </w:pP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1531794B" w14:textId="77777777" w:rsidR="00CB6E05" w:rsidRPr="00BA3885" w:rsidRDefault="00CB6E05" w:rsidP="008E7405">
            <w:pPr>
              <w:jc w:val="right"/>
            </w:pP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2606FCCD" w14:textId="77777777" w:rsidR="00CB6E05" w:rsidRPr="00BA3885" w:rsidRDefault="00CB6E05" w:rsidP="008E7405">
            <w:pPr>
              <w:jc w:val="right"/>
            </w:pP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751D140B" w14:textId="77777777" w:rsidR="00CB6E05" w:rsidRPr="00BA3885" w:rsidRDefault="00CB6E05" w:rsidP="008E7405">
            <w:pPr>
              <w:jc w:val="right"/>
            </w:pPr>
          </w:p>
        </w:tc>
        <w:tc>
          <w:tcPr>
            <w:tcW w:w="840" w:type="dxa"/>
            <w:tcBorders>
              <w:top w:val="single" w:sz="4" w:space="0" w:color="000000"/>
              <w:left w:val="nil"/>
              <w:bottom w:val="nil"/>
              <w:right w:val="nil"/>
            </w:tcBorders>
            <w:tcMar>
              <w:top w:w="100" w:type="dxa"/>
              <w:left w:w="43" w:type="dxa"/>
              <w:bottom w:w="43" w:type="dxa"/>
              <w:right w:w="43" w:type="dxa"/>
            </w:tcMar>
            <w:vAlign w:val="bottom"/>
          </w:tcPr>
          <w:p w14:paraId="7796E673" w14:textId="77777777" w:rsidR="00CB6E05" w:rsidRPr="00BA3885" w:rsidRDefault="00CB6E05" w:rsidP="008E7405">
            <w:pPr>
              <w:jc w:val="right"/>
            </w:pPr>
          </w:p>
        </w:tc>
      </w:tr>
      <w:tr w:rsidR="00CB6E05" w:rsidRPr="00BA3885" w14:paraId="5EAFE497"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57894754" w14:textId="77777777" w:rsidR="00CB6E05" w:rsidRPr="00BA3885" w:rsidRDefault="00CB6E05" w:rsidP="00E1651D">
            <w:proofErr w:type="spellStart"/>
            <w:r w:rsidRPr="00BA3885">
              <w:t>Employment</w:t>
            </w:r>
            <w:proofErr w:type="spellEnd"/>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4882464B" w14:textId="77777777" w:rsidR="00CB6E05" w:rsidRPr="00BA3885" w:rsidRDefault="00CB6E05" w:rsidP="008E7405">
            <w:pPr>
              <w:jc w:val="right"/>
            </w:pPr>
          </w:p>
        </w:tc>
        <w:tc>
          <w:tcPr>
            <w:tcW w:w="840" w:type="dxa"/>
            <w:tcBorders>
              <w:top w:val="nil"/>
              <w:left w:val="nil"/>
              <w:bottom w:val="nil"/>
              <w:right w:val="nil"/>
            </w:tcBorders>
            <w:tcMar>
              <w:top w:w="100" w:type="dxa"/>
              <w:left w:w="43" w:type="dxa"/>
              <w:bottom w:w="43" w:type="dxa"/>
              <w:right w:w="43" w:type="dxa"/>
            </w:tcMar>
            <w:vAlign w:val="bottom"/>
          </w:tcPr>
          <w:p w14:paraId="48CF90D9" w14:textId="77777777" w:rsidR="00CB6E05" w:rsidRPr="00BA3885" w:rsidRDefault="00CB6E05" w:rsidP="008E7405">
            <w:pPr>
              <w:jc w:val="right"/>
            </w:pPr>
            <w:r w:rsidRPr="00BA3885">
              <w:t>0,5</w:t>
            </w:r>
          </w:p>
        </w:tc>
        <w:tc>
          <w:tcPr>
            <w:tcW w:w="840" w:type="dxa"/>
            <w:tcBorders>
              <w:top w:val="nil"/>
              <w:left w:val="nil"/>
              <w:bottom w:val="nil"/>
              <w:right w:val="nil"/>
            </w:tcBorders>
            <w:tcMar>
              <w:top w:w="100" w:type="dxa"/>
              <w:left w:w="43" w:type="dxa"/>
              <w:bottom w:w="43" w:type="dxa"/>
              <w:right w:w="43" w:type="dxa"/>
            </w:tcMar>
            <w:vAlign w:val="bottom"/>
          </w:tcPr>
          <w:p w14:paraId="5DF4BA5C" w14:textId="77777777" w:rsidR="00CB6E05" w:rsidRPr="00BA3885" w:rsidRDefault="00CB6E05" w:rsidP="008E7405">
            <w:pPr>
              <w:jc w:val="right"/>
            </w:pPr>
            <w:r w:rsidRPr="00BA3885">
              <w:t>0,8</w:t>
            </w:r>
          </w:p>
        </w:tc>
        <w:tc>
          <w:tcPr>
            <w:tcW w:w="840" w:type="dxa"/>
            <w:tcBorders>
              <w:top w:val="nil"/>
              <w:left w:val="nil"/>
              <w:bottom w:val="nil"/>
              <w:right w:val="nil"/>
            </w:tcBorders>
            <w:tcMar>
              <w:top w:w="100" w:type="dxa"/>
              <w:left w:w="43" w:type="dxa"/>
              <w:bottom w:w="43" w:type="dxa"/>
              <w:right w:w="43" w:type="dxa"/>
            </w:tcMar>
            <w:vAlign w:val="bottom"/>
          </w:tcPr>
          <w:p w14:paraId="109E39FC" w14:textId="77777777" w:rsidR="00CB6E05" w:rsidRPr="00BA3885" w:rsidRDefault="00CB6E05" w:rsidP="008E7405">
            <w:pPr>
              <w:jc w:val="right"/>
            </w:pPr>
            <w:r w:rsidRPr="00BA3885">
              <w:t>0,7</w:t>
            </w:r>
          </w:p>
        </w:tc>
        <w:tc>
          <w:tcPr>
            <w:tcW w:w="840" w:type="dxa"/>
            <w:tcBorders>
              <w:top w:val="nil"/>
              <w:left w:val="nil"/>
              <w:bottom w:val="nil"/>
              <w:right w:val="nil"/>
            </w:tcBorders>
            <w:tcMar>
              <w:top w:w="100" w:type="dxa"/>
              <w:left w:w="43" w:type="dxa"/>
              <w:bottom w:w="43" w:type="dxa"/>
              <w:right w:w="43" w:type="dxa"/>
            </w:tcMar>
            <w:vAlign w:val="bottom"/>
          </w:tcPr>
          <w:p w14:paraId="212334DE" w14:textId="77777777" w:rsidR="00CB6E05" w:rsidRPr="00BA3885" w:rsidRDefault="00CB6E05" w:rsidP="008E7405">
            <w:pPr>
              <w:jc w:val="right"/>
            </w:pPr>
            <w:r w:rsidRPr="00BA3885">
              <w:t>0,4</w:t>
            </w:r>
          </w:p>
        </w:tc>
      </w:tr>
      <w:tr w:rsidR="00CB6E05" w:rsidRPr="00BA3885" w14:paraId="35367058"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1CE15AAF" w14:textId="77777777" w:rsidR="00CB6E05" w:rsidRPr="00BA3885" w:rsidRDefault="00CB6E05" w:rsidP="00E1651D">
            <w:proofErr w:type="spellStart"/>
            <w:r w:rsidRPr="00BA3885">
              <w:t>Unemployment</w:t>
            </w:r>
            <w:proofErr w:type="spellEnd"/>
            <w:r w:rsidRPr="00BA3885">
              <w:t xml:space="preserve"> rate, </w:t>
            </w:r>
            <w:proofErr w:type="spellStart"/>
            <w:r w:rsidRPr="00BA3885">
              <w:t>registered</w:t>
            </w:r>
            <w:proofErr w:type="spellEnd"/>
            <w:r w:rsidRPr="00BA3885">
              <w:t xml:space="preserve"> (</w:t>
            </w:r>
            <w:proofErr w:type="spellStart"/>
            <w:r w:rsidRPr="00BA3885">
              <w:t>level</w:t>
            </w:r>
            <w:proofErr w:type="spellEnd"/>
            <w:r w:rsidRPr="00BA3885">
              <w:t>)</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0C60BFA6" w14:textId="77777777" w:rsidR="00CB6E05" w:rsidRPr="00BA3885" w:rsidRDefault="00CB6E05" w:rsidP="008E7405">
            <w:pPr>
              <w:jc w:val="right"/>
            </w:pPr>
          </w:p>
        </w:tc>
        <w:tc>
          <w:tcPr>
            <w:tcW w:w="840" w:type="dxa"/>
            <w:tcBorders>
              <w:top w:val="nil"/>
              <w:left w:val="nil"/>
              <w:bottom w:val="nil"/>
              <w:right w:val="nil"/>
            </w:tcBorders>
            <w:tcMar>
              <w:top w:w="100" w:type="dxa"/>
              <w:left w:w="43" w:type="dxa"/>
              <w:bottom w:w="43" w:type="dxa"/>
              <w:right w:w="43" w:type="dxa"/>
            </w:tcMar>
            <w:vAlign w:val="bottom"/>
          </w:tcPr>
          <w:p w14:paraId="76A4EF22" w14:textId="77777777" w:rsidR="00CB6E05" w:rsidRPr="00BA3885" w:rsidRDefault="00CB6E05" w:rsidP="008E7405">
            <w:pPr>
              <w:jc w:val="right"/>
            </w:pPr>
            <w:r w:rsidRPr="00BA3885">
              <w:t>2,0</w:t>
            </w:r>
          </w:p>
        </w:tc>
        <w:tc>
          <w:tcPr>
            <w:tcW w:w="840" w:type="dxa"/>
            <w:tcBorders>
              <w:top w:val="nil"/>
              <w:left w:val="nil"/>
              <w:bottom w:val="nil"/>
              <w:right w:val="nil"/>
            </w:tcBorders>
            <w:tcMar>
              <w:top w:w="100" w:type="dxa"/>
              <w:left w:w="43" w:type="dxa"/>
              <w:bottom w:w="43" w:type="dxa"/>
              <w:right w:w="43" w:type="dxa"/>
            </w:tcMar>
            <w:vAlign w:val="bottom"/>
          </w:tcPr>
          <w:p w14:paraId="3076F585" w14:textId="77777777" w:rsidR="00CB6E05" w:rsidRPr="00BA3885" w:rsidRDefault="00CB6E05" w:rsidP="008E7405">
            <w:pPr>
              <w:jc w:val="right"/>
            </w:pPr>
            <w:r w:rsidRPr="00BA3885">
              <w:t>2,1</w:t>
            </w:r>
          </w:p>
        </w:tc>
        <w:tc>
          <w:tcPr>
            <w:tcW w:w="840" w:type="dxa"/>
            <w:tcBorders>
              <w:top w:val="nil"/>
              <w:left w:val="nil"/>
              <w:bottom w:val="nil"/>
              <w:right w:val="nil"/>
            </w:tcBorders>
            <w:tcMar>
              <w:top w:w="100" w:type="dxa"/>
              <w:left w:w="43" w:type="dxa"/>
              <w:bottom w:w="43" w:type="dxa"/>
              <w:right w:w="43" w:type="dxa"/>
            </w:tcMar>
            <w:vAlign w:val="bottom"/>
          </w:tcPr>
          <w:p w14:paraId="5EB5C70E" w14:textId="77777777" w:rsidR="00CB6E05" w:rsidRPr="00BA3885" w:rsidRDefault="00CB6E05" w:rsidP="008E7405">
            <w:pPr>
              <w:jc w:val="right"/>
            </w:pPr>
            <w:r w:rsidRPr="00BA3885">
              <w:t>2,1</w:t>
            </w:r>
          </w:p>
        </w:tc>
        <w:tc>
          <w:tcPr>
            <w:tcW w:w="840" w:type="dxa"/>
            <w:tcBorders>
              <w:top w:val="nil"/>
              <w:left w:val="nil"/>
              <w:bottom w:val="nil"/>
              <w:right w:val="nil"/>
            </w:tcBorders>
            <w:tcMar>
              <w:top w:w="100" w:type="dxa"/>
              <w:left w:w="43" w:type="dxa"/>
              <w:bottom w:w="43" w:type="dxa"/>
              <w:right w:w="43" w:type="dxa"/>
            </w:tcMar>
            <w:vAlign w:val="bottom"/>
          </w:tcPr>
          <w:p w14:paraId="7EA258D2" w14:textId="77777777" w:rsidR="00CB6E05" w:rsidRPr="00BA3885" w:rsidRDefault="00CB6E05" w:rsidP="008E7405">
            <w:pPr>
              <w:jc w:val="right"/>
            </w:pPr>
            <w:r w:rsidRPr="00BA3885">
              <w:t>2,1</w:t>
            </w:r>
          </w:p>
        </w:tc>
      </w:tr>
      <w:tr w:rsidR="00CB6E05" w:rsidRPr="00BA3885" w14:paraId="32A083D5"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0480A3C8" w14:textId="77777777" w:rsidR="00CB6E05" w:rsidRPr="00BA3885" w:rsidRDefault="00CB6E05" w:rsidP="00E1651D">
            <w:proofErr w:type="spellStart"/>
            <w:r w:rsidRPr="00BA3885">
              <w:t>Unemployment</w:t>
            </w:r>
            <w:proofErr w:type="spellEnd"/>
            <w:r w:rsidRPr="00BA3885">
              <w:t xml:space="preserve"> rate, LFS (</w:t>
            </w:r>
            <w:proofErr w:type="spellStart"/>
            <w:r w:rsidRPr="00BA3885">
              <w:t>level</w:t>
            </w:r>
            <w:proofErr w:type="spellEnd"/>
            <w:r w:rsidRPr="00BA3885">
              <w:t>)</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5617F1E4" w14:textId="77777777" w:rsidR="00CB6E05" w:rsidRPr="00BA3885" w:rsidRDefault="00CB6E05" w:rsidP="008E7405">
            <w:pPr>
              <w:jc w:val="right"/>
            </w:pPr>
          </w:p>
        </w:tc>
        <w:tc>
          <w:tcPr>
            <w:tcW w:w="840" w:type="dxa"/>
            <w:tcBorders>
              <w:top w:val="nil"/>
              <w:left w:val="nil"/>
              <w:bottom w:val="nil"/>
              <w:right w:val="nil"/>
            </w:tcBorders>
            <w:tcMar>
              <w:top w:w="100" w:type="dxa"/>
              <w:left w:w="43" w:type="dxa"/>
              <w:bottom w:w="43" w:type="dxa"/>
              <w:right w:w="43" w:type="dxa"/>
            </w:tcMar>
            <w:vAlign w:val="bottom"/>
          </w:tcPr>
          <w:p w14:paraId="6FA7A78B" w14:textId="77777777" w:rsidR="00CB6E05" w:rsidRPr="00BA3885" w:rsidRDefault="00CB6E05" w:rsidP="008E7405">
            <w:pPr>
              <w:jc w:val="right"/>
            </w:pPr>
            <w:r w:rsidRPr="00BA3885">
              <w:t>4,0</w:t>
            </w:r>
          </w:p>
        </w:tc>
        <w:tc>
          <w:tcPr>
            <w:tcW w:w="840" w:type="dxa"/>
            <w:tcBorders>
              <w:top w:val="nil"/>
              <w:left w:val="nil"/>
              <w:bottom w:val="nil"/>
              <w:right w:val="nil"/>
            </w:tcBorders>
            <w:tcMar>
              <w:top w:w="100" w:type="dxa"/>
              <w:left w:w="43" w:type="dxa"/>
              <w:bottom w:w="43" w:type="dxa"/>
              <w:right w:w="43" w:type="dxa"/>
            </w:tcMar>
            <w:vAlign w:val="bottom"/>
          </w:tcPr>
          <w:p w14:paraId="0DD37908" w14:textId="77777777" w:rsidR="00CB6E05" w:rsidRPr="00BA3885" w:rsidRDefault="00CB6E05" w:rsidP="008E7405">
            <w:pPr>
              <w:jc w:val="right"/>
            </w:pPr>
            <w:r w:rsidRPr="00BA3885">
              <w:t>4,5</w:t>
            </w:r>
          </w:p>
        </w:tc>
        <w:tc>
          <w:tcPr>
            <w:tcW w:w="840" w:type="dxa"/>
            <w:tcBorders>
              <w:top w:val="nil"/>
              <w:left w:val="nil"/>
              <w:bottom w:val="nil"/>
              <w:right w:val="nil"/>
            </w:tcBorders>
            <w:tcMar>
              <w:top w:w="100" w:type="dxa"/>
              <w:left w:w="43" w:type="dxa"/>
              <w:bottom w:w="43" w:type="dxa"/>
              <w:right w:w="43" w:type="dxa"/>
            </w:tcMar>
            <w:vAlign w:val="bottom"/>
          </w:tcPr>
          <w:p w14:paraId="04D6F35D" w14:textId="77777777" w:rsidR="00CB6E05" w:rsidRPr="00BA3885" w:rsidRDefault="00CB6E05" w:rsidP="008E7405">
            <w:pPr>
              <w:jc w:val="right"/>
            </w:pPr>
            <w:r w:rsidRPr="00BA3885">
              <w:t>4,5</w:t>
            </w:r>
          </w:p>
        </w:tc>
        <w:tc>
          <w:tcPr>
            <w:tcW w:w="840" w:type="dxa"/>
            <w:tcBorders>
              <w:top w:val="nil"/>
              <w:left w:val="nil"/>
              <w:bottom w:val="nil"/>
              <w:right w:val="nil"/>
            </w:tcBorders>
            <w:tcMar>
              <w:top w:w="100" w:type="dxa"/>
              <w:left w:w="43" w:type="dxa"/>
              <w:bottom w:w="43" w:type="dxa"/>
              <w:right w:w="43" w:type="dxa"/>
            </w:tcMar>
            <w:vAlign w:val="bottom"/>
          </w:tcPr>
          <w:p w14:paraId="4542E6E4" w14:textId="77777777" w:rsidR="00CB6E05" w:rsidRPr="00BA3885" w:rsidRDefault="00CB6E05" w:rsidP="008E7405">
            <w:pPr>
              <w:jc w:val="right"/>
            </w:pPr>
            <w:r w:rsidRPr="00BA3885">
              <w:t>4,5</w:t>
            </w:r>
          </w:p>
        </w:tc>
      </w:tr>
      <w:tr w:rsidR="00CB6E05" w:rsidRPr="00BA3885" w14:paraId="38BF3BA9"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52EE5566" w14:textId="77777777" w:rsidR="00CB6E05" w:rsidRPr="00BA3885" w:rsidRDefault="00CB6E05" w:rsidP="00E1651D">
            <w:proofErr w:type="spellStart"/>
            <w:r>
              <w:t>Wage</w:t>
            </w:r>
            <w:proofErr w:type="spellEnd"/>
            <w:r>
              <w:t xml:space="preserve"> </w:t>
            </w:r>
            <w:proofErr w:type="spellStart"/>
            <w:r>
              <w:t>growth</w:t>
            </w:r>
            <w:proofErr w:type="spellEnd"/>
          </w:p>
        </w:tc>
        <w:tc>
          <w:tcPr>
            <w:tcW w:w="1240" w:type="dxa"/>
            <w:tcBorders>
              <w:top w:val="nil"/>
              <w:left w:val="nil"/>
              <w:bottom w:val="nil"/>
              <w:right w:val="nil"/>
            </w:tcBorders>
            <w:tcMar>
              <w:top w:w="100" w:type="dxa"/>
              <w:left w:w="43" w:type="dxa"/>
              <w:bottom w:w="43" w:type="dxa"/>
              <w:right w:w="43" w:type="dxa"/>
            </w:tcMar>
            <w:vAlign w:val="bottom"/>
          </w:tcPr>
          <w:p w14:paraId="1C4F0DC9" w14:textId="77777777" w:rsidR="00CB6E05" w:rsidRPr="00BA3885" w:rsidRDefault="00CB6E05" w:rsidP="008E7405">
            <w:pPr>
              <w:jc w:val="right"/>
            </w:pPr>
          </w:p>
        </w:tc>
        <w:tc>
          <w:tcPr>
            <w:tcW w:w="840" w:type="dxa"/>
            <w:tcBorders>
              <w:top w:val="nil"/>
              <w:left w:val="nil"/>
              <w:bottom w:val="nil"/>
              <w:right w:val="nil"/>
            </w:tcBorders>
            <w:tcMar>
              <w:top w:w="100" w:type="dxa"/>
              <w:left w:w="43" w:type="dxa"/>
              <w:bottom w:w="43" w:type="dxa"/>
              <w:right w:w="43" w:type="dxa"/>
            </w:tcMar>
            <w:vAlign w:val="bottom"/>
          </w:tcPr>
          <w:p w14:paraId="1FD0A8CB" w14:textId="77777777" w:rsidR="00CB6E05" w:rsidRPr="00BA3885" w:rsidRDefault="00CB6E05" w:rsidP="008E7405">
            <w:pPr>
              <w:jc w:val="right"/>
            </w:pPr>
            <w:r w:rsidRPr="00BA3885">
              <w:t>5,6</w:t>
            </w:r>
          </w:p>
        </w:tc>
        <w:tc>
          <w:tcPr>
            <w:tcW w:w="840" w:type="dxa"/>
            <w:tcBorders>
              <w:top w:val="nil"/>
              <w:left w:val="nil"/>
              <w:bottom w:val="nil"/>
              <w:right w:val="nil"/>
            </w:tcBorders>
            <w:tcMar>
              <w:top w:w="100" w:type="dxa"/>
              <w:left w:w="43" w:type="dxa"/>
              <w:bottom w:w="43" w:type="dxa"/>
              <w:right w:w="43" w:type="dxa"/>
            </w:tcMar>
            <w:vAlign w:val="bottom"/>
          </w:tcPr>
          <w:p w14:paraId="22E8463F" w14:textId="77777777" w:rsidR="00CB6E05" w:rsidRPr="00BA3885" w:rsidRDefault="00CB6E05" w:rsidP="008E7405">
            <w:pPr>
              <w:jc w:val="right"/>
            </w:pPr>
            <w:r w:rsidRPr="00BA3885">
              <w:t>4,4</w:t>
            </w:r>
          </w:p>
        </w:tc>
        <w:tc>
          <w:tcPr>
            <w:tcW w:w="840" w:type="dxa"/>
            <w:tcBorders>
              <w:top w:val="nil"/>
              <w:left w:val="nil"/>
              <w:bottom w:val="nil"/>
              <w:right w:val="nil"/>
            </w:tcBorders>
            <w:tcMar>
              <w:top w:w="100" w:type="dxa"/>
              <w:left w:w="43" w:type="dxa"/>
              <w:bottom w:w="43" w:type="dxa"/>
              <w:right w:w="43" w:type="dxa"/>
            </w:tcMar>
            <w:vAlign w:val="bottom"/>
          </w:tcPr>
          <w:p w14:paraId="43DB91D7" w14:textId="77777777" w:rsidR="00CB6E05" w:rsidRPr="00BA3885" w:rsidRDefault="00CB6E05" w:rsidP="008E7405">
            <w:pPr>
              <w:jc w:val="right"/>
            </w:pPr>
            <w:r w:rsidRPr="00BA3885">
              <w:t>4,0</w:t>
            </w:r>
          </w:p>
        </w:tc>
        <w:tc>
          <w:tcPr>
            <w:tcW w:w="840" w:type="dxa"/>
            <w:tcBorders>
              <w:top w:val="nil"/>
              <w:left w:val="nil"/>
              <w:bottom w:val="nil"/>
              <w:right w:val="nil"/>
            </w:tcBorders>
            <w:tcMar>
              <w:top w:w="100" w:type="dxa"/>
              <w:left w:w="43" w:type="dxa"/>
              <w:bottom w:w="43" w:type="dxa"/>
              <w:right w:w="43" w:type="dxa"/>
            </w:tcMar>
            <w:vAlign w:val="bottom"/>
          </w:tcPr>
          <w:p w14:paraId="5976AC5C" w14:textId="77777777" w:rsidR="00CB6E05" w:rsidRPr="00BA3885" w:rsidRDefault="00CB6E05" w:rsidP="008E7405">
            <w:pPr>
              <w:jc w:val="right"/>
            </w:pPr>
            <w:r w:rsidRPr="00BA3885">
              <w:t>3,5</w:t>
            </w:r>
          </w:p>
        </w:tc>
      </w:tr>
      <w:tr w:rsidR="00CB6E05" w:rsidRPr="00BA3885" w14:paraId="78FB4CA0"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1B608E00" w14:textId="77777777" w:rsidR="00CB6E05" w:rsidRPr="00BA3885" w:rsidRDefault="00CB6E05" w:rsidP="00E1651D">
            <w:r w:rsidRPr="00BA3885">
              <w:t>CPI</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6234540A" w14:textId="77777777" w:rsidR="00CB6E05" w:rsidRPr="00BA3885" w:rsidRDefault="00CB6E05" w:rsidP="008E7405">
            <w:pPr>
              <w:jc w:val="right"/>
            </w:pPr>
          </w:p>
        </w:tc>
        <w:tc>
          <w:tcPr>
            <w:tcW w:w="840" w:type="dxa"/>
            <w:tcBorders>
              <w:top w:val="nil"/>
              <w:left w:val="nil"/>
              <w:bottom w:val="nil"/>
              <w:right w:val="nil"/>
            </w:tcBorders>
            <w:tcMar>
              <w:top w:w="100" w:type="dxa"/>
              <w:left w:w="43" w:type="dxa"/>
              <w:bottom w:w="43" w:type="dxa"/>
              <w:right w:w="43" w:type="dxa"/>
            </w:tcMar>
            <w:vAlign w:val="bottom"/>
          </w:tcPr>
          <w:p w14:paraId="0C88ECC3" w14:textId="77777777" w:rsidR="00CB6E05" w:rsidRPr="00BA3885" w:rsidRDefault="00CB6E05" w:rsidP="008E7405">
            <w:pPr>
              <w:jc w:val="right"/>
            </w:pPr>
            <w:r w:rsidRPr="00BA3885">
              <w:t>3,1</w:t>
            </w:r>
          </w:p>
        </w:tc>
        <w:tc>
          <w:tcPr>
            <w:tcW w:w="840" w:type="dxa"/>
            <w:tcBorders>
              <w:top w:val="nil"/>
              <w:left w:val="nil"/>
              <w:bottom w:val="nil"/>
              <w:right w:val="nil"/>
            </w:tcBorders>
            <w:tcMar>
              <w:top w:w="100" w:type="dxa"/>
              <w:left w:w="43" w:type="dxa"/>
              <w:bottom w:w="43" w:type="dxa"/>
              <w:right w:w="43" w:type="dxa"/>
            </w:tcMar>
            <w:vAlign w:val="bottom"/>
          </w:tcPr>
          <w:p w14:paraId="7BEFA23E" w14:textId="77777777" w:rsidR="00CB6E05" w:rsidRPr="00BA3885" w:rsidRDefault="00CB6E05" w:rsidP="008E7405">
            <w:pPr>
              <w:jc w:val="right"/>
            </w:pPr>
            <w:r w:rsidRPr="00BA3885">
              <w:t>2,8</w:t>
            </w:r>
          </w:p>
        </w:tc>
        <w:tc>
          <w:tcPr>
            <w:tcW w:w="840" w:type="dxa"/>
            <w:tcBorders>
              <w:top w:val="nil"/>
              <w:left w:val="nil"/>
              <w:bottom w:val="nil"/>
              <w:right w:val="nil"/>
            </w:tcBorders>
            <w:tcMar>
              <w:top w:w="100" w:type="dxa"/>
              <w:left w:w="43" w:type="dxa"/>
              <w:bottom w:w="43" w:type="dxa"/>
              <w:right w:w="43" w:type="dxa"/>
            </w:tcMar>
            <w:vAlign w:val="bottom"/>
          </w:tcPr>
          <w:p w14:paraId="33302793" w14:textId="77777777" w:rsidR="00CB6E05" w:rsidRPr="00BA3885" w:rsidRDefault="00CB6E05" w:rsidP="008E7405">
            <w:pPr>
              <w:jc w:val="right"/>
            </w:pPr>
            <w:r w:rsidRPr="00BA3885">
              <w:t>2,2</w:t>
            </w:r>
          </w:p>
        </w:tc>
        <w:tc>
          <w:tcPr>
            <w:tcW w:w="840" w:type="dxa"/>
            <w:tcBorders>
              <w:top w:val="nil"/>
              <w:left w:val="nil"/>
              <w:bottom w:val="nil"/>
              <w:right w:val="nil"/>
            </w:tcBorders>
            <w:tcMar>
              <w:top w:w="100" w:type="dxa"/>
              <w:left w:w="43" w:type="dxa"/>
              <w:bottom w:w="43" w:type="dxa"/>
              <w:right w:w="43" w:type="dxa"/>
            </w:tcMar>
            <w:vAlign w:val="bottom"/>
          </w:tcPr>
          <w:p w14:paraId="596B0067" w14:textId="77777777" w:rsidR="00CB6E05" w:rsidRPr="00BA3885" w:rsidRDefault="00CB6E05" w:rsidP="008E7405">
            <w:pPr>
              <w:jc w:val="right"/>
            </w:pPr>
            <w:r w:rsidRPr="00BA3885">
              <w:t>2,2</w:t>
            </w:r>
          </w:p>
        </w:tc>
      </w:tr>
      <w:tr w:rsidR="00CB6E05" w:rsidRPr="00BA3885" w14:paraId="7F503643"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5BB794D4" w14:textId="77777777" w:rsidR="00CB6E05" w:rsidRPr="00BA3885" w:rsidRDefault="00CB6E05" w:rsidP="00E1651D">
            <w:r w:rsidRPr="00BA3885">
              <w:t>CPI-ATE</w:t>
            </w:r>
            <w:r w:rsidRPr="00BA3885">
              <w:tab/>
            </w:r>
          </w:p>
        </w:tc>
        <w:tc>
          <w:tcPr>
            <w:tcW w:w="1240" w:type="dxa"/>
            <w:tcBorders>
              <w:top w:val="nil"/>
              <w:left w:val="nil"/>
              <w:bottom w:val="nil"/>
              <w:right w:val="nil"/>
            </w:tcBorders>
            <w:tcMar>
              <w:top w:w="100" w:type="dxa"/>
              <w:left w:w="43" w:type="dxa"/>
              <w:bottom w:w="43" w:type="dxa"/>
              <w:right w:w="43" w:type="dxa"/>
            </w:tcMar>
            <w:vAlign w:val="bottom"/>
          </w:tcPr>
          <w:p w14:paraId="2CD568DA" w14:textId="77777777" w:rsidR="00CB6E05" w:rsidRPr="00BA3885" w:rsidRDefault="00CB6E05" w:rsidP="008E7405">
            <w:pPr>
              <w:jc w:val="right"/>
            </w:pPr>
          </w:p>
        </w:tc>
        <w:tc>
          <w:tcPr>
            <w:tcW w:w="840" w:type="dxa"/>
            <w:tcBorders>
              <w:top w:val="nil"/>
              <w:left w:val="nil"/>
              <w:bottom w:val="nil"/>
              <w:right w:val="nil"/>
            </w:tcBorders>
            <w:tcMar>
              <w:top w:w="100" w:type="dxa"/>
              <w:left w:w="43" w:type="dxa"/>
              <w:bottom w:w="43" w:type="dxa"/>
              <w:right w:w="43" w:type="dxa"/>
            </w:tcMar>
            <w:vAlign w:val="bottom"/>
          </w:tcPr>
          <w:p w14:paraId="122432E3" w14:textId="77777777" w:rsidR="00CB6E05" w:rsidRPr="00BA3885" w:rsidRDefault="00CB6E05" w:rsidP="008E7405">
            <w:pPr>
              <w:jc w:val="right"/>
            </w:pPr>
            <w:r w:rsidRPr="00BA3885">
              <w:t>3,7</w:t>
            </w:r>
          </w:p>
        </w:tc>
        <w:tc>
          <w:tcPr>
            <w:tcW w:w="840" w:type="dxa"/>
            <w:tcBorders>
              <w:top w:val="nil"/>
              <w:left w:val="nil"/>
              <w:bottom w:val="nil"/>
              <w:right w:val="nil"/>
            </w:tcBorders>
            <w:tcMar>
              <w:top w:w="100" w:type="dxa"/>
              <w:left w:w="43" w:type="dxa"/>
              <w:bottom w:w="43" w:type="dxa"/>
              <w:right w:w="43" w:type="dxa"/>
            </w:tcMar>
            <w:vAlign w:val="bottom"/>
          </w:tcPr>
          <w:p w14:paraId="11C0F114" w14:textId="77777777" w:rsidR="00CB6E05" w:rsidRPr="00BA3885" w:rsidRDefault="00CB6E05" w:rsidP="008E7405">
            <w:pPr>
              <w:jc w:val="right"/>
            </w:pPr>
            <w:r w:rsidRPr="00BA3885">
              <w:t>2,9</w:t>
            </w:r>
          </w:p>
        </w:tc>
        <w:tc>
          <w:tcPr>
            <w:tcW w:w="840" w:type="dxa"/>
            <w:tcBorders>
              <w:top w:val="nil"/>
              <w:left w:val="nil"/>
              <w:bottom w:val="nil"/>
              <w:right w:val="nil"/>
            </w:tcBorders>
            <w:tcMar>
              <w:top w:w="100" w:type="dxa"/>
              <w:left w:w="43" w:type="dxa"/>
              <w:bottom w:w="43" w:type="dxa"/>
              <w:right w:w="43" w:type="dxa"/>
            </w:tcMar>
            <w:vAlign w:val="bottom"/>
          </w:tcPr>
          <w:p w14:paraId="31ED521A" w14:textId="77777777" w:rsidR="00CB6E05" w:rsidRPr="00BA3885" w:rsidRDefault="00CB6E05" w:rsidP="008E7405">
            <w:pPr>
              <w:jc w:val="right"/>
            </w:pPr>
            <w:r w:rsidRPr="00BA3885">
              <w:t>2,5</w:t>
            </w:r>
          </w:p>
        </w:tc>
        <w:tc>
          <w:tcPr>
            <w:tcW w:w="840" w:type="dxa"/>
            <w:tcBorders>
              <w:top w:val="nil"/>
              <w:left w:val="nil"/>
              <w:bottom w:val="nil"/>
              <w:right w:val="nil"/>
            </w:tcBorders>
            <w:tcMar>
              <w:top w:w="100" w:type="dxa"/>
              <w:left w:w="43" w:type="dxa"/>
              <w:bottom w:w="43" w:type="dxa"/>
              <w:right w:w="43" w:type="dxa"/>
            </w:tcMar>
            <w:vAlign w:val="bottom"/>
          </w:tcPr>
          <w:p w14:paraId="78736E02" w14:textId="77777777" w:rsidR="00CB6E05" w:rsidRPr="00BA3885" w:rsidRDefault="00CB6E05" w:rsidP="008E7405">
            <w:pPr>
              <w:jc w:val="right"/>
            </w:pPr>
            <w:r w:rsidRPr="00BA3885">
              <w:t>2,3</w:t>
            </w:r>
          </w:p>
        </w:tc>
      </w:tr>
      <w:tr w:rsidR="00CB6E05" w:rsidRPr="00BA3885" w14:paraId="5663B824"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433EAC24" w14:textId="77777777" w:rsidR="00CB6E05" w:rsidRPr="00E31CDA" w:rsidRDefault="00CB6E05" w:rsidP="00E1651D">
            <w:pPr>
              <w:rPr>
                <w:lang w:val="en-US"/>
              </w:rPr>
            </w:pPr>
            <w:r w:rsidRPr="00E31CDA">
              <w:rPr>
                <w:lang w:val="en-US"/>
              </w:rPr>
              <w:t xml:space="preserve">Crude oil price, USD per barrel (current prices) </w:t>
            </w:r>
            <w:r w:rsidRPr="00E31CDA">
              <w:rPr>
                <w:lang w:val="en-US"/>
              </w:rPr>
              <w:tab/>
            </w:r>
          </w:p>
        </w:tc>
        <w:tc>
          <w:tcPr>
            <w:tcW w:w="1240" w:type="dxa"/>
            <w:tcBorders>
              <w:top w:val="nil"/>
              <w:left w:val="nil"/>
              <w:bottom w:val="nil"/>
              <w:right w:val="nil"/>
            </w:tcBorders>
            <w:tcMar>
              <w:top w:w="100" w:type="dxa"/>
              <w:left w:w="43" w:type="dxa"/>
              <w:bottom w:w="43" w:type="dxa"/>
              <w:right w:w="43" w:type="dxa"/>
            </w:tcMar>
            <w:vAlign w:val="bottom"/>
          </w:tcPr>
          <w:p w14:paraId="565EA809" w14:textId="77777777" w:rsidR="00CB6E05" w:rsidRPr="00E31CDA" w:rsidRDefault="00CB6E05" w:rsidP="008E7405">
            <w:pPr>
              <w:jc w:val="right"/>
              <w:rPr>
                <w:lang w:val="en-US"/>
              </w:rPr>
            </w:pPr>
          </w:p>
        </w:tc>
        <w:tc>
          <w:tcPr>
            <w:tcW w:w="840" w:type="dxa"/>
            <w:tcBorders>
              <w:top w:val="nil"/>
              <w:left w:val="nil"/>
              <w:bottom w:val="nil"/>
              <w:right w:val="nil"/>
            </w:tcBorders>
            <w:tcMar>
              <w:top w:w="100" w:type="dxa"/>
              <w:left w:w="43" w:type="dxa"/>
              <w:bottom w:w="43" w:type="dxa"/>
              <w:right w:w="43" w:type="dxa"/>
            </w:tcMar>
            <w:vAlign w:val="bottom"/>
          </w:tcPr>
          <w:p w14:paraId="08613BA3" w14:textId="77777777" w:rsidR="00CB6E05" w:rsidRPr="00BA3885" w:rsidRDefault="00CB6E05" w:rsidP="008E7405">
            <w:pPr>
              <w:jc w:val="right"/>
            </w:pPr>
            <w:r w:rsidRPr="00BA3885">
              <w:t>80</w:t>
            </w:r>
          </w:p>
        </w:tc>
        <w:tc>
          <w:tcPr>
            <w:tcW w:w="840" w:type="dxa"/>
            <w:tcBorders>
              <w:top w:val="nil"/>
              <w:left w:val="nil"/>
              <w:bottom w:val="nil"/>
              <w:right w:val="nil"/>
            </w:tcBorders>
            <w:tcMar>
              <w:top w:w="100" w:type="dxa"/>
              <w:left w:w="43" w:type="dxa"/>
              <w:bottom w:w="43" w:type="dxa"/>
              <w:right w:w="43" w:type="dxa"/>
            </w:tcMar>
            <w:vAlign w:val="bottom"/>
          </w:tcPr>
          <w:p w14:paraId="153991F1" w14:textId="77777777" w:rsidR="00CB6E05" w:rsidRPr="00BA3885" w:rsidRDefault="00CB6E05" w:rsidP="008E7405">
            <w:pPr>
              <w:jc w:val="right"/>
            </w:pPr>
            <w:r w:rsidRPr="00BA3885">
              <w:t>70</w:t>
            </w:r>
          </w:p>
        </w:tc>
        <w:tc>
          <w:tcPr>
            <w:tcW w:w="840" w:type="dxa"/>
            <w:tcBorders>
              <w:top w:val="nil"/>
              <w:left w:val="nil"/>
              <w:bottom w:val="nil"/>
              <w:right w:val="nil"/>
            </w:tcBorders>
            <w:tcMar>
              <w:top w:w="100" w:type="dxa"/>
              <w:left w:w="43" w:type="dxa"/>
              <w:bottom w:w="43" w:type="dxa"/>
              <w:right w:w="43" w:type="dxa"/>
            </w:tcMar>
            <w:vAlign w:val="bottom"/>
          </w:tcPr>
          <w:p w14:paraId="5CA08717" w14:textId="77777777" w:rsidR="00CB6E05" w:rsidRPr="00BA3885" w:rsidRDefault="00CB6E05" w:rsidP="008E7405">
            <w:pPr>
              <w:jc w:val="right"/>
            </w:pPr>
            <w:r w:rsidRPr="00BA3885">
              <w:t>67</w:t>
            </w:r>
          </w:p>
        </w:tc>
        <w:tc>
          <w:tcPr>
            <w:tcW w:w="840" w:type="dxa"/>
            <w:tcBorders>
              <w:top w:val="nil"/>
              <w:left w:val="nil"/>
              <w:bottom w:val="nil"/>
              <w:right w:val="nil"/>
            </w:tcBorders>
            <w:tcMar>
              <w:top w:w="100" w:type="dxa"/>
              <w:left w:w="43" w:type="dxa"/>
              <w:bottom w:w="43" w:type="dxa"/>
              <w:right w:w="43" w:type="dxa"/>
            </w:tcMar>
            <w:vAlign w:val="bottom"/>
          </w:tcPr>
          <w:p w14:paraId="156B7492" w14:textId="77777777" w:rsidR="00CB6E05" w:rsidRPr="00BA3885" w:rsidRDefault="00CB6E05" w:rsidP="008E7405">
            <w:pPr>
              <w:jc w:val="right"/>
            </w:pPr>
            <w:r w:rsidRPr="00BA3885">
              <w:t>67</w:t>
            </w:r>
          </w:p>
        </w:tc>
      </w:tr>
      <w:tr w:rsidR="00CB6E05" w:rsidRPr="00BA3885" w14:paraId="24C0AB9F" w14:textId="77777777" w:rsidTr="00C7062A">
        <w:trPr>
          <w:trHeight w:val="340"/>
        </w:trPr>
        <w:tc>
          <w:tcPr>
            <w:tcW w:w="4860" w:type="dxa"/>
            <w:gridSpan w:val="2"/>
            <w:tcBorders>
              <w:top w:val="nil"/>
              <w:left w:val="nil"/>
              <w:bottom w:val="nil"/>
              <w:right w:val="nil"/>
            </w:tcBorders>
            <w:tcMar>
              <w:top w:w="100" w:type="dxa"/>
              <w:left w:w="43" w:type="dxa"/>
              <w:bottom w:w="43" w:type="dxa"/>
              <w:right w:w="43" w:type="dxa"/>
            </w:tcMar>
          </w:tcPr>
          <w:p w14:paraId="4A9C1245" w14:textId="77777777" w:rsidR="00CB6E05" w:rsidRPr="00E31CDA" w:rsidRDefault="00CB6E05" w:rsidP="00E1651D">
            <w:pPr>
              <w:rPr>
                <w:lang w:val="en-US"/>
              </w:rPr>
            </w:pPr>
            <w:r w:rsidRPr="00E31CDA">
              <w:rPr>
                <w:lang w:val="en-US"/>
              </w:rPr>
              <w:t>Three-month money market rate (level)</w:t>
            </w:r>
            <w:r w:rsidRPr="00E31CDA">
              <w:rPr>
                <w:sz w:val="20"/>
                <w:vertAlign w:val="superscript"/>
                <w:lang w:val="en-US"/>
              </w:rPr>
              <w:t>3</w:t>
            </w:r>
            <w:r w:rsidRPr="00E31CDA">
              <w:rPr>
                <w:lang w:val="en-US"/>
              </w:rPr>
              <w:tab/>
            </w:r>
          </w:p>
        </w:tc>
        <w:tc>
          <w:tcPr>
            <w:tcW w:w="1240" w:type="dxa"/>
            <w:tcBorders>
              <w:top w:val="nil"/>
              <w:left w:val="nil"/>
              <w:bottom w:val="nil"/>
              <w:right w:val="nil"/>
            </w:tcBorders>
            <w:tcMar>
              <w:top w:w="100" w:type="dxa"/>
              <w:left w:w="43" w:type="dxa"/>
              <w:bottom w:w="43" w:type="dxa"/>
              <w:right w:w="43" w:type="dxa"/>
            </w:tcMar>
            <w:vAlign w:val="bottom"/>
          </w:tcPr>
          <w:p w14:paraId="6075CF0F" w14:textId="77777777" w:rsidR="00CB6E05" w:rsidRPr="00E31CDA" w:rsidRDefault="00CB6E05" w:rsidP="008E7405">
            <w:pPr>
              <w:jc w:val="right"/>
              <w:rPr>
                <w:lang w:val="en-US"/>
              </w:rPr>
            </w:pPr>
          </w:p>
        </w:tc>
        <w:tc>
          <w:tcPr>
            <w:tcW w:w="840" w:type="dxa"/>
            <w:tcBorders>
              <w:top w:val="nil"/>
              <w:left w:val="nil"/>
              <w:bottom w:val="nil"/>
              <w:right w:val="nil"/>
            </w:tcBorders>
            <w:tcMar>
              <w:top w:w="100" w:type="dxa"/>
              <w:left w:w="43" w:type="dxa"/>
              <w:bottom w:w="43" w:type="dxa"/>
              <w:right w:w="43" w:type="dxa"/>
            </w:tcMar>
            <w:vAlign w:val="bottom"/>
          </w:tcPr>
          <w:p w14:paraId="2295652B" w14:textId="77777777" w:rsidR="00CB6E05" w:rsidRPr="00BA3885" w:rsidRDefault="00CB6E05" w:rsidP="008E7405">
            <w:pPr>
              <w:jc w:val="right"/>
            </w:pPr>
            <w:r w:rsidRPr="00BA3885">
              <w:t>4,7</w:t>
            </w:r>
          </w:p>
        </w:tc>
        <w:tc>
          <w:tcPr>
            <w:tcW w:w="840" w:type="dxa"/>
            <w:tcBorders>
              <w:top w:val="nil"/>
              <w:left w:val="nil"/>
              <w:bottom w:val="nil"/>
              <w:right w:val="nil"/>
            </w:tcBorders>
            <w:tcMar>
              <w:top w:w="100" w:type="dxa"/>
              <w:left w:w="43" w:type="dxa"/>
              <w:bottom w:w="43" w:type="dxa"/>
              <w:right w:w="43" w:type="dxa"/>
            </w:tcMar>
            <w:vAlign w:val="bottom"/>
          </w:tcPr>
          <w:p w14:paraId="5856D99E" w14:textId="77777777" w:rsidR="00CB6E05" w:rsidRPr="00BA3885" w:rsidRDefault="00CB6E05" w:rsidP="008E7405">
            <w:pPr>
              <w:jc w:val="right"/>
            </w:pPr>
            <w:r w:rsidRPr="00BA3885">
              <w:t>4,4</w:t>
            </w:r>
          </w:p>
        </w:tc>
        <w:tc>
          <w:tcPr>
            <w:tcW w:w="840" w:type="dxa"/>
            <w:tcBorders>
              <w:top w:val="nil"/>
              <w:left w:val="nil"/>
              <w:bottom w:val="nil"/>
              <w:right w:val="nil"/>
            </w:tcBorders>
            <w:tcMar>
              <w:top w:w="100" w:type="dxa"/>
              <w:left w:w="43" w:type="dxa"/>
              <w:bottom w:w="43" w:type="dxa"/>
              <w:right w:w="43" w:type="dxa"/>
            </w:tcMar>
            <w:vAlign w:val="bottom"/>
          </w:tcPr>
          <w:p w14:paraId="16E768AE" w14:textId="77777777" w:rsidR="00CB6E05" w:rsidRPr="00BA3885" w:rsidRDefault="00CB6E05" w:rsidP="008E7405">
            <w:pPr>
              <w:jc w:val="right"/>
            </w:pPr>
            <w:r w:rsidRPr="00BA3885">
              <w:t>4,0</w:t>
            </w:r>
          </w:p>
        </w:tc>
        <w:tc>
          <w:tcPr>
            <w:tcW w:w="840" w:type="dxa"/>
            <w:tcBorders>
              <w:top w:val="nil"/>
              <w:left w:val="nil"/>
              <w:bottom w:val="nil"/>
              <w:right w:val="nil"/>
            </w:tcBorders>
            <w:tcMar>
              <w:top w:w="100" w:type="dxa"/>
              <w:left w:w="43" w:type="dxa"/>
              <w:bottom w:w="43" w:type="dxa"/>
              <w:right w:w="43" w:type="dxa"/>
            </w:tcMar>
            <w:vAlign w:val="bottom"/>
          </w:tcPr>
          <w:p w14:paraId="46A78C5D" w14:textId="77777777" w:rsidR="00CB6E05" w:rsidRPr="00BA3885" w:rsidRDefault="00CB6E05" w:rsidP="008E7405">
            <w:pPr>
              <w:jc w:val="right"/>
            </w:pPr>
            <w:r w:rsidRPr="00BA3885">
              <w:t>3,6</w:t>
            </w:r>
          </w:p>
        </w:tc>
      </w:tr>
      <w:tr w:rsidR="00CB6E05" w:rsidRPr="00BA3885" w14:paraId="35C02D61" w14:textId="77777777" w:rsidTr="00C7062A">
        <w:trPr>
          <w:trHeight w:val="340"/>
        </w:trPr>
        <w:tc>
          <w:tcPr>
            <w:tcW w:w="4860" w:type="dxa"/>
            <w:gridSpan w:val="2"/>
            <w:tcBorders>
              <w:top w:val="nil"/>
              <w:left w:val="nil"/>
              <w:bottom w:val="single" w:sz="4" w:space="0" w:color="000000"/>
              <w:right w:val="nil"/>
            </w:tcBorders>
            <w:tcMar>
              <w:top w:w="100" w:type="dxa"/>
              <w:left w:w="43" w:type="dxa"/>
              <w:bottom w:w="43" w:type="dxa"/>
              <w:right w:w="43" w:type="dxa"/>
            </w:tcMar>
          </w:tcPr>
          <w:p w14:paraId="0E84B274" w14:textId="77777777" w:rsidR="00CB6E05" w:rsidRPr="00E31CDA" w:rsidRDefault="00CB6E05" w:rsidP="00E1651D">
            <w:pPr>
              <w:rPr>
                <w:lang w:val="en-US"/>
              </w:rPr>
            </w:pPr>
            <w:r w:rsidRPr="00E31CDA">
              <w:rPr>
                <w:lang w:val="en-US"/>
              </w:rPr>
              <w:t>Import-weighted krone exchange rate</w:t>
            </w:r>
            <w:r w:rsidRPr="00530E23">
              <w:rPr>
                <w:vertAlign w:val="superscript"/>
                <w:lang w:val="en-US"/>
              </w:rPr>
              <w:t>4</w:t>
            </w:r>
            <w:r w:rsidRPr="00E31CDA">
              <w:rPr>
                <w:lang w:val="en-US"/>
              </w:rPr>
              <w:t xml:space="preserve"> </w:t>
            </w:r>
            <w:r w:rsidRPr="00E31CDA">
              <w:rPr>
                <w:lang w:val="en-US"/>
              </w:rPr>
              <w:tab/>
            </w:r>
          </w:p>
        </w:tc>
        <w:tc>
          <w:tcPr>
            <w:tcW w:w="1240" w:type="dxa"/>
            <w:tcBorders>
              <w:top w:val="nil"/>
              <w:left w:val="nil"/>
              <w:bottom w:val="single" w:sz="4" w:space="0" w:color="000000"/>
              <w:right w:val="nil"/>
            </w:tcBorders>
            <w:tcMar>
              <w:top w:w="100" w:type="dxa"/>
              <w:left w:w="43" w:type="dxa"/>
              <w:bottom w:w="43" w:type="dxa"/>
              <w:right w:w="43" w:type="dxa"/>
            </w:tcMar>
            <w:vAlign w:val="bottom"/>
          </w:tcPr>
          <w:p w14:paraId="13BECEC1" w14:textId="77777777" w:rsidR="00CB6E05" w:rsidRPr="00E31CDA" w:rsidRDefault="00CB6E05" w:rsidP="008E7405">
            <w:pPr>
              <w:jc w:val="right"/>
              <w:rPr>
                <w:lang w:val="en-US"/>
              </w:rPr>
            </w:pP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1A0E87F3" w14:textId="77777777" w:rsidR="00CB6E05" w:rsidRPr="00BA3885" w:rsidRDefault="00CB6E05" w:rsidP="008E7405">
            <w:pPr>
              <w:jc w:val="right"/>
            </w:pPr>
            <w:r w:rsidRPr="00BA3885">
              <w:t>0,8</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3A8233D8" w14:textId="77777777" w:rsidR="00CB6E05" w:rsidRPr="00BA3885" w:rsidRDefault="00CB6E05" w:rsidP="008E7405">
            <w:pPr>
              <w:jc w:val="right"/>
            </w:pPr>
            <w:r w:rsidRPr="00BA3885">
              <w:t>-0,4</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300BB2A5" w14:textId="77777777" w:rsidR="00CB6E05" w:rsidRPr="00BA3885" w:rsidRDefault="00CB6E05" w:rsidP="008E7405">
            <w:pPr>
              <w:jc w:val="right"/>
            </w:pPr>
            <w:r w:rsidRPr="00BA3885">
              <w:t>-0,4</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4BD1413A" w14:textId="77777777" w:rsidR="00CB6E05" w:rsidRPr="00BA3885" w:rsidRDefault="00CB6E05" w:rsidP="008E7405">
            <w:pPr>
              <w:jc w:val="right"/>
            </w:pPr>
            <w:r w:rsidRPr="00BA3885">
              <w:t>0,0</w:t>
            </w:r>
          </w:p>
        </w:tc>
      </w:tr>
    </w:tbl>
    <w:p w14:paraId="2899BDE1" w14:textId="77777777" w:rsidR="00CB6E05" w:rsidRPr="00E31CDA" w:rsidRDefault="00CB6E05" w:rsidP="00E1651D">
      <w:pPr>
        <w:pStyle w:val="Note"/>
        <w:rPr>
          <w:vertAlign w:val="superscript"/>
          <w:lang w:val="en-US"/>
        </w:rPr>
      </w:pPr>
      <w:r w:rsidRPr="00E31CDA">
        <w:rPr>
          <w:vertAlign w:val="superscript"/>
          <w:lang w:val="en-US"/>
        </w:rPr>
        <w:t>1</w:t>
      </w:r>
      <w:r w:rsidRPr="00E31CDA">
        <w:rPr>
          <w:vertAlign w:val="superscript"/>
          <w:lang w:val="en-US"/>
        </w:rPr>
        <w:tab/>
      </w:r>
      <w:r w:rsidRPr="00E31CDA">
        <w:rPr>
          <w:lang w:val="en-US"/>
        </w:rPr>
        <w:t xml:space="preserve">Preliminary national </w:t>
      </w:r>
      <w:proofErr w:type="gramStart"/>
      <w:r w:rsidRPr="00E31CDA">
        <w:rPr>
          <w:lang w:val="en-US"/>
        </w:rPr>
        <w:t>accounts</w:t>
      </w:r>
      <w:proofErr w:type="gramEnd"/>
      <w:r w:rsidRPr="00E31CDA">
        <w:rPr>
          <w:lang w:val="en-US"/>
        </w:rPr>
        <w:t xml:space="preserve"> figures for 2024 in current prices. Growth rates from this level are stated in volumes.</w:t>
      </w:r>
    </w:p>
    <w:p w14:paraId="2D1619D6" w14:textId="77777777" w:rsidR="00CB6E05" w:rsidRPr="00E31CDA" w:rsidRDefault="00CB6E05" w:rsidP="00E1651D">
      <w:pPr>
        <w:pStyle w:val="Note"/>
        <w:rPr>
          <w:vertAlign w:val="superscript"/>
          <w:lang w:val="en-US"/>
        </w:rPr>
      </w:pPr>
      <w:r w:rsidRPr="00E31CDA">
        <w:rPr>
          <w:vertAlign w:val="superscript"/>
          <w:lang w:val="en-US"/>
        </w:rPr>
        <w:t>2</w:t>
      </w:r>
      <w:r w:rsidRPr="00E31CDA">
        <w:rPr>
          <w:lang w:val="en-US"/>
        </w:rPr>
        <w:tab/>
        <w:t>Excluding inventory changes.</w:t>
      </w:r>
    </w:p>
    <w:p w14:paraId="43E9E9F4" w14:textId="77777777" w:rsidR="00CB6E05" w:rsidRPr="00E31CDA" w:rsidRDefault="00CB6E05" w:rsidP="00E1651D">
      <w:pPr>
        <w:pStyle w:val="Note"/>
        <w:rPr>
          <w:lang w:val="en-US"/>
        </w:rPr>
      </w:pPr>
      <w:r w:rsidRPr="00E31CDA">
        <w:rPr>
          <w:vertAlign w:val="superscript"/>
          <w:lang w:val="en-US"/>
        </w:rPr>
        <w:lastRenderedPageBreak/>
        <w:t>3</w:t>
      </w:r>
      <w:r w:rsidRPr="00E31CDA">
        <w:rPr>
          <w:lang w:val="en-US"/>
        </w:rPr>
        <w:tab/>
        <w:t xml:space="preserve">Corresponds to the money market rate forecast in </w:t>
      </w:r>
      <w:proofErr w:type="spellStart"/>
      <w:r w:rsidRPr="00E31CDA">
        <w:rPr>
          <w:lang w:val="en-US"/>
        </w:rPr>
        <w:t>Norges</w:t>
      </w:r>
      <w:proofErr w:type="spellEnd"/>
      <w:r w:rsidRPr="00E31CDA">
        <w:rPr>
          <w:lang w:val="en-US"/>
        </w:rPr>
        <w:t xml:space="preserve"> Bank's Monetary Policy Report 3/25.</w:t>
      </w:r>
    </w:p>
    <w:p w14:paraId="7FC10CDB" w14:textId="77777777" w:rsidR="00CB6E05" w:rsidRPr="00E31CDA" w:rsidRDefault="00CB6E05" w:rsidP="00E1651D">
      <w:pPr>
        <w:pStyle w:val="Note"/>
        <w:rPr>
          <w:vertAlign w:val="superscript"/>
          <w:lang w:val="en-US"/>
        </w:rPr>
      </w:pPr>
      <w:r w:rsidRPr="00E31CDA">
        <w:rPr>
          <w:vertAlign w:val="superscript"/>
          <w:lang w:val="en-US"/>
        </w:rPr>
        <w:t>4</w:t>
      </w:r>
      <w:r w:rsidRPr="00E31CDA">
        <w:rPr>
          <w:lang w:val="en-US"/>
        </w:rPr>
        <w:tab/>
        <w:t>A positive number indicates a weaker krone.</w:t>
      </w:r>
    </w:p>
    <w:p w14:paraId="2C1717E2" w14:textId="77777777" w:rsidR="00CB6E05" w:rsidRPr="00E31CDA" w:rsidRDefault="00CB6E05" w:rsidP="00E1651D">
      <w:pPr>
        <w:pStyle w:val="Kilde"/>
        <w:rPr>
          <w:lang w:val="en-US"/>
        </w:rPr>
      </w:pPr>
      <w:r w:rsidRPr="00E31CDA">
        <w:rPr>
          <w:lang w:val="en-US"/>
        </w:rPr>
        <w:t xml:space="preserve">Sources: Statistics Norway, </w:t>
      </w:r>
      <w:proofErr w:type="spellStart"/>
      <w:r w:rsidRPr="00E31CDA">
        <w:rPr>
          <w:lang w:val="en-US"/>
        </w:rPr>
        <w:t>Norges</w:t>
      </w:r>
      <w:proofErr w:type="spellEnd"/>
      <w:r w:rsidRPr="00E31CDA">
        <w:rPr>
          <w:lang w:val="en-US"/>
        </w:rPr>
        <w:t xml:space="preserve"> Bank, Norwegian </w:t>
      </w:r>
      <w:proofErr w:type="spellStart"/>
      <w:r w:rsidRPr="00E31CDA">
        <w:rPr>
          <w:lang w:val="en-US"/>
        </w:rPr>
        <w:t>Labour</w:t>
      </w:r>
      <w:proofErr w:type="spellEnd"/>
      <w:r w:rsidRPr="00E31CDA">
        <w:rPr>
          <w:lang w:val="en-US"/>
        </w:rPr>
        <w:t xml:space="preserve"> and Welfare Administration, Reuters, ICE, </w:t>
      </w:r>
      <w:proofErr w:type="spellStart"/>
      <w:r w:rsidRPr="00E31CDA">
        <w:rPr>
          <w:lang w:val="en-US"/>
        </w:rPr>
        <w:t>Macrobond</w:t>
      </w:r>
      <w:proofErr w:type="spellEnd"/>
      <w:r w:rsidRPr="00E31CDA">
        <w:rPr>
          <w:lang w:val="en-US"/>
        </w:rPr>
        <w:t xml:space="preserve"> and the Ministry of Finance.</w:t>
      </w:r>
    </w:p>
    <w:p w14:paraId="0CFC095A" w14:textId="77777777" w:rsidR="00CB6E05" w:rsidRPr="00E31CDA" w:rsidRDefault="00CB6E05" w:rsidP="001F11B9">
      <w:pPr>
        <w:pStyle w:val="avsnitt-undertittel"/>
        <w:rPr>
          <w:lang w:val="en-US"/>
        </w:rPr>
      </w:pPr>
      <w:r w:rsidRPr="00E31CDA">
        <w:rPr>
          <w:lang w:val="en-US"/>
        </w:rPr>
        <w:t>Public sector demand</w:t>
      </w:r>
    </w:p>
    <w:p w14:paraId="3BFF89C7" w14:textId="77777777" w:rsidR="00CB6E05" w:rsidRPr="00E31CDA" w:rsidRDefault="00CB6E05" w:rsidP="00A43258">
      <w:pPr>
        <w:rPr>
          <w:lang w:val="en-US"/>
        </w:rPr>
      </w:pPr>
      <w:r w:rsidRPr="00E31CDA">
        <w:rPr>
          <w:lang w:val="en-US"/>
        </w:rPr>
        <w:t xml:space="preserve">In recent years, public demand for goods and services has grown faster than the mainland </w:t>
      </w:r>
      <w:proofErr w:type="gramStart"/>
      <w:r w:rsidRPr="00E31CDA">
        <w:rPr>
          <w:lang w:val="en-US"/>
        </w:rPr>
        <w:t>economy as a whole</w:t>
      </w:r>
      <w:proofErr w:type="gramEnd"/>
      <w:r w:rsidRPr="00E31CDA">
        <w:rPr>
          <w:lang w:val="en-US"/>
        </w:rPr>
        <w:t xml:space="preserve">. Updated national accounts figures indicate that public sector demand in 2024 was somewhat higher than assumed in the Revised National Budget earlier this year. This is primarily due to somewhat higher investment in the </w:t>
      </w:r>
      <w:r>
        <w:rPr>
          <w:lang w:val="en-US"/>
        </w:rPr>
        <w:t>municipal</w:t>
      </w:r>
      <w:r w:rsidRPr="00E31CDA">
        <w:rPr>
          <w:lang w:val="en-US"/>
        </w:rPr>
        <w:t xml:space="preserve"> sector.</w:t>
      </w:r>
    </w:p>
    <w:p w14:paraId="55556717" w14:textId="77777777" w:rsidR="00CB6E05" w:rsidRDefault="00CB6E05" w:rsidP="00A43258">
      <w:pPr>
        <w:rPr>
          <w:lang w:val="en-US"/>
        </w:rPr>
      </w:pPr>
      <w:r w:rsidRPr="00E31CDA">
        <w:rPr>
          <w:lang w:val="en-US"/>
        </w:rPr>
        <w:t xml:space="preserve">For this year, the projection for public demand has been revised down since spring. This reflects </w:t>
      </w:r>
      <w:proofErr w:type="gramStart"/>
      <w:r w:rsidRPr="00E31CDA">
        <w:rPr>
          <w:lang w:val="en-US"/>
        </w:rPr>
        <w:t>in particular a</w:t>
      </w:r>
      <w:proofErr w:type="gramEnd"/>
      <w:r w:rsidRPr="00E31CDA">
        <w:rPr>
          <w:lang w:val="en-US"/>
        </w:rPr>
        <w:t xml:space="preserve"> lower estimate of consumption in the </w:t>
      </w:r>
      <w:r>
        <w:rPr>
          <w:lang w:val="en-US"/>
        </w:rPr>
        <w:t>municipal</w:t>
      </w:r>
      <w:r w:rsidRPr="00E31CDA">
        <w:rPr>
          <w:lang w:val="en-US"/>
        </w:rPr>
        <w:t xml:space="preserve"> sector. New information indicates that activity growth in the municipalities will be weaker than the average for the past ten years, both this year and next. Public sector investment is expected to fall next year. This is primarily because investment in the health trusts is expected to decline. See Chapter 3 for a discussion of fiscal policy and Section 3.4 for a discussion of activity in the </w:t>
      </w:r>
      <w:r>
        <w:rPr>
          <w:lang w:val="en-US"/>
        </w:rPr>
        <w:t>municipal</w:t>
      </w:r>
      <w:r w:rsidRPr="00E31CDA">
        <w:rPr>
          <w:lang w:val="en-US"/>
        </w:rPr>
        <w:t xml:space="preserve"> sector. For 2027, the public sector consumption and investment projections are based on technical assumptions concerning demographic trends, as well as the estimated effects of the Long-term Plan for the </w:t>
      </w:r>
      <w:proofErr w:type="spellStart"/>
      <w:r w:rsidRPr="00E31CDA">
        <w:rPr>
          <w:lang w:val="en-US"/>
        </w:rPr>
        <w:t>defence</w:t>
      </w:r>
      <w:proofErr w:type="spellEnd"/>
      <w:r w:rsidRPr="00E31CDA">
        <w:rPr>
          <w:lang w:val="en-US"/>
        </w:rPr>
        <w:t xml:space="preserve"> sector.</w:t>
      </w:r>
    </w:p>
    <w:tbl>
      <w:tblPr>
        <w:tblStyle w:val="StandardBoks"/>
        <w:tblW w:w="0" w:type="auto"/>
        <w:tblLook w:val="04A0" w:firstRow="1" w:lastRow="0" w:firstColumn="1" w:lastColumn="0" w:noHBand="0" w:noVBand="1"/>
      </w:tblPr>
      <w:tblGrid>
        <w:gridCol w:w="9016"/>
      </w:tblGrid>
      <w:tr w:rsidR="00A43258" w14:paraId="4B995895" w14:textId="77777777" w:rsidTr="00A43258">
        <w:tc>
          <w:tcPr>
            <w:tcW w:w="9016" w:type="dxa"/>
          </w:tcPr>
          <w:p w14:paraId="14881220" w14:textId="212886B3" w:rsidR="00A43258" w:rsidRPr="00E31CDA" w:rsidRDefault="00E1651D" w:rsidP="00E1651D">
            <w:pPr>
              <w:pStyle w:val="Undertittel"/>
              <w:jc w:val="center"/>
              <w:rPr>
                <w:lang w:val="en-US"/>
              </w:rPr>
            </w:pPr>
            <w:r>
              <w:rPr>
                <w:lang w:val="en-US"/>
              </w:rPr>
              <w:lastRenderedPageBreak/>
              <w:t xml:space="preserve">Box 2.4 </w:t>
            </w:r>
            <w:r w:rsidR="00A43258" w:rsidRPr="00E31CDA">
              <w:rPr>
                <w:lang w:val="en-US"/>
              </w:rPr>
              <w:t xml:space="preserve">Norwegian </w:t>
            </w:r>
            <w:r w:rsidR="00A43258">
              <w:rPr>
                <w:lang w:val="en-US"/>
              </w:rPr>
              <w:t>goods</w:t>
            </w:r>
            <w:r w:rsidR="00A43258" w:rsidRPr="00E31CDA">
              <w:rPr>
                <w:lang w:val="en-US"/>
              </w:rPr>
              <w:t xml:space="preserve"> exports to the US</w:t>
            </w:r>
          </w:p>
          <w:p w14:paraId="432C0E32" w14:textId="77777777" w:rsidR="00A43258" w:rsidRPr="00E31CDA" w:rsidRDefault="00A43258" w:rsidP="00A43258">
            <w:pPr>
              <w:rPr>
                <w:lang w:val="en-US"/>
              </w:rPr>
            </w:pPr>
            <w:r w:rsidRPr="00E31CDA">
              <w:rPr>
                <w:lang w:val="en-US"/>
              </w:rPr>
              <w:t xml:space="preserve">In April this year, the United States announced increased tariffs against most countries. Norwegian exports to the US are subject to additional tariffs of 15 per cent and sectoral duties on </w:t>
            </w:r>
            <w:proofErr w:type="gramStart"/>
            <w:r w:rsidRPr="00E31CDA">
              <w:rPr>
                <w:lang w:val="en-US"/>
              </w:rPr>
              <w:t>a number of</w:t>
            </w:r>
            <w:proofErr w:type="gramEnd"/>
            <w:r w:rsidRPr="00E31CDA">
              <w:rPr>
                <w:lang w:val="en-US"/>
              </w:rPr>
              <w:t xml:space="preserve"> goods.</w:t>
            </w:r>
          </w:p>
          <w:p w14:paraId="0C297354" w14:textId="77777777" w:rsidR="00A43258" w:rsidRPr="00E31CDA" w:rsidRDefault="00A43258" w:rsidP="00A43258">
            <w:pPr>
              <w:rPr>
                <w:lang w:val="en-US"/>
              </w:rPr>
            </w:pPr>
            <w:r w:rsidRPr="00E31CDA">
              <w:rPr>
                <w:lang w:val="en-US"/>
              </w:rPr>
              <w:t xml:space="preserve">The value of Norwegian exports of goods to the US in 2024 was NOK 62 billion. Of this, NOK 60 billion was goods from the mainland. Last year, the US was the third largest destination for exports of mainland goods after the Netherlands and Sweden, which amounted to NOK 68 billion and NOK 67 billion respectively. Exports of mainland goods to the EU </w:t>
            </w:r>
            <w:proofErr w:type="gramStart"/>
            <w:r w:rsidRPr="00E31CDA">
              <w:rPr>
                <w:lang w:val="en-US"/>
              </w:rPr>
              <w:t>as a whole are</w:t>
            </w:r>
            <w:proofErr w:type="gramEnd"/>
            <w:r w:rsidRPr="00E31CDA">
              <w:rPr>
                <w:lang w:val="en-US"/>
              </w:rPr>
              <w:t xml:space="preserve"> about seven times larger than exports to the US.</w:t>
            </w:r>
          </w:p>
          <w:p w14:paraId="2D3A04DB" w14:textId="77777777" w:rsidR="00A43258" w:rsidRPr="00E31CDA" w:rsidRDefault="00A43258" w:rsidP="00A43258">
            <w:pPr>
              <w:rPr>
                <w:lang w:val="en-US"/>
              </w:rPr>
            </w:pPr>
            <w:r w:rsidRPr="00E31CDA">
              <w:rPr>
                <w:lang w:val="en-US"/>
              </w:rPr>
              <w:t>As a share of Norway's total merchandise exports, the export value to the US over the past 5 years has amounted to about 3 per cent. This is a good deal lower than in the 20-year period 2000–2019, when the proportion was almost 6 percent. The lower share to the US in recent years must be seen in conjunction with high petroleum prices, which means that the export value of oil and gas has been historically high, and that a relatively small share of exports of crude oil and natural gas goes to the US. As a share of mainland exports, exports to the US last year were 8.4 per cent, which is slightly above the average for the past 20 years.</w:t>
            </w:r>
          </w:p>
          <w:p w14:paraId="25D906E6" w14:textId="77777777" w:rsidR="00A43258" w:rsidRPr="00E31CDA" w:rsidRDefault="00A43258" w:rsidP="00A43258">
            <w:pPr>
              <w:rPr>
                <w:lang w:val="en-US"/>
              </w:rPr>
            </w:pPr>
            <w:r w:rsidRPr="00E31CDA">
              <w:rPr>
                <w:lang w:val="en-US"/>
              </w:rPr>
              <w:t xml:space="preserve">Of the exports of goods to the US last year, the largest groups were machinery and transport equipment (23 per cent), seafood (21 per cent), oil products, etc. (19 per cent) and chemical products (11 per cent), see </w:t>
            </w:r>
            <w:r>
              <w:rPr>
                <w:lang w:val="en-US"/>
              </w:rPr>
              <w:t>chart</w:t>
            </w:r>
            <w:r w:rsidRPr="00E31CDA">
              <w:rPr>
                <w:lang w:val="en-US"/>
              </w:rPr>
              <w:t xml:space="preserve"> 2.18</w:t>
            </w:r>
          </w:p>
          <w:p w14:paraId="11EA6805" w14:textId="77777777" w:rsidR="00A43258" w:rsidRPr="00E31CDA" w:rsidRDefault="00A43258" w:rsidP="00A43258">
            <w:pPr>
              <w:rPr>
                <w:lang w:val="en-US"/>
              </w:rPr>
            </w:pPr>
            <w:r w:rsidRPr="00E31CDA">
              <w:rPr>
                <w:lang w:val="en-US"/>
              </w:rPr>
              <w:t xml:space="preserve">Exports of machinery and transport equipment to the US have increased sharply in recent years. This applies </w:t>
            </w:r>
            <w:proofErr w:type="gramStart"/>
            <w:r w:rsidRPr="00E31CDA">
              <w:rPr>
                <w:lang w:val="en-US"/>
              </w:rPr>
              <w:t>in particular to</w:t>
            </w:r>
            <w:proofErr w:type="gramEnd"/>
            <w:r w:rsidRPr="00E31CDA">
              <w:rPr>
                <w:lang w:val="en-US"/>
              </w:rPr>
              <w:t xml:space="preserve"> machinery used in the energy and industrial sectors, including offshore. Of the exports of seafood to the USA, salmon dominates. The production of salmon and other Norwegian seafood is largely determined by supply-side conditions. Should seafood demand from the US decline </w:t>
            </w:r>
            <w:proofErr w:type="gramStart"/>
            <w:r w:rsidRPr="00E31CDA">
              <w:rPr>
                <w:lang w:val="en-US"/>
              </w:rPr>
              <w:t>as a result of</w:t>
            </w:r>
            <w:proofErr w:type="gramEnd"/>
            <w:r w:rsidRPr="00E31CDA">
              <w:rPr>
                <w:lang w:val="en-US"/>
              </w:rPr>
              <w:t xml:space="preserve"> higher tariffs, exports will probably shift elsewhere without </w:t>
            </w:r>
            <w:r>
              <w:rPr>
                <w:lang w:val="en-US"/>
              </w:rPr>
              <w:t>much</w:t>
            </w:r>
            <w:r w:rsidRPr="00E31CDA">
              <w:rPr>
                <w:lang w:val="en-US"/>
              </w:rPr>
              <w:t xml:space="preserve"> appreciable impact on production. Exports of petroleum to the US last year were mainly oil products, including petrol and diesel, while exports of chemical products mainly consisted of medicines and pharmaceutical products.</w:t>
            </w:r>
          </w:p>
          <w:p w14:paraId="268A164A" w14:textId="77777777" w:rsidR="00A43258" w:rsidRPr="005F493D" w:rsidRDefault="00A43258" w:rsidP="00A43258">
            <w:pPr>
              <w:spacing w:after="120" w:line="276" w:lineRule="auto"/>
              <w:rPr>
                <w:rFonts w:ascii="Times New Roman" w:hAnsi="Times New Roman" w:cs="Times New Roman"/>
                <w:sz w:val="24"/>
                <w:lang w:val="en-US"/>
              </w:rPr>
            </w:pPr>
            <w:r w:rsidRPr="005F493D">
              <w:rPr>
                <w:noProof/>
                <w:lang w:val="en-US"/>
              </w:rPr>
              <w:lastRenderedPageBreak/>
              <w:t xml:space="preserve"> </w:t>
            </w:r>
            <w:r w:rsidRPr="00F51511">
              <w:rPr>
                <w:rFonts w:ascii="Times New Roman" w:hAnsi="Times New Roman" w:cs="Times New Roman"/>
                <w:noProof/>
                <w:sz w:val="24"/>
              </w:rPr>
              <w:drawing>
                <wp:inline distT="0" distB="0" distL="0" distR="0" wp14:anchorId="280686B3" wp14:editId="1D6A58EC">
                  <wp:extent cx="2301319" cy="2657475"/>
                  <wp:effectExtent l="0" t="0" r="3810" b="0"/>
                  <wp:docPr id="545919359" name="Bilde 1" descr="Chart 2.18 Composition of goods exports to the US in 2024. Percentage sha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19359" name="Bilde 1" descr="Chart 2.18 Composition of goods exports to the US in 2024. Percentage share&#10;"/>
                          <pic:cNvPicPr/>
                        </pic:nvPicPr>
                        <pic:blipFill>
                          <a:blip r:embed="rId17"/>
                          <a:stretch>
                            <a:fillRect/>
                          </a:stretch>
                        </pic:blipFill>
                        <pic:spPr>
                          <a:xfrm>
                            <a:off x="0" y="0"/>
                            <a:ext cx="2315426" cy="2673766"/>
                          </a:xfrm>
                          <a:prstGeom prst="rect">
                            <a:avLst/>
                          </a:prstGeom>
                        </pic:spPr>
                      </pic:pic>
                    </a:graphicData>
                  </a:graphic>
                </wp:inline>
              </w:drawing>
            </w:r>
          </w:p>
          <w:p w14:paraId="1A85E150" w14:textId="77777777" w:rsidR="00A43258" w:rsidRPr="00E31CDA" w:rsidRDefault="00A43258" w:rsidP="00E1651D">
            <w:pPr>
              <w:pStyle w:val="avsnitt-tittel"/>
              <w:rPr>
                <w:lang w:val="en-US"/>
              </w:rPr>
            </w:pPr>
            <w:r>
              <w:rPr>
                <w:lang w:val="en-US"/>
              </w:rPr>
              <w:t xml:space="preserve">Chart 2.18 </w:t>
            </w:r>
            <w:r w:rsidRPr="00E31CDA">
              <w:rPr>
                <w:lang w:val="en-US"/>
              </w:rPr>
              <w:t>Composition of goods exports to the US in 2024. Percentage share</w:t>
            </w:r>
          </w:p>
          <w:p w14:paraId="1E520512" w14:textId="13E20BB0" w:rsidR="00A43258" w:rsidRPr="00A43258" w:rsidRDefault="00A43258" w:rsidP="00E1651D">
            <w:pPr>
              <w:pStyle w:val="Kilde"/>
              <w:rPr>
                <w:lang w:val="en-US"/>
              </w:rPr>
            </w:pPr>
            <w:r w:rsidRPr="00E31CDA">
              <w:rPr>
                <w:lang w:val="en-US"/>
              </w:rPr>
              <w:t>Sources: Statistics Norway and Ministry of Finance.</w:t>
            </w:r>
          </w:p>
        </w:tc>
      </w:tr>
    </w:tbl>
    <w:p w14:paraId="79DE3182" w14:textId="212CF422" w:rsidR="00CB6E05" w:rsidRPr="00E31CDA" w:rsidRDefault="00E1651D" w:rsidP="00E1651D">
      <w:pPr>
        <w:pStyle w:val="UnOverskrift1"/>
        <w:rPr>
          <w:lang w:val="en-US"/>
        </w:rPr>
      </w:pPr>
      <w:r>
        <w:rPr>
          <w:lang w:val="en-US"/>
        </w:rPr>
        <w:lastRenderedPageBreak/>
        <w:t>2.3</w:t>
      </w:r>
      <w:r>
        <w:rPr>
          <w:lang w:val="en-US"/>
        </w:rPr>
        <w:tab/>
      </w:r>
      <w:r w:rsidR="00CB6E05" w:rsidRPr="00E31CDA">
        <w:rPr>
          <w:lang w:val="en-US"/>
        </w:rPr>
        <w:t>The balance of risks</w:t>
      </w:r>
    </w:p>
    <w:p w14:paraId="5C1E3193" w14:textId="77777777" w:rsidR="00CB6E05" w:rsidRPr="00E31CDA" w:rsidRDefault="00CB6E05" w:rsidP="00A43258">
      <w:pPr>
        <w:rPr>
          <w:lang w:val="en-US"/>
        </w:rPr>
      </w:pPr>
      <w:r w:rsidRPr="00E31CDA">
        <w:rPr>
          <w:lang w:val="en-US"/>
        </w:rPr>
        <w:t>The projections in this report paint a picture that the Norwegian economy is faring well. Activity is growing faster than in previous years, and unemployment remains stable. Inflation is projected to decline gradually, and real wages are expected to increase both this year and the next two years.</w:t>
      </w:r>
    </w:p>
    <w:p w14:paraId="0D60BD3B" w14:textId="77777777" w:rsidR="00CB6E05" w:rsidRPr="00E31CDA" w:rsidRDefault="00CB6E05" w:rsidP="00A43258">
      <w:pPr>
        <w:rPr>
          <w:lang w:val="en-US"/>
        </w:rPr>
      </w:pPr>
      <w:r w:rsidRPr="00E31CDA">
        <w:rPr>
          <w:lang w:val="en-US"/>
        </w:rPr>
        <w:t>The backdrop for the projections is a</w:t>
      </w:r>
      <w:r>
        <w:rPr>
          <w:lang w:val="en-US"/>
        </w:rPr>
        <w:t xml:space="preserve">n uncertain </w:t>
      </w:r>
      <w:r w:rsidRPr="00E31CDA">
        <w:rPr>
          <w:lang w:val="en-US"/>
        </w:rPr>
        <w:t xml:space="preserve">world. Moderate growth is projected among Norway's trading partners, while inflation will </w:t>
      </w:r>
      <w:proofErr w:type="gramStart"/>
      <w:r w:rsidRPr="00E31CDA">
        <w:rPr>
          <w:lang w:val="en-US"/>
        </w:rPr>
        <w:t>decline</w:t>
      </w:r>
      <w:proofErr w:type="gramEnd"/>
      <w:r w:rsidRPr="00E31CDA">
        <w:rPr>
          <w:lang w:val="en-US"/>
        </w:rPr>
        <w:t xml:space="preserve"> and unemployment will remain fairly stable. Geopolitical tensions and considerable uncertainty about the evolution of conditions for international trade mean that there is a considerable risk of weaker than assumed.</w:t>
      </w:r>
    </w:p>
    <w:p w14:paraId="53483854" w14:textId="77777777" w:rsidR="00CB6E05" w:rsidRPr="00E31CDA" w:rsidRDefault="00CB6E05" w:rsidP="00A43258">
      <w:pPr>
        <w:rPr>
          <w:lang w:val="en-US"/>
        </w:rPr>
      </w:pPr>
      <w:r w:rsidRPr="00E31CDA">
        <w:rPr>
          <w:lang w:val="en-US"/>
        </w:rPr>
        <w:t xml:space="preserve">An important precondition for the projections in the report is that no major new shifts in global trade policy take place. There are still considerable risks associated with developments in international trade conditions, although uncertainty about trade policy has diminished since before summer and it now seems less likely that there will be an </w:t>
      </w:r>
      <w:r w:rsidRPr="00E31CDA">
        <w:rPr>
          <w:lang w:val="en-US"/>
        </w:rPr>
        <w:lastRenderedPageBreak/>
        <w:t xml:space="preserve">escalated trade conflict where many countries introduce high tariffs on each other. The International Monetary Fund (IMF) maintains that continued trade uncertainty poses a downside risk to the global economy. It can also affect the Norwegian economy, either </w:t>
      </w:r>
      <w:proofErr w:type="gramStart"/>
      <w:r w:rsidRPr="00E31CDA">
        <w:rPr>
          <w:lang w:val="en-US"/>
        </w:rPr>
        <w:t>as a result of</w:t>
      </w:r>
      <w:proofErr w:type="gramEnd"/>
      <w:r w:rsidRPr="00E31CDA">
        <w:rPr>
          <w:lang w:val="en-US"/>
        </w:rPr>
        <w:t xml:space="preserve"> slower global growth or because the uncertainty itself can lead to postponement of consumption and investment decisions and financial market turbulence.</w:t>
      </w:r>
    </w:p>
    <w:p w14:paraId="14A5DBB0" w14:textId="77777777" w:rsidR="00CB6E05" w:rsidRPr="00E31CDA" w:rsidRDefault="00CB6E05" w:rsidP="00A43258">
      <w:pPr>
        <w:rPr>
          <w:lang w:val="en-US"/>
        </w:rPr>
      </w:pPr>
      <w:r w:rsidRPr="00E31CDA">
        <w:rPr>
          <w:lang w:val="en-US"/>
        </w:rPr>
        <w:t xml:space="preserve">In addition to trade conflicts, more general unrest and military conflicts in several areas also pose a risk. Further escalation of conflicts will not only entail human </w:t>
      </w:r>
      <w:proofErr w:type="gramStart"/>
      <w:r w:rsidRPr="00E31CDA">
        <w:rPr>
          <w:lang w:val="en-US"/>
        </w:rPr>
        <w:t>costs, but</w:t>
      </w:r>
      <w:proofErr w:type="gramEnd"/>
      <w:r w:rsidRPr="00E31CDA">
        <w:rPr>
          <w:lang w:val="en-US"/>
        </w:rPr>
        <w:t xml:space="preserve"> may also have significant economic consequences through new cost shocks, higher inflation and lower economic growth. Conversely, if ongoing conflicts subside, household and business optimism may strengthen and lift activity more than assumed.</w:t>
      </w:r>
    </w:p>
    <w:p w14:paraId="39E9BB5D" w14:textId="77777777" w:rsidR="00CB6E05" w:rsidRPr="00E31CDA" w:rsidRDefault="00CB6E05" w:rsidP="00A43258">
      <w:pPr>
        <w:rPr>
          <w:lang w:val="en-US"/>
        </w:rPr>
      </w:pPr>
      <w:r w:rsidRPr="00E31CDA">
        <w:rPr>
          <w:lang w:val="en-US"/>
        </w:rPr>
        <w:t xml:space="preserve">In the short term, a more tense geopolitical situation may also prove to boost growth in the Norwegian and European economy more than assumed. Partly </w:t>
      </w:r>
      <w:proofErr w:type="gramStart"/>
      <w:r w:rsidRPr="00E31CDA">
        <w:rPr>
          <w:lang w:val="en-US"/>
        </w:rPr>
        <w:t>as a result of</w:t>
      </w:r>
      <w:proofErr w:type="gramEnd"/>
      <w:r w:rsidRPr="00E31CDA">
        <w:rPr>
          <w:lang w:val="en-US"/>
        </w:rPr>
        <w:t xml:space="preserve"> new NATO objectives, European countries are planning to increase </w:t>
      </w:r>
      <w:proofErr w:type="spellStart"/>
      <w:r w:rsidRPr="00E31CDA">
        <w:rPr>
          <w:lang w:val="en-US"/>
        </w:rPr>
        <w:t>defence</w:t>
      </w:r>
      <w:proofErr w:type="spellEnd"/>
      <w:r w:rsidRPr="00E31CDA">
        <w:rPr>
          <w:lang w:val="en-US"/>
        </w:rPr>
        <w:t xml:space="preserve"> spending sharply. This may result in greater positive economic spillovers than assumed in the projections, also for Norway.</w:t>
      </w:r>
    </w:p>
    <w:p w14:paraId="56C5C31D" w14:textId="77777777" w:rsidR="00CB6E05" w:rsidRPr="00E31CDA" w:rsidRDefault="00CB6E05" w:rsidP="00A43258">
      <w:pPr>
        <w:rPr>
          <w:lang w:val="en-US"/>
        </w:rPr>
      </w:pPr>
      <w:r w:rsidRPr="00E31CDA">
        <w:rPr>
          <w:lang w:val="en-US"/>
        </w:rPr>
        <w:t xml:space="preserve">The projections assume that spending increases related to, for example, </w:t>
      </w:r>
      <w:proofErr w:type="spellStart"/>
      <w:r w:rsidRPr="00E31CDA">
        <w:rPr>
          <w:lang w:val="en-US"/>
        </w:rPr>
        <w:t>defence</w:t>
      </w:r>
      <w:proofErr w:type="spellEnd"/>
      <w:r w:rsidRPr="00E31CDA">
        <w:rPr>
          <w:lang w:val="en-US"/>
        </w:rPr>
        <w:t xml:space="preserve"> and the green transition will not create problems with sovereign debt, which is already high in many countries. If there is distrust in countries' ability to service their sovereign debt, this may lead to higher interest rates, lower economic growth and a need for fiscal tightening.</w:t>
      </w:r>
    </w:p>
    <w:p w14:paraId="7BDB11B0" w14:textId="77777777" w:rsidR="00CB6E05" w:rsidRDefault="00CB6E05" w:rsidP="00A43258">
      <w:pPr>
        <w:rPr>
          <w:lang w:val="en-US"/>
        </w:rPr>
      </w:pPr>
      <w:r w:rsidRPr="00E31CDA">
        <w:rPr>
          <w:lang w:val="en-US"/>
        </w:rPr>
        <w:t xml:space="preserve">Wage growth in Norway and how it will affect consumer price inflation ahead is another important assumption for the projections. Inflation is projected to slow further towards the inflation target of 2 per cent in the coming years. This assumes that wage growth comes down. Should it prove higher than projected, this will likely push up household demand in the short term. On the other hand, higher wage growth, or a stronger pass-through from wage growth to inflation than assumed, may lead to a longer continuation of the further </w:t>
      </w:r>
      <w:proofErr w:type="spellStart"/>
      <w:r w:rsidRPr="00E31CDA">
        <w:rPr>
          <w:lang w:val="en-US"/>
        </w:rPr>
        <w:t>normalisation</w:t>
      </w:r>
      <w:proofErr w:type="spellEnd"/>
      <w:r w:rsidRPr="00E31CDA">
        <w:rPr>
          <w:lang w:val="en-US"/>
        </w:rPr>
        <w:t xml:space="preserve"> of inflation. If inflation picks up again or does not come down further, the interest rate may have to be held high for longer. This could then weaken growth prospects, particularly for construction, but also household consumption, and growth in both GDP and employment could be weaker than currently projected. Conversely, stronger-than-assumed productivity growth may have a lesser </w:t>
      </w:r>
      <w:r w:rsidRPr="00E31CDA">
        <w:rPr>
          <w:lang w:val="en-US"/>
        </w:rPr>
        <w:lastRenderedPageBreak/>
        <w:t>impact on inflation than expected. This would then pave the way for stronger real wage growth and a faster decline in interest rates than would otherwise have been the case.</w:t>
      </w:r>
    </w:p>
    <w:p w14:paraId="09D898A8" w14:textId="16B18026" w:rsidR="00CB6E05" w:rsidRPr="003600BD" w:rsidRDefault="00E1651D" w:rsidP="00E1651D">
      <w:pPr>
        <w:pStyle w:val="UnOverskrift1"/>
        <w:rPr>
          <w:lang w:val="en-GB"/>
        </w:rPr>
      </w:pPr>
      <w:bookmarkStart w:id="0" w:name="_Hlk211339976"/>
      <w:r>
        <w:rPr>
          <w:lang w:val="en-GB"/>
        </w:rPr>
        <w:t>3.1</w:t>
      </w:r>
      <w:r>
        <w:rPr>
          <w:lang w:val="en-GB"/>
        </w:rPr>
        <w:tab/>
      </w:r>
      <w:r w:rsidR="00CB6E05" w:rsidRPr="003600BD">
        <w:rPr>
          <w:lang w:val="en-GB"/>
        </w:rPr>
        <w:t xml:space="preserve">Fiscal policy </w:t>
      </w:r>
      <w:r w:rsidR="00CB6E05">
        <w:rPr>
          <w:lang w:val="en-GB"/>
        </w:rPr>
        <w:t xml:space="preserve">in </w:t>
      </w:r>
      <w:r w:rsidR="00CB6E05" w:rsidRPr="003600BD">
        <w:rPr>
          <w:lang w:val="en-GB"/>
        </w:rPr>
        <w:t>2026</w:t>
      </w:r>
    </w:p>
    <w:p w14:paraId="556514AF" w14:textId="77777777" w:rsidR="00CB6E05" w:rsidRPr="007163D9" w:rsidRDefault="00CB6E05" w:rsidP="00A43258">
      <w:pPr>
        <w:rPr>
          <w:lang w:val="en-GB"/>
        </w:rPr>
      </w:pPr>
      <w:r w:rsidRPr="007163D9">
        <w:rPr>
          <w:lang w:val="en-GB"/>
        </w:rPr>
        <w:t xml:space="preserve">In the budget for 2026, the Government proposes a fund spending, measured by </w:t>
      </w:r>
      <w:r w:rsidRPr="007163D9">
        <w:rPr>
          <w:rStyle w:val="kursiv"/>
          <w:lang w:val="en-GB"/>
        </w:rPr>
        <w:t>the structural non-oil budget deficit</w:t>
      </w:r>
      <w:r w:rsidRPr="007163D9">
        <w:rPr>
          <w:lang w:val="en-GB"/>
        </w:rPr>
        <w:t>, of NOK 579.4 billion, equivalent to 13.1 per cent of mainland Norway trend GDP. This is an increase from just above 12.6 percent in 2025 and c</w:t>
      </w:r>
      <w:r>
        <w:rPr>
          <w:lang w:val="en-GB"/>
        </w:rPr>
        <w:t>orresponds</w:t>
      </w:r>
      <w:r w:rsidRPr="007163D9">
        <w:rPr>
          <w:lang w:val="en-GB"/>
        </w:rPr>
        <w:t xml:space="preserve"> to a </w:t>
      </w:r>
      <w:r w:rsidRPr="007163D9">
        <w:rPr>
          <w:rStyle w:val="kursiv"/>
          <w:lang w:val="en-GB"/>
        </w:rPr>
        <w:t>fiscal impulse</w:t>
      </w:r>
      <w:r w:rsidRPr="007163D9">
        <w:rPr>
          <w:lang w:val="en-GB"/>
        </w:rPr>
        <w:t xml:space="preserve"> of 0.4 percentage point</w:t>
      </w:r>
      <w:r>
        <w:rPr>
          <w:lang w:val="en-GB"/>
        </w:rPr>
        <w:t>s</w:t>
      </w:r>
      <w:r w:rsidRPr="007163D9">
        <w:rPr>
          <w:lang w:val="en-GB"/>
        </w:rPr>
        <w:t xml:space="preserve">. The fund spending is expected to correspond to 2.8 per cent of the value of the Government Pension Fund Global (GPFG) and 26.8 per </w:t>
      </w:r>
      <w:r w:rsidRPr="003600BD">
        <w:rPr>
          <w:lang w:val="en-GB"/>
        </w:rPr>
        <w:t>cent of fiscal budgets expenditures</w:t>
      </w:r>
      <w:r w:rsidRPr="007163D9">
        <w:rPr>
          <w:lang w:val="en-GB"/>
        </w:rPr>
        <w:t xml:space="preserve">. See Table 3.1 and </w:t>
      </w:r>
      <w:r>
        <w:rPr>
          <w:lang w:val="en-GB"/>
        </w:rPr>
        <w:t>C</w:t>
      </w:r>
      <w:r w:rsidRPr="007163D9">
        <w:rPr>
          <w:lang w:val="en-GB"/>
        </w:rPr>
        <w:t xml:space="preserve">hart 3.1 to 3.4. The Government's proposal includes a continuation of this year's framework for support to Ukraine at NOK 85 billion in 2026. </w:t>
      </w:r>
    </w:p>
    <w:p w14:paraId="21D76B7F" w14:textId="77777777" w:rsidR="00CB6E05" w:rsidRPr="007163D9" w:rsidRDefault="00CB6E05" w:rsidP="00E1651D">
      <w:pPr>
        <w:pStyle w:val="avsnitt-tittel"/>
        <w:rPr>
          <w:lang w:val="en-GB"/>
        </w:rPr>
      </w:pPr>
      <w:r>
        <w:rPr>
          <w:lang w:val="en-GB"/>
        </w:rPr>
        <w:t xml:space="preserve">Table 3.1 </w:t>
      </w:r>
      <w:r w:rsidRPr="007163D9">
        <w:rPr>
          <w:lang w:val="en-GB"/>
        </w:rPr>
        <w:t>Key figures in the national budget. NOK billion and per cent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180"/>
        <w:gridCol w:w="1120"/>
        <w:gridCol w:w="1120"/>
        <w:gridCol w:w="1120"/>
      </w:tblGrid>
      <w:tr w:rsidR="00CB6E05" w:rsidRPr="0027241E" w14:paraId="7503C510" w14:textId="77777777" w:rsidTr="00C7062A">
        <w:trPr>
          <w:trHeight w:val="360"/>
        </w:trPr>
        <w:tc>
          <w:tcPr>
            <w:tcW w:w="6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43AC85" w14:textId="77777777" w:rsidR="00CB6E05" w:rsidRPr="007163D9" w:rsidRDefault="00CB6E05" w:rsidP="00E1651D">
            <w:pPr>
              <w:rPr>
                <w:lang w:val="en-GB"/>
              </w:rPr>
            </w:pP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3E4BCD" w14:textId="77777777" w:rsidR="00CB6E05" w:rsidRPr="007163D9" w:rsidRDefault="00CB6E05" w:rsidP="008E7405">
            <w:pPr>
              <w:jc w:val="right"/>
              <w:rPr>
                <w:lang w:val="en-GB"/>
              </w:rPr>
            </w:pPr>
            <w:r w:rsidRPr="007163D9">
              <w:rPr>
                <w:lang w:val="en-GB"/>
              </w:rPr>
              <w:t>2024</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EEB703" w14:textId="77777777" w:rsidR="00CB6E05" w:rsidRPr="007163D9" w:rsidRDefault="00CB6E05" w:rsidP="008E7405">
            <w:pPr>
              <w:jc w:val="right"/>
              <w:rPr>
                <w:lang w:val="en-GB"/>
              </w:rPr>
            </w:pPr>
            <w:r w:rsidRPr="007163D9">
              <w:rPr>
                <w:lang w:val="en-GB"/>
              </w:rPr>
              <w:t>2025</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EFC920" w14:textId="77777777" w:rsidR="00CB6E05" w:rsidRPr="007163D9" w:rsidRDefault="00CB6E05" w:rsidP="008E7405">
            <w:pPr>
              <w:jc w:val="right"/>
              <w:rPr>
                <w:lang w:val="en-GB"/>
              </w:rPr>
            </w:pPr>
            <w:r w:rsidRPr="007163D9">
              <w:rPr>
                <w:lang w:val="en-GB"/>
              </w:rPr>
              <w:t>2026</w:t>
            </w:r>
          </w:p>
        </w:tc>
      </w:tr>
      <w:tr w:rsidR="00CB6E05" w:rsidRPr="0027241E" w14:paraId="5FED4129" w14:textId="77777777" w:rsidTr="00C7062A">
        <w:trPr>
          <w:trHeight w:val="380"/>
        </w:trPr>
        <w:tc>
          <w:tcPr>
            <w:tcW w:w="6180" w:type="dxa"/>
            <w:tcBorders>
              <w:top w:val="single" w:sz="4" w:space="0" w:color="000000"/>
              <w:left w:val="nil"/>
              <w:bottom w:val="nil"/>
              <w:right w:val="nil"/>
            </w:tcBorders>
            <w:tcMar>
              <w:top w:w="128" w:type="dxa"/>
              <w:left w:w="43" w:type="dxa"/>
              <w:bottom w:w="43" w:type="dxa"/>
              <w:right w:w="43" w:type="dxa"/>
            </w:tcMar>
          </w:tcPr>
          <w:p w14:paraId="2CABDAFE" w14:textId="07992B6F" w:rsidR="00CB6E05" w:rsidRPr="007163D9" w:rsidRDefault="00CB6E05" w:rsidP="00E1651D">
            <w:pPr>
              <w:rPr>
                <w:lang w:val="en-GB"/>
              </w:rPr>
            </w:pPr>
            <w:r w:rsidRPr="007163D9">
              <w:rPr>
                <w:lang w:val="en-GB"/>
              </w:rPr>
              <w:t>Structural non-oil fiscal deficit in current prices</w:t>
            </w:r>
            <w:r w:rsidR="008E7405">
              <w:rPr>
                <w:lang w:val="en-GB"/>
              </w:rPr>
              <w:tab/>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7FD1691" w14:textId="77777777" w:rsidR="00CB6E05" w:rsidRPr="007163D9" w:rsidRDefault="00CB6E05" w:rsidP="008E7405">
            <w:pPr>
              <w:jc w:val="right"/>
              <w:rPr>
                <w:lang w:val="en-GB"/>
              </w:rPr>
            </w:pPr>
            <w:r w:rsidRPr="007163D9">
              <w:rPr>
                <w:lang w:val="en-GB"/>
              </w:rPr>
              <w:t>410,3</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3579FC7" w14:textId="77777777" w:rsidR="00CB6E05" w:rsidRPr="007163D9" w:rsidRDefault="00CB6E05" w:rsidP="008E7405">
            <w:pPr>
              <w:jc w:val="right"/>
              <w:rPr>
                <w:lang w:val="en-GB"/>
              </w:rPr>
            </w:pPr>
            <w:r w:rsidRPr="007163D9">
              <w:rPr>
                <w:lang w:val="en-GB"/>
              </w:rPr>
              <w:t>534,2</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3996CBB" w14:textId="77777777" w:rsidR="00CB6E05" w:rsidRPr="007163D9" w:rsidRDefault="00CB6E05" w:rsidP="008E7405">
            <w:pPr>
              <w:jc w:val="right"/>
              <w:rPr>
                <w:lang w:val="en-GB"/>
              </w:rPr>
            </w:pPr>
            <w:r w:rsidRPr="007163D9">
              <w:rPr>
                <w:lang w:val="en-GB"/>
              </w:rPr>
              <w:t>579,4</w:t>
            </w:r>
          </w:p>
        </w:tc>
      </w:tr>
      <w:tr w:rsidR="00CB6E05" w:rsidRPr="0027241E" w14:paraId="1F6E2C5D" w14:textId="77777777" w:rsidTr="00C7062A">
        <w:trPr>
          <w:trHeight w:val="380"/>
        </w:trPr>
        <w:tc>
          <w:tcPr>
            <w:tcW w:w="6180" w:type="dxa"/>
            <w:tcBorders>
              <w:top w:val="nil"/>
              <w:left w:val="nil"/>
              <w:bottom w:val="nil"/>
              <w:right w:val="nil"/>
            </w:tcBorders>
            <w:tcMar>
              <w:top w:w="128" w:type="dxa"/>
              <w:left w:w="43" w:type="dxa"/>
              <w:bottom w:w="43" w:type="dxa"/>
              <w:right w:w="43" w:type="dxa"/>
            </w:tcMar>
            <w:vAlign w:val="bottom"/>
          </w:tcPr>
          <w:p w14:paraId="2BE9AC38" w14:textId="725EB807" w:rsidR="00CB6E05" w:rsidRPr="007163D9" w:rsidRDefault="00CB6E05" w:rsidP="00E1651D">
            <w:pPr>
              <w:rPr>
                <w:lang w:val="en-GB"/>
              </w:rPr>
            </w:pPr>
            <w:r w:rsidRPr="007163D9">
              <w:rPr>
                <w:lang w:val="en-GB"/>
              </w:rPr>
              <w:t>Structural non-oil fiscal deficit at constant 2026 prices</w:t>
            </w:r>
            <w:r w:rsidR="008E7405">
              <w:rPr>
                <w:lang w:val="en-GB"/>
              </w:rPr>
              <w:tab/>
            </w:r>
          </w:p>
        </w:tc>
        <w:tc>
          <w:tcPr>
            <w:tcW w:w="1120" w:type="dxa"/>
            <w:tcBorders>
              <w:top w:val="nil"/>
              <w:left w:val="nil"/>
              <w:bottom w:val="nil"/>
              <w:right w:val="nil"/>
            </w:tcBorders>
            <w:tcMar>
              <w:top w:w="128" w:type="dxa"/>
              <w:left w:w="43" w:type="dxa"/>
              <w:bottom w:w="43" w:type="dxa"/>
              <w:right w:w="43" w:type="dxa"/>
            </w:tcMar>
            <w:vAlign w:val="bottom"/>
          </w:tcPr>
          <w:p w14:paraId="3E80B084" w14:textId="77777777" w:rsidR="00CB6E05" w:rsidRPr="007163D9" w:rsidRDefault="00CB6E05" w:rsidP="008E7405">
            <w:pPr>
              <w:jc w:val="right"/>
              <w:rPr>
                <w:lang w:val="en-GB"/>
              </w:rPr>
            </w:pPr>
            <w:r w:rsidRPr="007163D9">
              <w:rPr>
                <w:lang w:val="en-GB"/>
              </w:rPr>
              <w:t>438,0</w:t>
            </w:r>
          </w:p>
        </w:tc>
        <w:tc>
          <w:tcPr>
            <w:tcW w:w="1120" w:type="dxa"/>
            <w:tcBorders>
              <w:top w:val="nil"/>
              <w:left w:val="nil"/>
              <w:bottom w:val="nil"/>
              <w:right w:val="nil"/>
            </w:tcBorders>
            <w:tcMar>
              <w:top w:w="128" w:type="dxa"/>
              <w:left w:w="43" w:type="dxa"/>
              <w:bottom w:w="43" w:type="dxa"/>
              <w:right w:w="43" w:type="dxa"/>
            </w:tcMar>
            <w:vAlign w:val="bottom"/>
          </w:tcPr>
          <w:p w14:paraId="6A009F6D" w14:textId="77777777" w:rsidR="00CB6E05" w:rsidRPr="007163D9" w:rsidRDefault="00CB6E05" w:rsidP="008E7405">
            <w:pPr>
              <w:jc w:val="right"/>
              <w:rPr>
                <w:lang w:val="en-GB"/>
              </w:rPr>
            </w:pPr>
            <w:r w:rsidRPr="007163D9">
              <w:rPr>
                <w:lang w:val="en-GB"/>
              </w:rPr>
              <w:t>550,6</w:t>
            </w:r>
          </w:p>
        </w:tc>
        <w:tc>
          <w:tcPr>
            <w:tcW w:w="1120" w:type="dxa"/>
            <w:tcBorders>
              <w:top w:val="nil"/>
              <w:left w:val="nil"/>
              <w:bottom w:val="nil"/>
              <w:right w:val="nil"/>
            </w:tcBorders>
            <w:tcMar>
              <w:top w:w="128" w:type="dxa"/>
              <w:left w:w="43" w:type="dxa"/>
              <w:bottom w:w="43" w:type="dxa"/>
              <w:right w:w="43" w:type="dxa"/>
            </w:tcMar>
            <w:vAlign w:val="bottom"/>
          </w:tcPr>
          <w:p w14:paraId="34F112E2" w14:textId="77777777" w:rsidR="00CB6E05" w:rsidRPr="007163D9" w:rsidRDefault="00CB6E05" w:rsidP="008E7405">
            <w:pPr>
              <w:jc w:val="right"/>
              <w:rPr>
                <w:lang w:val="en-GB"/>
              </w:rPr>
            </w:pPr>
            <w:r w:rsidRPr="007163D9">
              <w:rPr>
                <w:lang w:val="en-GB"/>
              </w:rPr>
              <w:t>579,4</w:t>
            </w:r>
          </w:p>
        </w:tc>
      </w:tr>
      <w:tr w:rsidR="00CB6E05" w:rsidRPr="0027241E" w14:paraId="7E9EB80F" w14:textId="77777777" w:rsidTr="00C7062A">
        <w:trPr>
          <w:trHeight w:val="380"/>
        </w:trPr>
        <w:tc>
          <w:tcPr>
            <w:tcW w:w="6180" w:type="dxa"/>
            <w:tcBorders>
              <w:top w:val="nil"/>
              <w:left w:val="nil"/>
              <w:bottom w:val="nil"/>
              <w:right w:val="nil"/>
            </w:tcBorders>
            <w:tcMar>
              <w:top w:w="128" w:type="dxa"/>
              <w:left w:w="43" w:type="dxa"/>
              <w:bottom w:w="43" w:type="dxa"/>
              <w:right w:w="43" w:type="dxa"/>
            </w:tcMar>
          </w:tcPr>
          <w:p w14:paraId="60A8B178" w14:textId="0511BE48" w:rsidR="00CB6E05" w:rsidRPr="007163D9" w:rsidRDefault="00CB6E05" w:rsidP="00E1651D">
            <w:pPr>
              <w:rPr>
                <w:lang w:val="en-GB"/>
              </w:rPr>
            </w:pPr>
            <w:r w:rsidRPr="007163D9">
              <w:rPr>
                <w:lang w:val="en-GB"/>
              </w:rPr>
              <w:t>Measured in per cent of mainland Norway trend GDP</w:t>
            </w:r>
            <w:r w:rsidR="008E7405">
              <w:rPr>
                <w:lang w:val="en-GB"/>
              </w:rPr>
              <w:tab/>
            </w:r>
          </w:p>
        </w:tc>
        <w:tc>
          <w:tcPr>
            <w:tcW w:w="1120" w:type="dxa"/>
            <w:tcBorders>
              <w:top w:val="nil"/>
              <w:left w:val="nil"/>
              <w:bottom w:val="nil"/>
              <w:right w:val="nil"/>
            </w:tcBorders>
            <w:tcMar>
              <w:top w:w="128" w:type="dxa"/>
              <w:left w:w="43" w:type="dxa"/>
              <w:bottom w:w="43" w:type="dxa"/>
              <w:right w:w="43" w:type="dxa"/>
            </w:tcMar>
            <w:vAlign w:val="bottom"/>
          </w:tcPr>
          <w:p w14:paraId="42AD1F96" w14:textId="77777777" w:rsidR="00CB6E05" w:rsidRPr="007163D9" w:rsidRDefault="00CB6E05" w:rsidP="008E7405">
            <w:pPr>
              <w:jc w:val="right"/>
              <w:rPr>
                <w:lang w:val="en-GB"/>
              </w:rPr>
            </w:pPr>
            <w:r w:rsidRPr="007163D9">
              <w:rPr>
                <w:lang w:val="en-GB"/>
              </w:rPr>
              <w:t>10,2</w:t>
            </w:r>
          </w:p>
        </w:tc>
        <w:tc>
          <w:tcPr>
            <w:tcW w:w="1120" w:type="dxa"/>
            <w:tcBorders>
              <w:top w:val="nil"/>
              <w:left w:val="nil"/>
              <w:bottom w:val="nil"/>
              <w:right w:val="nil"/>
            </w:tcBorders>
            <w:tcMar>
              <w:top w:w="128" w:type="dxa"/>
              <w:left w:w="43" w:type="dxa"/>
              <w:bottom w:w="43" w:type="dxa"/>
              <w:right w:w="43" w:type="dxa"/>
            </w:tcMar>
            <w:vAlign w:val="bottom"/>
          </w:tcPr>
          <w:p w14:paraId="06A192EA" w14:textId="77777777" w:rsidR="00CB6E05" w:rsidRPr="007163D9" w:rsidRDefault="00CB6E05" w:rsidP="008E7405">
            <w:pPr>
              <w:jc w:val="right"/>
              <w:rPr>
                <w:lang w:val="en-GB"/>
              </w:rPr>
            </w:pPr>
            <w:r w:rsidRPr="007163D9">
              <w:rPr>
                <w:lang w:val="en-GB"/>
              </w:rPr>
              <w:t>12,6</w:t>
            </w:r>
          </w:p>
        </w:tc>
        <w:tc>
          <w:tcPr>
            <w:tcW w:w="1120" w:type="dxa"/>
            <w:tcBorders>
              <w:top w:val="nil"/>
              <w:left w:val="nil"/>
              <w:bottom w:val="nil"/>
              <w:right w:val="nil"/>
            </w:tcBorders>
            <w:tcMar>
              <w:top w:w="128" w:type="dxa"/>
              <w:left w:w="43" w:type="dxa"/>
              <w:bottom w:w="43" w:type="dxa"/>
              <w:right w:w="43" w:type="dxa"/>
            </w:tcMar>
            <w:vAlign w:val="bottom"/>
          </w:tcPr>
          <w:p w14:paraId="7F8DD12D" w14:textId="77777777" w:rsidR="00CB6E05" w:rsidRPr="007163D9" w:rsidRDefault="00CB6E05" w:rsidP="008E7405">
            <w:pPr>
              <w:jc w:val="right"/>
              <w:rPr>
                <w:lang w:val="en-GB"/>
              </w:rPr>
            </w:pPr>
            <w:r w:rsidRPr="007163D9">
              <w:rPr>
                <w:lang w:val="en-GB"/>
              </w:rPr>
              <w:t>13,1</w:t>
            </w:r>
          </w:p>
        </w:tc>
      </w:tr>
      <w:tr w:rsidR="00CB6E05" w:rsidRPr="0027241E" w14:paraId="4E55F6DB" w14:textId="77777777" w:rsidTr="00C7062A">
        <w:trPr>
          <w:trHeight w:val="380"/>
        </w:trPr>
        <w:tc>
          <w:tcPr>
            <w:tcW w:w="6180" w:type="dxa"/>
            <w:tcBorders>
              <w:top w:val="nil"/>
              <w:left w:val="nil"/>
              <w:bottom w:val="nil"/>
              <w:right w:val="nil"/>
            </w:tcBorders>
            <w:tcMar>
              <w:top w:w="128" w:type="dxa"/>
              <w:left w:w="43" w:type="dxa"/>
              <w:bottom w:w="43" w:type="dxa"/>
              <w:right w:w="43" w:type="dxa"/>
            </w:tcMar>
          </w:tcPr>
          <w:p w14:paraId="2A081C73" w14:textId="4510D3CB" w:rsidR="00CB6E05" w:rsidRPr="007163D9" w:rsidRDefault="00CB6E05" w:rsidP="00E1651D">
            <w:pPr>
              <w:rPr>
                <w:lang w:val="en-GB"/>
              </w:rPr>
            </w:pPr>
            <w:r w:rsidRPr="007163D9">
              <w:rPr>
                <w:lang w:val="en-GB"/>
              </w:rPr>
              <w:t>Change from previous year in percentage points (fiscal impulse)</w:t>
            </w:r>
            <w:r w:rsidRPr="007163D9">
              <w:rPr>
                <w:rStyle w:val="skrift-hevet"/>
                <w:lang w:val="en-GB"/>
              </w:rPr>
              <w:t>1</w:t>
            </w:r>
            <w:r w:rsidR="008E7405">
              <w:rPr>
                <w:rStyle w:val="skrift-hevet"/>
                <w:lang w:val="en-GB"/>
              </w:rPr>
              <w:tab/>
            </w:r>
          </w:p>
        </w:tc>
        <w:tc>
          <w:tcPr>
            <w:tcW w:w="1120" w:type="dxa"/>
            <w:tcBorders>
              <w:top w:val="nil"/>
              <w:left w:val="nil"/>
              <w:bottom w:val="nil"/>
              <w:right w:val="nil"/>
            </w:tcBorders>
            <w:tcMar>
              <w:top w:w="128" w:type="dxa"/>
              <w:left w:w="43" w:type="dxa"/>
              <w:bottom w:w="43" w:type="dxa"/>
              <w:right w:w="43" w:type="dxa"/>
            </w:tcMar>
            <w:vAlign w:val="bottom"/>
          </w:tcPr>
          <w:p w14:paraId="14382B24" w14:textId="77777777" w:rsidR="00CB6E05" w:rsidRPr="007163D9" w:rsidRDefault="00CB6E05" w:rsidP="008E7405">
            <w:pPr>
              <w:jc w:val="right"/>
              <w:rPr>
                <w:lang w:val="en-GB"/>
              </w:rPr>
            </w:pPr>
            <w:r w:rsidRPr="007163D9">
              <w:rPr>
                <w:lang w:val="en-GB"/>
              </w:rPr>
              <w:t>0,9</w:t>
            </w:r>
          </w:p>
        </w:tc>
        <w:tc>
          <w:tcPr>
            <w:tcW w:w="1120" w:type="dxa"/>
            <w:tcBorders>
              <w:top w:val="nil"/>
              <w:left w:val="nil"/>
              <w:bottom w:val="nil"/>
              <w:right w:val="nil"/>
            </w:tcBorders>
            <w:tcMar>
              <w:top w:w="128" w:type="dxa"/>
              <w:left w:w="43" w:type="dxa"/>
              <w:bottom w:w="43" w:type="dxa"/>
              <w:right w:w="43" w:type="dxa"/>
            </w:tcMar>
            <w:vAlign w:val="bottom"/>
          </w:tcPr>
          <w:p w14:paraId="49DBC2DE" w14:textId="77777777" w:rsidR="00CB6E05" w:rsidRPr="007163D9" w:rsidRDefault="00CB6E05" w:rsidP="008E7405">
            <w:pPr>
              <w:jc w:val="right"/>
              <w:rPr>
                <w:lang w:val="en-GB"/>
              </w:rPr>
            </w:pPr>
            <w:r w:rsidRPr="007163D9">
              <w:rPr>
                <w:lang w:val="en-GB"/>
              </w:rPr>
              <w:t>2,4</w:t>
            </w:r>
          </w:p>
        </w:tc>
        <w:tc>
          <w:tcPr>
            <w:tcW w:w="1120" w:type="dxa"/>
            <w:tcBorders>
              <w:top w:val="nil"/>
              <w:left w:val="nil"/>
              <w:bottom w:val="nil"/>
              <w:right w:val="nil"/>
            </w:tcBorders>
            <w:tcMar>
              <w:top w:w="128" w:type="dxa"/>
              <w:left w:w="43" w:type="dxa"/>
              <w:bottom w:w="43" w:type="dxa"/>
              <w:right w:w="43" w:type="dxa"/>
            </w:tcMar>
            <w:vAlign w:val="bottom"/>
          </w:tcPr>
          <w:p w14:paraId="0ECFA0BC" w14:textId="77777777" w:rsidR="00CB6E05" w:rsidRPr="007163D9" w:rsidRDefault="00CB6E05" w:rsidP="008E7405">
            <w:pPr>
              <w:jc w:val="right"/>
              <w:rPr>
                <w:lang w:val="en-GB"/>
              </w:rPr>
            </w:pPr>
            <w:r w:rsidRPr="007163D9">
              <w:rPr>
                <w:lang w:val="en-GB"/>
              </w:rPr>
              <w:t>0,4</w:t>
            </w:r>
          </w:p>
        </w:tc>
      </w:tr>
      <w:tr w:rsidR="00CB6E05" w:rsidRPr="0027241E" w14:paraId="01DA0D72" w14:textId="77777777" w:rsidTr="00C7062A">
        <w:trPr>
          <w:trHeight w:val="380"/>
        </w:trPr>
        <w:tc>
          <w:tcPr>
            <w:tcW w:w="6180" w:type="dxa"/>
            <w:tcBorders>
              <w:top w:val="nil"/>
              <w:left w:val="nil"/>
              <w:bottom w:val="nil"/>
              <w:right w:val="nil"/>
            </w:tcBorders>
            <w:tcMar>
              <w:top w:w="128" w:type="dxa"/>
              <w:left w:w="43" w:type="dxa"/>
              <w:bottom w:w="43" w:type="dxa"/>
              <w:right w:w="43" w:type="dxa"/>
            </w:tcMar>
          </w:tcPr>
          <w:p w14:paraId="52EC0FFE" w14:textId="76670712" w:rsidR="00CB6E05" w:rsidRPr="007163D9" w:rsidRDefault="00CB6E05" w:rsidP="00E1651D">
            <w:pPr>
              <w:rPr>
                <w:lang w:val="en-GB"/>
              </w:rPr>
            </w:pPr>
            <w:r w:rsidRPr="007163D9">
              <w:rPr>
                <w:lang w:val="en-GB"/>
              </w:rPr>
              <w:t>Measured as a percentage of the Government Pension Fund Global</w:t>
            </w:r>
            <w:r w:rsidR="008E7405">
              <w:rPr>
                <w:lang w:val="en-GB"/>
              </w:rPr>
              <w:tab/>
            </w:r>
          </w:p>
        </w:tc>
        <w:tc>
          <w:tcPr>
            <w:tcW w:w="1120" w:type="dxa"/>
            <w:tcBorders>
              <w:top w:val="nil"/>
              <w:left w:val="nil"/>
              <w:bottom w:val="nil"/>
              <w:right w:val="nil"/>
            </w:tcBorders>
            <w:tcMar>
              <w:top w:w="128" w:type="dxa"/>
              <w:left w:w="43" w:type="dxa"/>
              <w:bottom w:w="43" w:type="dxa"/>
              <w:right w:w="43" w:type="dxa"/>
            </w:tcMar>
            <w:vAlign w:val="bottom"/>
          </w:tcPr>
          <w:p w14:paraId="452E5459" w14:textId="77777777" w:rsidR="00CB6E05" w:rsidRPr="007163D9" w:rsidRDefault="00CB6E05" w:rsidP="008E7405">
            <w:pPr>
              <w:jc w:val="right"/>
              <w:rPr>
                <w:lang w:val="en-GB"/>
              </w:rPr>
            </w:pPr>
            <w:r w:rsidRPr="007163D9">
              <w:rPr>
                <w:lang w:val="en-GB"/>
              </w:rPr>
              <w:t>2,6</w:t>
            </w:r>
          </w:p>
        </w:tc>
        <w:tc>
          <w:tcPr>
            <w:tcW w:w="1120" w:type="dxa"/>
            <w:tcBorders>
              <w:top w:val="nil"/>
              <w:left w:val="nil"/>
              <w:bottom w:val="nil"/>
              <w:right w:val="nil"/>
            </w:tcBorders>
            <w:tcMar>
              <w:top w:w="128" w:type="dxa"/>
              <w:left w:w="43" w:type="dxa"/>
              <w:bottom w:w="43" w:type="dxa"/>
              <w:right w:w="43" w:type="dxa"/>
            </w:tcMar>
            <w:vAlign w:val="bottom"/>
          </w:tcPr>
          <w:p w14:paraId="1D66A257" w14:textId="77777777" w:rsidR="00CB6E05" w:rsidRPr="007163D9" w:rsidRDefault="00CB6E05" w:rsidP="008E7405">
            <w:pPr>
              <w:jc w:val="right"/>
              <w:rPr>
                <w:lang w:val="en-GB"/>
              </w:rPr>
            </w:pPr>
            <w:r w:rsidRPr="007163D9">
              <w:rPr>
                <w:lang w:val="en-GB"/>
              </w:rPr>
              <w:t>2,7</w:t>
            </w:r>
          </w:p>
        </w:tc>
        <w:tc>
          <w:tcPr>
            <w:tcW w:w="1120" w:type="dxa"/>
            <w:tcBorders>
              <w:top w:val="nil"/>
              <w:left w:val="nil"/>
              <w:bottom w:val="nil"/>
              <w:right w:val="nil"/>
            </w:tcBorders>
            <w:tcMar>
              <w:top w:w="128" w:type="dxa"/>
              <w:left w:w="43" w:type="dxa"/>
              <w:bottom w:w="43" w:type="dxa"/>
              <w:right w:w="43" w:type="dxa"/>
            </w:tcMar>
            <w:vAlign w:val="bottom"/>
          </w:tcPr>
          <w:p w14:paraId="056EAC71" w14:textId="77777777" w:rsidR="00CB6E05" w:rsidRPr="007163D9" w:rsidRDefault="00CB6E05" w:rsidP="008E7405">
            <w:pPr>
              <w:jc w:val="right"/>
              <w:rPr>
                <w:lang w:val="en-GB"/>
              </w:rPr>
            </w:pPr>
            <w:r w:rsidRPr="007163D9">
              <w:rPr>
                <w:lang w:val="en-GB"/>
              </w:rPr>
              <w:t>2,8</w:t>
            </w:r>
          </w:p>
        </w:tc>
      </w:tr>
      <w:tr w:rsidR="00CB6E05" w:rsidRPr="0027241E" w14:paraId="0CD4C1C1" w14:textId="77777777" w:rsidTr="00C7062A">
        <w:trPr>
          <w:trHeight w:val="380"/>
        </w:trPr>
        <w:tc>
          <w:tcPr>
            <w:tcW w:w="6180" w:type="dxa"/>
            <w:tcBorders>
              <w:top w:val="nil"/>
              <w:left w:val="nil"/>
              <w:bottom w:val="single" w:sz="4" w:space="0" w:color="000000"/>
              <w:right w:val="nil"/>
            </w:tcBorders>
            <w:tcMar>
              <w:top w:w="128" w:type="dxa"/>
              <w:left w:w="43" w:type="dxa"/>
              <w:bottom w:w="43" w:type="dxa"/>
              <w:right w:w="43" w:type="dxa"/>
            </w:tcMar>
          </w:tcPr>
          <w:p w14:paraId="25429034" w14:textId="02672A39" w:rsidR="00CB6E05" w:rsidRPr="007163D9" w:rsidRDefault="00CB6E05" w:rsidP="00E1651D">
            <w:pPr>
              <w:rPr>
                <w:lang w:val="en-GB"/>
              </w:rPr>
            </w:pPr>
            <w:r w:rsidRPr="007163D9">
              <w:rPr>
                <w:lang w:val="en-GB"/>
              </w:rPr>
              <w:t>Measured as a percentage of central government budget expenditure</w:t>
            </w:r>
            <w:r w:rsidR="008E7405">
              <w:rPr>
                <w:lang w:val="en-GB"/>
              </w:rPr>
              <w:tab/>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5A2E0CE" w14:textId="77777777" w:rsidR="00CB6E05" w:rsidRPr="007163D9" w:rsidRDefault="00CB6E05" w:rsidP="008E7405">
            <w:pPr>
              <w:jc w:val="right"/>
              <w:rPr>
                <w:lang w:val="en-GB"/>
              </w:rPr>
            </w:pPr>
            <w:r w:rsidRPr="007163D9">
              <w:rPr>
                <w:lang w:val="en-GB"/>
              </w:rPr>
              <w:t>21,5</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496F502" w14:textId="77777777" w:rsidR="00CB6E05" w:rsidRPr="007163D9" w:rsidRDefault="00CB6E05" w:rsidP="008E7405">
            <w:pPr>
              <w:jc w:val="right"/>
              <w:rPr>
                <w:lang w:val="en-GB"/>
              </w:rPr>
            </w:pPr>
            <w:r w:rsidRPr="007163D9">
              <w:rPr>
                <w:lang w:val="en-GB"/>
              </w:rPr>
              <w:t>25,8</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E423414" w14:textId="77777777" w:rsidR="00CB6E05" w:rsidRPr="007163D9" w:rsidRDefault="00CB6E05" w:rsidP="008E7405">
            <w:pPr>
              <w:jc w:val="right"/>
              <w:rPr>
                <w:lang w:val="en-GB"/>
              </w:rPr>
            </w:pPr>
            <w:r w:rsidRPr="007163D9">
              <w:rPr>
                <w:lang w:val="en-GB"/>
              </w:rPr>
              <w:t>26,8</w:t>
            </w:r>
          </w:p>
        </w:tc>
      </w:tr>
    </w:tbl>
    <w:p w14:paraId="5919BE76" w14:textId="77777777" w:rsidR="00CB6E05" w:rsidRPr="007163D9" w:rsidRDefault="00CB6E05" w:rsidP="00E1651D">
      <w:pPr>
        <w:pStyle w:val="Note"/>
        <w:rPr>
          <w:rStyle w:val="skrift-hevet"/>
          <w:lang w:val="en-GB"/>
        </w:rPr>
      </w:pPr>
      <w:r w:rsidRPr="007163D9">
        <w:rPr>
          <w:rStyle w:val="skrift-hevet"/>
          <w:lang w:val="en-GB"/>
        </w:rPr>
        <w:lastRenderedPageBreak/>
        <w:t>1</w:t>
      </w:r>
      <w:r w:rsidRPr="007163D9">
        <w:rPr>
          <w:lang w:val="en-GB"/>
        </w:rPr>
        <w:tab/>
        <w:t xml:space="preserve">Change in structural non-oil fiscal deficit measured as a share of mainland Norway trend GDP. The indicator does not </w:t>
      </w:r>
      <w:r w:rsidRPr="007E4B3B">
        <w:rPr>
          <w:lang w:val="en-GB"/>
        </w:rPr>
        <w:t>consider</w:t>
      </w:r>
      <w:r w:rsidRPr="007163D9">
        <w:rPr>
          <w:lang w:val="en-GB"/>
        </w:rPr>
        <w:t xml:space="preserve"> that different revenue and expenditure items may differ in their effect on economic activity.</w:t>
      </w:r>
    </w:p>
    <w:p w14:paraId="4BAC9B4B" w14:textId="77777777" w:rsidR="00CB6E05" w:rsidRPr="007163D9" w:rsidRDefault="00CB6E05" w:rsidP="00E1651D">
      <w:pPr>
        <w:pStyle w:val="Kilde"/>
        <w:rPr>
          <w:lang w:val="en-GB"/>
        </w:rPr>
      </w:pPr>
      <w:r w:rsidRPr="007163D9">
        <w:rPr>
          <w:lang w:val="en-GB"/>
        </w:rPr>
        <w:t>Source: Ministry of Finance.</w:t>
      </w:r>
    </w:p>
    <w:p w14:paraId="37CE71B3" w14:textId="6DB97BB0" w:rsidR="00CB6E05" w:rsidRPr="007163D9" w:rsidRDefault="00562990" w:rsidP="00CB6E05">
      <w:pPr>
        <w:rPr>
          <w:lang w:val="en-GB"/>
        </w:rPr>
      </w:pPr>
      <w:r>
        <w:rPr>
          <w:noProof/>
          <w:lang w:val="en-GB"/>
        </w:rPr>
        <w:drawing>
          <wp:inline distT="0" distB="0" distL="0" distR="0" wp14:anchorId="45A08B99" wp14:editId="2A271807">
            <wp:extent cx="2136038" cy="2111410"/>
            <wp:effectExtent l="0" t="0" r="0" b="3175"/>
            <wp:docPr id="1849457235" name="Bilde 1" descr="Chart 3.1 Structural non-oil fiscal deficit. Per cent of mainland Norway trend GDP. 2001–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57235" name="Bilde 1" descr="Chart 3.1 Structural non-oil fiscal deficit. Per cent of mainland Norway trend GDP. 2001–2026&#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6744" cy="2121992"/>
                    </a:xfrm>
                    <a:prstGeom prst="rect">
                      <a:avLst/>
                    </a:prstGeom>
                    <a:noFill/>
                    <a:ln>
                      <a:noFill/>
                    </a:ln>
                  </pic:spPr>
                </pic:pic>
              </a:graphicData>
            </a:graphic>
          </wp:inline>
        </w:drawing>
      </w:r>
    </w:p>
    <w:p w14:paraId="05ECB79F" w14:textId="77777777" w:rsidR="00CB6E05" w:rsidRPr="007163D9" w:rsidRDefault="00CB6E05" w:rsidP="00E1651D">
      <w:pPr>
        <w:pStyle w:val="avsnitt-tittel"/>
        <w:rPr>
          <w:lang w:val="en-GB"/>
        </w:rPr>
      </w:pPr>
      <w:r>
        <w:rPr>
          <w:lang w:val="en-GB"/>
        </w:rPr>
        <w:t>Chart 3.1 Structural</w:t>
      </w:r>
      <w:r w:rsidRPr="005D1C54">
        <w:rPr>
          <w:lang w:val="en-GB"/>
        </w:rPr>
        <w:t xml:space="preserve"> non</w:t>
      </w:r>
      <w:r w:rsidRPr="007163D9">
        <w:rPr>
          <w:lang w:val="en-GB"/>
        </w:rPr>
        <w:t>-oil fiscal deficit. Per cent of mainland Norway trend GDP. 2001–2026</w:t>
      </w:r>
    </w:p>
    <w:p w14:paraId="654D0F33" w14:textId="77777777" w:rsidR="00CB6E05" w:rsidRPr="007163D9" w:rsidRDefault="00CB6E05" w:rsidP="00E1651D">
      <w:pPr>
        <w:pStyle w:val="Kilde"/>
        <w:rPr>
          <w:lang w:val="en-GB"/>
        </w:rPr>
      </w:pPr>
      <w:r w:rsidRPr="007163D9">
        <w:rPr>
          <w:lang w:val="en-GB"/>
        </w:rPr>
        <w:t>Source: Ministry of Finance.</w:t>
      </w:r>
    </w:p>
    <w:p w14:paraId="584CF975" w14:textId="354DAC06" w:rsidR="00CB6E05" w:rsidRPr="007163D9" w:rsidRDefault="00562990" w:rsidP="00CB6E05">
      <w:pPr>
        <w:rPr>
          <w:lang w:val="en-GB"/>
        </w:rPr>
      </w:pPr>
      <w:r>
        <w:rPr>
          <w:noProof/>
          <w:lang w:val="en-GB"/>
        </w:rPr>
        <w:drawing>
          <wp:inline distT="0" distB="0" distL="0" distR="0" wp14:anchorId="7FCD2CA8" wp14:editId="77EEC4EF">
            <wp:extent cx="2135505" cy="2110883"/>
            <wp:effectExtent l="0" t="0" r="0" b="3810"/>
            <wp:docPr id="1260005233" name="Bilde 2" descr="Chart 3.2 Change in the structural non-oil fiscal deficit as a percentage of mainland Norway trend GDP. Change from previous year (fiscal impulse). 2001–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05233" name="Bilde 2" descr="Chart 3.2 Change in the structural non-oil fiscal deficit as a percentage of mainland Norway trend GDP. Change from previous year (fiscal impulse). 2001–2026&#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7929" cy="2123164"/>
                    </a:xfrm>
                    <a:prstGeom prst="rect">
                      <a:avLst/>
                    </a:prstGeom>
                    <a:noFill/>
                    <a:ln>
                      <a:noFill/>
                    </a:ln>
                  </pic:spPr>
                </pic:pic>
              </a:graphicData>
            </a:graphic>
          </wp:inline>
        </w:drawing>
      </w:r>
    </w:p>
    <w:p w14:paraId="1C0AE6DB" w14:textId="5F54BCF2" w:rsidR="00CB6E05" w:rsidRPr="007163D9" w:rsidRDefault="00CB6E05" w:rsidP="00E1651D">
      <w:pPr>
        <w:pStyle w:val="avsnitt-tittel"/>
        <w:rPr>
          <w:lang w:val="en-GB"/>
        </w:rPr>
      </w:pPr>
      <w:r>
        <w:rPr>
          <w:lang w:val="en-GB"/>
        </w:rPr>
        <w:t xml:space="preserve">Chart 3.2 </w:t>
      </w:r>
      <w:r w:rsidRPr="007163D9">
        <w:rPr>
          <w:lang w:val="en-GB"/>
        </w:rPr>
        <w:t xml:space="preserve">Change in </w:t>
      </w:r>
      <w:r>
        <w:rPr>
          <w:lang w:val="en-GB"/>
        </w:rPr>
        <w:t xml:space="preserve">the </w:t>
      </w:r>
      <w:r w:rsidRPr="007163D9">
        <w:rPr>
          <w:lang w:val="en-GB"/>
        </w:rPr>
        <w:t>structural non-oil fiscal deficit as a percentage of mainland Norway trend GDP. Change from previous year (fiscal impulse). 2001–2026</w:t>
      </w:r>
    </w:p>
    <w:p w14:paraId="694721DE" w14:textId="77777777" w:rsidR="00CB6E05" w:rsidRPr="007163D9" w:rsidRDefault="00CB6E05" w:rsidP="00E1651D">
      <w:pPr>
        <w:pStyle w:val="Kilde"/>
        <w:rPr>
          <w:lang w:val="en-GB"/>
        </w:rPr>
      </w:pPr>
      <w:r w:rsidRPr="007163D9">
        <w:rPr>
          <w:lang w:val="en-GB"/>
        </w:rPr>
        <w:t>Source: Ministry of Finance.</w:t>
      </w:r>
    </w:p>
    <w:p w14:paraId="68EB3855" w14:textId="04EBFC2F" w:rsidR="00CB6E05" w:rsidRPr="007163D9" w:rsidRDefault="00562990" w:rsidP="00CB6E05">
      <w:pPr>
        <w:rPr>
          <w:lang w:val="en-GB"/>
        </w:rPr>
      </w:pPr>
      <w:r>
        <w:rPr>
          <w:noProof/>
          <w:lang w:val="en-GB"/>
        </w:rPr>
        <w:lastRenderedPageBreak/>
        <w:drawing>
          <wp:inline distT="0" distB="0" distL="0" distR="0" wp14:anchorId="7B9E57D3" wp14:editId="2AEC39E5">
            <wp:extent cx="2146153" cy="2121408"/>
            <wp:effectExtent l="0" t="0" r="6985" b="0"/>
            <wp:docPr id="871550806" name="Bilde 3" descr="Chart 3.3 Structural non-oil fiscal deficit. Per cent of the Government Pension Fund Global. 2001–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0806" name="Bilde 3" descr="Chart 3.3 Structural non-oil fiscal deficit. Per cent of the Government Pension Fund Global. 2001–2026&#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1186" cy="2126383"/>
                    </a:xfrm>
                    <a:prstGeom prst="rect">
                      <a:avLst/>
                    </a:prstGeom>
                    <a:noFill/>
                    <a:ln>
                      <a:noFill/>
                    </a:ln>
                  </pic:spPr>
                </pic:pic>
              </a:graphicData>
            </a:graphic>
          </wp:inline>
        </w:drawing>
      </w:r>
    </w:p>
    <w:p w14:paraId="22DD0A4B" w14:textId="77777777" w:rsidR="00CB6E05" w:rsidRPr="007163D9" w:rsidRDefault="00CB6E05" w:rsidP="00E1651D">
      <w:pPr>
        <w:pStyle w:val="avsnitt-tittel"/>
        <w:rPr>
          <w:lang w:val="en-GB"/>
        </w:rPr>
      </w:pPr>
      <w:r>
        <w:rPr>
          <w:lang w:val="en-GB"/>
        </w:rPr>
        <w:t xml:space="preserve">Chart 3.3 </w:t>
      </w:r>
      <w:r w:rsidRPr="007163D9">
        <w:rPr>
          <w:lang w:val="en-GB"/>
        </w:rPr>
        <w:t>Structural non-oil fiscal deficit. Per cent of the Government Pension Fund Global. 2001–2026</w:t>
      </w:r>
    </w:p>
    <w:p w14:paraId="14E0AAED" w14:textId="77777777" w:rsidR="00CB6E05" w:rsidRPr="007163D9" w:rsidRDefault="00CB6E05" w:rsidP="00E1651D">
      <w:pPr>
        <w:pStyle w:val="Note"/>
        <w:rPr>
          <w:lang w:val="en-GB"/>
        </w:rPr>
      </w:pPr>
      <w:r w:rsidRPr="005D1C54">
        <w:rPr>
          <w:lang w:val="en-GB"/>
        </w:rPr>
        <w:t xml:space="preserve">The </w:t>
      </w:r>
      <w:r>
        <w:rPr>
          <w:lang w:val="en-GB"/>
        </w:rPr>
        <w:t>dashed</w:t>
      </w:r>
      <w:r w:rsidRPr="005D1C54">
        <w:rPr>
          <w:lang w:val="en-GB"/>
        </w:rPr>
        <w:t xml:space="preserve"> lines show </w:t>
      </w:r>
      <w:r w:rsidRPr="007163D9">
        <w:rPr>
          <w:lang w:val="en-GB"/>
        </w:rPr>
        <w:t>the expected real rate of return on the GPFG. In 2001, the expected real rate of return projection was 4 per cent. With effect from the National Budget 2018, the projection was revised down to 3 percent.</w:t>
      </w:r>
    </w:p>
    <w:p w14:paraId="0A0A0B1C" w14:textId="77777777" w:rsidR="00CB6E05" w:rsidRPr="007163D9" w:rsidRDefault="00CB6E05" w:rsidP="00E1651D">
      <w:pPr>
        <w:pStyle w:val="Kilde"/>
        <w:rPr>
          <w:lang w:val="en-GB"/>
        </w:rPr>
      </w:pPr>
      <w:r w:rsidRPr="007163D9">
        <w:rPr>
          <w:lang w:val="en-GB"/>
        </w:rPr>
        <w:t>Source: Ministry of Finance.</w:t>
      </w:r>
    </w:p>
    <w:p w14:paraId="3E58EFD0" w14:textId="33891F25" w:rsidR="00CB6E05" w:rsidRPr="007163D9" w:rsidRDefault="00562990" w:rsidP="00CB6E05">
      <w:pPr>
        <w:rPr>
          <w:lang w:val="en-GB"/>
        </w:rPr>
      </w:pPr>
      <w:r>
        <w:rPr>
          <w:noProof/>
          <w:lang w:val="en-GB"/>
        </w:rPr>
        <w:drawing>
          <wp:inline distT="0" distB="0" distL="0" distR="0" wp14:anchorId="056740AE" wp14:editId="69EB57C0">
            <wp:extent cx="2289658" cy="2263258"/>
            <wp:effectExtent l="0" t="0" r="0" b="3810"/>
            <wp:docPr id="577782667" name="Bilde 4" descr="Chart 3.4 Fund spending as a share of fiscal budget expenditure. Per cent. 2001–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82667" name="Bilde 4" descr="Chart 3.4 Fund spending as a share of fiscal budget expenditure. Per cent. 2001–2026&#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5285" cy="2268820"/>
                    </a:xfrm>
                    <a:prstGeom prst="rect">
                      <a:avLst/>
                    </a:prstGeom>
                    <a:noFill/>
                    <a:ln>
                      <a:noFill/>
                    </a:ln>
                  </pic:spPr>
                </pic:pic>
              </a:graphicData>
            </a:graphic>
          </wp:inline>
        </w:drawing>
      </w:r>
    </w:p>
    <w:p w14:paraId="74F4D2B4" w14:textId="77777777" w:rsidR="00CB6E05" w:rsidRPr="007163D9" w:rsidRDefault="00CB6E05" w:rsidP="00E1651D">
      <w:pPr>
        <w:pStyle w:val="avsnitt-tittel"/>
        <w:rPr>
          <w:lang w:val="en-GB"/>
        </w:rPr>
      </w:pPr>
      <w:r>
        <w:rPr>
          <w:lang w:val="en-GB"/>
        </w:rPr>
        <w:t xml:space="preserve">Chart 3.4 </w:t>
      </w:r>
      <w:r w:rsidRPr="007163D9">
        <w:rPr>
          <w:lang w:val="en-GB"/>
        </w:rPr>
        <w:t>Fund spending as a share of fiscal budget expenditure. Per cent. 2001–2026</w:t>
      </w:r>
    </w:p>
    <w:p w14:paraId="6F4442EB" w14:textId="77777777" w:rsidR="00CB6E05" w:rsidRPr="007163D9" w:rsidRDefault="00CB6E05" w:rsidP="00E1651D">
      <w:pPr>
        <w:pStyle w:val="Note"/>
        <w:rPr>
          <w:lang w:val="en-GB"/>
        </w:rPr>
      </w:pPr>
      <w:r w:rsidRPr="007163D9">
        <w:rPr>
          <w:lang w:val="en-GB"/>
        </w:rPr>
        <w:t>Expenditure excluding petroleum activities.</w:t>
      </w:r>
    </w:p>
    <w:p w14:paraId="28C81135" w14:textId="77777777" w:rsidR="00CB6E05" w:rsidRPr="007163D9" w:rsidRDefault="00CB6E05" w:rsidP="00E1651D">
      <w:pPr>
        <w:pStyle w:val="Kilde"/>
        <w:rPr>
          <w:lang w:val="en-GB"/>
        </w:rPr>
      </w:pPr>
      <w:r w:rsidRPr="007163D9">
        <w:rPr>
          <w:lang w:val="en-GB"/>
        </w:rPr>
        <w:t xml:space="preserve">Source: </w:t>
      </w:r>
      <w:r w:rsidRPr="005D1C54">
        <w:rPr>
          <w:lang w:val="en-GB"/>
        </w:rPr>
        <w:t>Ministry of Finance.</w:t>
      </w:r>
    </w:p>
    <w:p w14:paraId="1E48DE05" w14:textId="77777777" w:rsidR="00CB6E05" w:rsidRPr="007163D9" w:rsidRDefault="00CB6E05" w:rsidP="00A43258">
      <w:pPr>
        <w:rPr>
          <w:lang w:val="en-GB"/>
        </w:rPr>
      </w:pPr>
      <w:r w:rsidRPr="007163D9">
        <w:rPr>
          <w:lang w:val="en-GB"/>
        </w:rPr>
        <w:lastRenderedPageBreak/>
        <w:t xml:space="preserve">The fiscal policy stance </w:t>
      </w:r>
      <w:r w:rsidRPr="00532CDF">
        <w:rPr>
          <w:lang w:val="en-US"/>
        </w:rPr>
        <w:t xml:space="preserve">aims </w:t>
      </w:r>
      <w:r w:rsidRPr="007163D9">
        <w:rPr>
          <w:lang w:val="en-GB"/>
        </w:rPr>
        <w:t xml:space="preserve">to </w:t>
      </w:r>
      <w:r w:rsidRPr="00532CDF">
        <w:rPr>
          <w:lang w:val="en-US"/>
        </w:rPr>
        <w:t xml:space="preserve">balance </w:t>
      </w:r>
      <w:r>
        <w:rPr>
          <w:lang w:val="en-US"/>
        </w:rPr>
        <w:t xml:space="preserve">the </w:t>
      </w:r>
      <w:r w:rsidRPr="007163D9">
        <w:rPr>
          <w:lang w:val="en-GB"/>
        </w:rPr>
        <w:t>economic situation with long-term considerations relating to the sustainable development of both public finances and the growth potential of the economy.</w:t>
      </w:r>
    </w:p>
    <w:p w14:paraId="6C7A2F65" w14:textId="77777777" w:rsidR="00CB6E05" w:rsidRPr="007163D9" w:rsidRDefault="00CB6E05" w:rsidP="00A43258">
      <w:pPr>
        <w:rPr>
          <w:lang w:val="en-GB"/>
        </w:rPr>
      </w:pPr>
      <w:r>
        <w:rPr>
          <w:lang w:val="en-GB"/>
        </w:rPr>
        <w:t>F</w:t>
      </w:r>
      <w:r>
        <w:rPr>
          <w:lang w:val="en-US"/>
        </w:rPr>
        <w:t xml:space="preserve">und spending </w:t>
      </w:r>
      <w:r>
        <w:rPr>
          <w:lang w:val="en-GB"/>
        </w:rPr>
        <w:t>contributes to</w:t>
      </w:r>
      <w:r w:rsidRPr="007163D9">
        <w:rPr>
          <w:lang w:val="en-GB"/>
        </w:rPr>
        <w:t xml:space="preserve"> more than a quarter of the fiscal budget</w:t>
      </w:r>
      <w:r>
        <w:rPr>
          <w:lang w:val="en-GB"/>
        </w:rPr>
        <w:t xml:space="preserve"> expenditure</w:t>
      </w:r>
      <w:r w:rsidRPr="007163D9">
        <w:rPr>
          <w:lang w:val="en-GB"/>
        </w:rPr>
        <w:t xml:space="preserve">. This </w:t>
      </w:r>
      <w:r w:rsidRPr="00E134FE">
        <w:rPr>
          <w:lang w:val="en-GB"/>
        </w:rPr>
        <w:t xml:space="preserve">makes fiscal policy more vulnerable to abrupt and persistent </w:t>
      </w:r>
      <w:r>
        <w:rPr>
          <w:lang w:val="en-GB"/>
        </w:rPr>
        <w:t>declines</w:t>
      </w:r>
      <w:r w:rsidRPr="00E134FE">
        <w:rPr>
          <w:lang w:val="en-GB"/>
        </w:rPr>
        <w:t xml:space="preserve"> in the value of the</w:t>
      </w:r>
      <w:r>
        <w:rPr>
          <w:lang w:val="en-GB"/>
        </w:rPr>
        <w:t xml:space="preserve"> GPFG</w:t>
      </w:r>
      <w:r w:rsidRPr="00E134FE" w:rsidDel="00A24DCD">
        <w:rPr>
          <w:lang w:val="en-GB"/>
        </w:rPr>
        <w:t xml:space="preserve"> </w:t>
      </w:r>
      <w:r w:rsidRPr="00A24DCD">
        <w:rPr>
          <w:lang w:val="en-US"/>
        </w:rPr>
        <w:t>than previously</w:t>
      </w:r>
      <w:r w:rsidRPr="007163D9">
        <w:rPr>
          <w:lang w:val="en-GB"/>
        </w:rPr>
        <w:t>. The fiscal guideline implies that adjustments to fund spending in the event of major changes in</w:t>
      </w:r>
      <w:r w:rsidRPr="00A24DCD">
        <w:rPr>
          <w:lang w:val="en-GB"/>
        </w:rPr>
        <w:t xml:space="preserve"> </w:t>
      </w:r>
      <w:r w:rsidRPr="00A24DCD" w:rsidDel="008B39B7">
        <w:rPr>
          <w:lang w:val="en-GB"/>
        </w:rPr>
        <w:t>the</w:t>
      </w:r>
      <w:r w:rsidRPr="007163D9" w:rsidDel="008B39B7">
        <w:rPr>
          <w:lang w:val="en-GB"/>
        </w:rPr>
        <w:t xml:space="preserve"> </w:t>
      </w:r>
      <w:r w:rsidRPr="007163D9">
        <w:rPr>
          <w:lang w:val="en-GB"/>
        </w:rPr>
        <w:t xml:space="preserve">GPFG should be made gradually over several years </w:t>
      </w:r>
      <w:proofErr w:type="gramStart"/>
      <w:r w:rsidRPr="007163D9">
        <w:rPr>
          <w:lang w:val="en-GB"/>
        </w:rPr>
        <w:t>in order for</w:t>
      </w:r>
      <w:proofErr w:type="gramEnd"/>
      <w:r w:rsidRPr="007163D9">
        <w:rPr>
          <w:lang w:val="en-GB"/>
        </w:rPr>
        <w:t xml:space="preserve"> fiscal policy to provide sta</w:t>
      </w:r>
      <w:r>
        <w:rPr>
          <w:lang w:val="en-GB"/>
        </w:rPr>
        <w:t>bility in terms of welfare</w:t>
      </w:r>
      <w:r w:rsidRPr="007163D9">
        <w:rPr>
          <w:lang w:val="en-GB"/>
        </w:rPr>
        <w:t xml:space="preserve"> services and</w:t>
      </w:r>
      <w:r>
        <w:rPr>
          <w:lang w:val="en-GB"/>
        </w:rPr>
        <w:t xml:space="preserve"> economic</w:t>
      </w:r>
      <w:r w:rsidRPr="007163D9">
        <w:rPr>
          <w:lang w:val="en-GB"/>
        </w:rPr>
        <w:t xml:space="preserve"> framework conditions, </w:t>
      </w:r>
      <w:r w:rsidRPr="00E134FE">
        <w:rPr>
          <w:lang w:val="en-GB"/>
        </w:rPr>
        <w:t>and not in itself become a source of instability in the economy</w:t>
      </w:r>
      <w:r w:rsidRPr="00561D6F">
        <w:rPr>
          <w:lang w:val="en-GB"/>
        </w:rPr>
        <w:t xml:space="preserve">. </w:t>
      </w:r>
      <w:r w:rsidRPr="00E57406">
        <w:rPr>
          <w:lang w:val="en-US"/>
        </w:rPr>
        <w:t xml:space="preserve">Future developments in the economy and in the value of </w:t>
      </w:r>
      <w:r>
        <w:rPr>
          <w:lang w:val="en-US"/>
        </w:rPr>
        <w:t>GPFG</w:t>
      </w:r>
      <w:r w:rsidRPr="00E57406">
        <w:rPr>
          <w:lang w:val="en-US"/>
        </w:rPr>
        <w:t xml:space="preserve"> are uncertain</w:t>
      </w:r>
      <w:r>
        <w:rPr>
          <w:lang w:val="en-US"/>
        </w:rPr>
        <w:t xml:space="preserve">. </w:t>
      </w:r>
      <w:r w:rsidRPr="00E57406">
        <w:rPr>
          <w:lang w:val="en-US"/>
        </w:rPr>
        <w:t>Fiscal</w:t>
      </w:r>
      <w:r w:rsidRPr="007163D9">
        <w:rPr>
          <w:lang w:val="en-GB"/>
        </w:rPr>
        <w:t xml:space="preserve"> policy must </w:t>
      </w:r>
      <w:r>
        <w:rPr>
          <w:lang w:val="en-GB"/>
        </w:rPr>
        <w:t xml:space="preserve">consider the future </w:t>
      </w:r>
      <w:r w:rsidRPr="00E134FE">
        <w:rPr>
          <w:lang w:val="en-GB"/>
        </w:rPr>
        <w:t>desirab</w:t>
      </w:r>
      <w:r>
        <w:rPr>
          <w:lang w:val="en-GB"/>
        </w:rPr>
        <w:t xml:space="preserve">ility of increasing </w:t>
      </w:r>
      <w:r w:rsidRPr="007163D9">
        <w:rPr>
          <w:lang w:val="en-GB"/>
        </w:rPr>
        <w:t>fund spending</w:t>
      </w:r>
      <w:r w:rsidDel="00226794">
        <w:rPr>
          <w:lang w:val="en-GB"/>
        </w:rPr>
        <w:t>,</w:t>
      </w:r>
      <w:r w:rsidRPr="007163D9">
        <w:rPr>
          <w:lang w:val="en-GB"/>
        </w:rPr>
        <w:t xml:space="preserve"> in the event of major economic setbacks</w:t>
      </w:r>
      <w:r>
        <w:rPr>
          <w:lang w:val="en-GB"/>
        </w:rPr>
        <w:t>,</w:t>
      </w:r>
      <w:r w:rsidRPr="007163D9">
        <w:rPr>
          <w:lang w:val="en-GB"/>
        </w:rPr>
        <w:t xml:space="preserve"> and gradually adjust</w:t>
      </w:r>
      <w:r>
        <w:rPr>
          <w:lang w:val="en-GB"/>
        </w:rPr>
        <w:t xml:space="preserve">ing </w:t>
      </w:r>
      <w:r w:rsidRPr="007163D9">
        <w:rPr>
          <w:lang w:val="en-GB"/>
        </w:rPr>
        <w:t>fund spending in the event of a fall in</w:t>
      </w:r>
      <w:r w:rsidRPr="009E3DEF">
        <w:rPr>
          <w:lang w:val="en-GB"/>
        </w:rPr>
        <w:t xml:space="preserve"> </w:t>
      </w:r>
      <w:r w:rsidRPr="00D77F27">
        <w:rPr>
          <w:lang w:val="en-GB"/>
        </w:rPr>
        <w:t>the</w:t>
      </w:r>
      <w:r w:rsidRPr="007163D9">
        <w:rPr>
          <w:lang w:val="en-GB"/>
        </w:rPr>
        <w:t xml:space="preserve"> GPFG. This implies that fund spending should be below the expected real return in good and </w:t>
      </w:r>
      <w:r>
        <w:rPr>
          <w:lang w:val="en-GB"/>
        </w:rPr>
        <w:t>normal times</w:t>
      </w:r>
      <w:r w:rsidRPr="00AC220B">
        <w:rPr>
          <w:lang w:val="en-GB"/>
        </w:rPr>
        <w:t xml:space="preserve">. </w:t>
      </w:r>
      <w:r>
        <w:rPr>
          <w:lang w:val="en-GB"/>
        </w:rPr>
        <w:t>In previous analyses, t</w:t>
      </w:r>
      <w:r w:rsidRPr="00AC220B">
        <w:rPr>
          <w:lang w:val="en-GB"/>
        </w:rPr>
        <w:t xml:space="preserve">he </w:t>
      </w:r>
      <w:r w:rsidRPr="007163D9">
        <w:rPr>
          <w:lang w:val="en-GB"/>
        </w:rPr>
        <w:t>Ministry of Finance</w:t>
      </w:r>
      <w:r>
        <w:rPr>
          <w:lang w:val="en-GB"/>
        </w:rPr>
        <w:t xml:space="preserve"> has</w:t>
      </w:r>
      <w:r w:rsidRPr="007163D9">
        <w:rPr>
          <w:lang w:val="en-GB"/>
        </w:rPr>
        <w:t xml:space="preserve"> estimated that spending 2.7 per cent of the f</w:t>
      </w:r>
      <w:r>
        <w:rPr>
          <w:lang w:val="en-GB"/>
        </w:rPr>
        <w:t>u</w:t>
      </w:r>
      <w:r w:rsidRPr="007163D9">
        <w:rPr>
          <w:lang w:val="en-GB"/>
        </w:rPr>
        <w:t>nd</w:t>
      </w:r>
      <w:r>
        <w:rPr>
          <w:lang w:val="en-GB"/>
        </w:rPr>
        <w:t xml:space="preserve"> </w:t>
      </w:r>
      <w:r w:rsidRPr="007163D9">
        <w:rPr>
          <w:lang w:val="en-GB"/>
        </w:rPr>
        <w:t>in normal times</w:t>
      </w:r>
      <w:r>
        <w:rPr>
          <w:lang w:val="en-GB"/>
        </w:rPr>
        <w:t>, over time</w:t>
      </w:r>
      <w:r w:rsidRPr="00AC220B">
        <w:rPr>
          <w:lang w:val="en-GB"/>
        </w:rPr>
        <w:t xml:space="preserve"> </w:t>
      </w:r>
      <w:r w:rsidRPr="007163D9">
        <w:rPr>
          <w:lang w:val="en-GB"/>
        </w:rPr>
        <w:t xml:space="preserve">results in </w:t>
      </w:r>
      <w:r>
        <w:rPr>
          <w:lang w:val="en-GB"/>
        </w:rPr>
        <w:t xml:space="preserve">a </w:t>
      </w:r>
      <w:r w:rsidRPr="007163D9">
        <w:rPr>
          <w:lang w:val="en-GB"/>
        </w:rPr>
        <w:t xml:space="preserve">fund spending that correspond to the expected real return of 3 percent. </w:t>
      </w:r>
    </w:p>
    <w:p w14:paraId="26791DC5" w14:textId="77777777" w:rsidR="00CB6E05" w:rsidRPr="007163D9" w:rsidRDefault="00CB6E05" w:rsidP="00A43258">
      <w:pPr>
        <w:rPr>
          <w:lang w:val="en-GB"/>
        </w:rPr>
      </w:pPr>
      <w:r w:rsidRPr="007163D9">
        <w:rPr>
          <w:lang w:val="en-GB"/>
        </w:rPr>
        <w:t xml:space="preserve">The budget </w:t>
      </w:r>
      <w:r w:rsidRPr="008B0CFB">
        <w:rPr>
          <w:lang w:val="en-GB"/>
        </w:rPr>
        <w:t xml:space="preserve">proposal assumes a fund value of </w:t>
      </w:r>
      <w:r>
        <w:rPr>
          <w:lang w:val="en-GB"/>
        </w:rPr>
        <w:t xml:space="preserve">NOK </w:t>
      </w:r>
      <w:r w:rsidRPr="008B0CFB">
        <w:rPr>
          <w:lang w:val="en-GB"/>
        </w:rPr>
        <w:t>20,500 billion at the beginning of 2026.</w:t>
      </w:r>
      <w:r w:rsidRPr="008B0CFB">
        <w:rPr>
          <w:rStyle w:val="Fotnotereferanse"/>
          <w:lang w:val="en-GB"/>
        </w:rPr>
        <w:footnoteReference w:id="1"/>
      </w:r>
      <w:r w:rsidRPr="008B0CFB">
        <w:rPr>
          <w:lang w:val="en-GB"/>
        </w:rPr>
        <w:t xml:space="preserve"> This is </w:t>
      </w:r>
      <w:r>
        <w:rPr>
          <w:lang w:val="en-GB"/>
        </w:rPr>
        <w:t xml:space="preserve">NOK </w:t>
      </w:r>
      <w:r w:rsidRPr="008B0CFB">
        <w:rPr>
          <w:lang w:val="en-GB"/>
        </w:rPr>
        <w:t xml:space="preserve">765 billion more than at the beginning of 2025. At the same time, the value of the </w:t>
      </w:r>
      <w:r>
        <w:rPr>
          <w:lang w:val="en-GB"/>
        </w:rPr>
        <w:t xml:space="preserve">GPFG </w:t>
      </w:r>
      <w:r w:rsidRPr="008B0CFB">
        <w:rPr>
          <w:lang w:val="en-GB"/>
        </w:rPr>
        <w:t xml:space="preserve">has fluctuated considerably throughout the year, </w:t>
      </w:r>
      <w:r w:rsidRPr="00CB2750">
        <w:rPr>
          <w:lang w:val="en-GB"/>
        </w:rPr>
        <w:t xml:space="preserve">from </w:t>
      </w:r>
      <w:r>
        <w:rPr>
          <w:lang w:val="en-GB"/>
        </w:rPr>
        <w:t>above</w:t>
      </w:r>
      <w:r w:rsidRPr="00CB2750">
        <w:rPr>
          <w:lang w:val="en-GB"/>
        </w:rPr>
        <w:t xml:space="preserve"> NOK</w:t>
      </w:r>
      <w:r>
        <w:rPr>
          <w:lang w:val="en-GB"/>
        </w:rPr>
        <w:t xml:space="preserve"> </w:t>
      </w:r>
      <w:r w:rsidRPr="008B0CFB">
        <w:rPr>
          <w:lang w:val="en-GB"/>
        </w:rPr>
        <w:t xml:space="preserve">20 000 billion in February to just </w:t>
      </w:r>
      <w:r>
        <w:rPr>
          <w:lang w:val="en-GB"/>
        </w:rPr>
        <w:t>beneath</w:t>
      </w:r>
      <w:r w:rsidRPr="00CB2750">
        <w:rPr>
          <w:lang w:val="en-GB"/>
        </w:rPr>
        <w:t xml:space="preserve"> </w:t>
      </w:r>
      <w:r w:rsidRPr="00CB2750">
        <w:rPr>
          <w:lang w:val="en-US"/>
        </w:rPr>
        <w:t xml:space="preserve">NOK 18 000 billion </w:t>
      </w:r>
      <w:r w:rsidRPr="008B0CFB">
        <w:rPr>
          <w:lang w:val="en-GB"/>
        </w:rPr>
        <w:t>in April</w:t>
      </w:r>
      <w:r>
        <w:rPr>
          <w:lang w:val="en-GB"/>
        </w:rPr>
        <w:t>, before rising again</w:t>
      </w:r>
      <w:r w:rsidRPr="008B0CFB">
        <w:rPr>
          <w:lang w:val="en-GB"/>
        </w:rPr>
        <w:t xml:space="preserve"> during the summer, see </w:t>
      </w:r>
      <w:r>
        <w:rPr>
          <w:lang w:val="en-GB"/>
        </w:rPr>
        <w:t>C</w:t>
      </w:r>
      <w:r w:rsidRPr="008B0CFB">
        <w:rPr>
          <w:lang w:val="en-GB"/>
        </w:rPr>
        <w:t xml:space="preserve">hart 3.5. In recent </w:t>
      </w:r>
      <w:r w:rsidRPr="007163D9">
        <w:rPr>
          <w:lang w:val="en-GB"/>
        </w:rPr>
        <w:t xml:space="preserve">years, the value of the </w:t>
      </w:r>
      <w:r>
        <w:rPr>
          <w:lang w:val="en-GB"/>
        </w:rPr>
        <w:t>GPFG</w:t>
      </w:r>
      <w:r w:rsidRPr="007163D9">
        <w:rPr>
          <w:lang w:val="en-GB"/>
        </w:rPr>
        <w:t xml:space="preserve"> has increased </w:t>
      </w:r>
      <w:r w:rsidRPr="00CB2750">
        <w:rPr>
          <w:lang w:val="en-GB"/>
        </w:rPr>
        <w:t xml:space="preserve">substantially, see </w:t>
      </w:r>
      <w:r>
        <w:rPr>
          <w:lang w:val="en-GB"/>
        </w:rPr>
        <w:t>C</w:t>
      </w:r>
      <w:r w:rsidRPr="00CB2750">
        <w:rPr>
          <w:lang w:val="en-GB"/>
        </w:rPr>
        <w:t xml:space="preserve">hart </w:t>
      </w:r>
      <w:r w:rsidRPr="007163D9">
        <w:rPr>
          <w:lang w:val="en-GB"/>
        </w:rPr>
        <w:t xml:space="preserve">3.6. The value of the fund, measured by its projected value at the beginning of 2026, has more than doubled compared to its value at the beginning of 2020, and has increased by more than </w:t>
      </w:r>
      <w:r w:rsidRPr="00CB2750">
        <w:rPr>
          <w:lang w:val="en-US"/>
        </w:rPr>
        <w:t xml:space="preserve">NOK 4,700 billion since </w:t>
      </w:r>
      <w:r w:rsidRPr="007163D9">
        <w:rPr>
          <w:lang w:val="en-GB"/>
        </w:rPr>
        <w:t xml:space="preserve">the beginning of 2024, where about 80 per cent of the increase is due to nominal returns. As a tool in the discretionary exercise of fiscal policy, it may be useful to study alternative ways of </w:t>
      </w:r>
      <w:r w:rsidRPr="007163D9">
        <w:rPr>
          <w:lang w:val="en-GB"/>
        </w:rPr>
        <w:lastRenderedPageBreak/>
        <w:t>operationalising the long-term guideline, especially during periods of major changes in fund value</w:t>
      </w:r>
      <w:r>
        <w:rPr>
          <w:lang w:val="en-GB"/>
        </w:rPr>
        <w:t>.</w:t>
      </w:r>
    </w:p>
    <w:p w14:paraId="02169DC1" w14:textId="712CDE86" w:rsidR="00CB6E05" w:rsidRPr="007163D9" w:rsidRDefault="00562990" w:rsidP="00CB6E05">
      <w:pPr>
        <w:rPr>
          <w:lang w:val="en-GB"/>
        </w:rPr>
      </w:pPr>
      <w:r>
        <w:rPr>
          <w:noProof/>
          <w:lang w:val="en-GB"/>
        </w:rPr>
        <w:drawing>
          <wp:inline distT="0" distB="0" distL="0" distR="0" wp14:anchorId="2E2F8FC3" wp14:editId="49F96DB6">
            <wp:extent cx="2414016" cy="2384077"/>
            <wp:effectExtent l="0" t="0" r="5715" b="0"/>
            <wp:docPr id="1830568138" name="Bilde 6" descr="Chart 3.5 Market value of the Government Pension Fund Global. NOK billion. Jan. 1–Sept. 30,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68138" name="Bilde 6" descr="Chart 3.5 Market value of the Government Pension Fund Global. NOK billion. Jan. 1–Sept. 30, 2025&#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9946" cy="2389933"/>
                    </a:xfrm>
                    <a:prstGeom prst="rect">
                      <a:avLst/>
                    </a:prstGeom>
                    <a:noFill/>
                    <a:ln>
                      <a:noFill/>
                    </a:ln>
                  </pic:spPr>
                </pic:pic>
              </a:graphicData>
            </a:graphic>
          </wp:inline>
        </w:drawing>
      </w:r>
    </w:p>
    <w:p w14:paraId="38AEB9AC" w14:textId="77777777" w:rsidR="00CB6E05" w:rsidRPr="007163D9" w:rsidRDefault="00CB6E05" w:rsidP="00E1651D">
      <w:pPr>
        <w:pStyle w:val="avsnitt-tittel"/>
        <w:rPr>
          <w:lang w:val="en-GB"/>
        </w:rPr>
      </w:pPr>
      <w:r>
        <w:rPr>
          <w:lang w:val="en-GB"/>
        </w:rPr>
        <w:t xml:space="preserve">Chart 3.5 </w:t>
      </w:r>
      <w:r w:rsidRPr="007163D9">
        <w:rPr>
          <w:lang w:val="en-GB"/>
        </w:rPr>
        <w:t>Market value of the Government Pension Fund Global. NOK billion. Jan. 1–Sept. 30, 2025</w:t>
      </w:r>
    </w:p>
    <w:p w14:paraId="2215DD0C" w14:textId="77777777" w:rsidR="00CB6E05" w:rsidRPr="007163D9" w:rsidRDefault="00CB6E05" w:rsidP="00E1651D">
      <w:pPr>
        <w:pStyle w:val="Kilde"/>
        <w:rPr>
          <w:lang w:val="en-GB"/>
        </w:rPr>
      </w:pPr>
      <w:r w:rsidRPr="007163D9">
        <w:rPr>
          <w:lang w:val="en-GB"/>
        </w:rPr>
        <w:t xml:space="preserve">Sources: </w:t>
      </w:r>
      <w:proofErr w:type="spellStart"/>
      <w:r w:rsidRPr="007163D9">
        <w:rPr>
          <w:lang w:val="en-GB"/>
        </w:rPr>
        <w:t>Norges</w:t>
      </w:r>
      <w:proofErr w:type="spellEnd"/>
      <w:r w:rsidRPr="007163D9">
        <w:rPr>
          <w:lang w:val="en-GB"/>
        </w:rPr>
        <w:t xml:space="preserve"> Bank Investment Management and the Ministry of Finance.</w:t>
      </w:r>
    </w:p>
    <w:p w14:paraId="3BCDCC82" w14:textId="11F214C8" w:rsidR="00CB6E05" w:rsidRPr="007163D9" w:rsidRDefault="00562990" w:rsidP="00562990">
      <w:pPr>
        <w:keepNext/>
        <w:rPr>
          <w:lang w:val="en-GB"/>
        </w:rPr>
      </w:pPr>
      <w:r>
        <w:rPr>
          <w:noProof/>
          <w:lang w:val="en-GB"/>
        </w:rPr>
        <w:lastRenderedPageBreak/>
        <w:drawing>
          <wp:inline distT="0" distB="0" distL="0" distR="0" wp14:anchorId="6E9A1658" wp14:editId="3999525C">
            <wp:extent cx="2712232" cy="2882189"/>
            <wp:effectExtent l="0" t="0" r="0" b="0"/>
            <wp:docPr id="1886439273" name="Bilde 7" descr="Chart 3.6 Contribution to change in the market value of the Government Pension Fund Global. NOK billion. 1996–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39273" name="Bilde 7" descr="Chart 3.6 Contribution to change in the market value of the Government Pension Fund Global. NOK billion. 1996–2025&#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15550" cy="2885715"/>
                    </a:xfrm>
                    <a:prstGeom prst="rect">
                      <a:avLst/>
                    </a:prstGeom>
                    <a:noFill/>
                    <a:ln>
                      <a:noFill/>
                    </a:ln>
                  </pic:spPr>
                </pic:pic>
              </a:graphicData>
            </a:graphic>
          </wp:inline>
        </w:drawing>
      </w:r>
    </w:p>
    <w:p w14:paraId="612B6513" w14:textId="77777777" w:rsidR="00CB6E05" w:rsidRPr="007163D9" w:rsidRDefault="00CB6E05" w:rsidP="00E1651D">
      <w:pPr>
        <w:pStyle w:val="avsnitt-tittel"/>
        <w:rPr>
          <w:lang w:val="en-GB"/>
        </w:rPr>
      </w:pPr>
      <w:r>
        <w:rPr>
          <w:lang w:val="en-GB"/>
        </w:rPr>
        <w:t xml:space="preserve">Chart 3.6 </w:t>
      </w:r>
      <w:r w:rsidRPr="007163D9">
        <w:rPr>
          <w:lang w:val="en-GB"/>
        </w:rPr>
        <w:t>Contribution to change in the market value of the Government Pension Fund Global. NOK billion. 1996–2025</w:t>
      </w:r>
    </w:p>
    <w:p w14:paraId="58D17F8A" w14:textId="77777777" w:rsidR="00CB6E05" w:rsidRPr="007163D9" w:rsidRDefault="00CB6E05" w:rsidP="00E1651D">
      <w:pPr>
        <w:pStyle w:val="Note"/>
        <w:rPr>
          <w:lang w:val="en-GB"/>
        </w:rPr>
      </w:pPr>
      <w:r w:rsidRPr="007163D9">
        <w:rPr>
          <w:lang w:val="en-GB"/>
        </w:rPr>
        <w:t>Fund value as of 31.12. For 2025, the market value is shown as of the first half of the year. The nominal rate of return is net of management costs.</w:t>
      </w:r>
    </w:p>
    <w:p w14:paraId="7816B1B6" w14:textId="77777777" w:rsidR="00CB6E05" w:rsidRPr="007163D9" w:rsidRDefault="00CB6E05" w:rsidP="00E1651D">
      <w:pPr>
        <w:pStyle w:val="Kilde"/>
        <w:rPr>
          <w:lang w:val="en-GB"/>
        </w:rPr>
      </w:pPr>
      <w:r w:rsidRPr="007163D9">
        <w:rPr>
          <w:lang w:val="en-GB"/>
        </w:rPr>
        <w:t xml:space="preserve">Sources: </w:t>
      </w:r>
      <w:proofErr w:type="spellStart"/>
      <w:r w:rsidRPr="007163D9">
        <w:rPr>
          <w:lang w:val="en-GB"/>
        </w:rPr>
        <w:t>Norges</w:t>
      </w:r>
      <w:proofErr w:type="spellEnd"/>
      <w:r w:rsidRPr="007163D9">
        <w:rPr>
          <w:lang w:val="en-GB"/>
        </w:rPr>
        <w:t xml:space="preserve"> Bank Investment Management, Statistics Norway and the Ministry of Finance.</w:t>
      </w:r>
    </w:p>
    <w:p w14:paraId="19AC987E" w14:textId="77777777" w:rsidR="00CB6E05" w:rsidRPr="007163D9" w:rsidRDefault="00CB6E05" w:rsidP="00A43258">
      <w:pPr>
        <w:rPr>
          <w:lang w:val="en-GB"/>
        </w:rPr>
      </w:pPr>
      <w:r w:rsidRPr="007163D9">
        <w:rPr>
          <w:lang w:val="en-GB"/>
        </w:rPr>
        <w:t>The overall economic situation indicates that there is no need for fiscal policy to boost economic activity in 2026.</w:t>
      </w:r>
      <w:r w:rsidRPr="007163D9">
        <w:rPr>
          <w:rStyle w:val="Fotnotereferanse"/>
          <w:lang w:val="en-GB"/>
        </w:rPr>
        <w:footnoteReference w:id="2"/>
      </w:r>
      <w:r w:rsidRPr="007163D9">
        <w:rPr>
          <w:lang w:val="en-GB"/>
        </w:rPr>
        <w:t xml:space="preserve"> Calculations based on the Ministry of Finance's macroeconomic models </w:t>
      </w:r>
      <w:r w:rsidRPr="00D90226">
        <w:rPr>
          <w:lang w:val="en-GB"/>
        </w:rPr>
        <w:t xml:space="preserve">KVARTS and NORA indicate that the fiscal policy </w:t>
      </w:r>
      <w:r w:rsidRPr="00F018AA">
        <w:rPr>
          <w:lang w:val="en-US"/>
        </w:rPr>
        <w:t xml:space="preserve">stance for </w:t>
      </w:r>
      <w:r w:rsidRPr="00D90226">
        <w:rPr>
          <w:lang w:val="en-GB"/>
        </w:rPr>
        <w:t>2026 will have a</w:t>
      </w:r>
      <w:r>
        <w:rPr>
          <w:lang w:val="en-GB"/>
        </w:rPr>
        <w:t>n</w:t>
      </w:r>
      <w:r w:rsidRPr="00D90226">
        <w:rPr>
          <w:lang w:val="en-GB"/>
        </w:rPr>
        <w:t xml:space="preserve"> approximately neutral</w:t>
      </w:r>
      <w:r w:rsidRPr="00F018AA">
        <w:rPr>
          <w:lang w:val="en-US"/>
        </w:rPr>
        <w:t xml:space="preserve"> effect on activity in</w:t>
      </w:r>
      <w:r>
        <w:rPr>
          <w:lang w:val="en-US"/>
        </w:rPr>
        <w:t xml:space="preserve"> the economy in</w:t>
      </w:r>
      <w:r w:rsidRPr="00F018AA">
        <w:rPr>
          <w:lang w:val="en-US"/>
        </w:rPr>
        <w:t xml:space="preserve"> </w:t>
      </w:r>
      <w:r w:rsidRPr="00D90226">
        <w:rPr>
          <w:lang w:val="en-GB"/>
        </w:rPr>
        <w:t>2026.</w:t>
      </w:r>
      <w:r w:rsidRPr="00D90226">
        <w:rPr>
          <w:rStyle w:val="Fotnotereferanse"/>
          <w:lang w:val="en-GB"/>
        </w:rPr>
        <w:footnoteReference w:id="3"/>
      </w:r>
      <w:r w:rsidRPr="00D90226">
        <w:rPr>
          <w:lang w:val="en-GB"/>
        </w:rPr>
        <w:t xml:space="preserve"> The budget proposal for 2026 is estimated to increase mainland Norway</w:t>
      </w:r>
      <w:r>
        <w:rPr>
          <w:lang w:val="en-GB"/>
        </w:rPr>
        <w:t xml:space="preserve"> </w:t>
      </w:r>
      <w:r w:rsidRPr="00D90226">
        <w:rPr>
          <w:lang w:val="en-GB"/>
        </w:rPr>
        <w:t xml:space="preserve">GDP by 0.1 per </w:t>
      </w:r>
      <w:r w:rsidRPr="007163D9">
        <w:rPr>
          <w:lang w:val="en-GB"/>
        </w:rPr>
        <w:t xml:space="preserve">cent, see </w:t>
      </w:r>
      <w:r>
        <w:rPr>
          <w:lang w:val="en-GB"/>
        </w:rPr>
        <w:t>T</w:t>
      </w:r>
      <w:r w:rsidRPr="007163D9">
        <w:rPr>
          <w:lang w:val="en-GB"/>
        </w:rPr>
        <w:t xml:space="preserve">able 3.2. </w:t>
      </w:r>
    </w:p>
    <w:p w14:paraId="0D62D98A" w14:textId="77777777" w:rsidR="00CB6E05" w:rsidRPr="007163D9" w:rsidRDefault="00CB6E05" w:rsidP="00E1651D">
      <w:pPr>
        <w:pStyle w:val="avsnitt-tittel"/>
        <w:rPr>
          <w:lang w:val="en-GB"/>
        </w:rPr>
      </w:pPr>
      <w:r>
        <w:rPr>
          <w:lang w:val="en-GB"/>
        </w:rPr>
        <w:lastRenderedPageBreak/>
        <w:t xml:space="preserve">Table 3.2 </w:t>
      </w:r>
      <w:r w:rsidRPr="007163D9">
        <w:rPr>
          <w:lang w:val="en-GB"/>
        </w:rPr>
        <w:t>Budget effects on mainland Norway GDP according to KVARTS and NORA.</w:t>
      </w:r>
      <w:r w:rsidRPr="007163D9">
        <w:rPr>
          <w:rStyle w:val="skrift-hevet"/>
          <w:lang w:val="en-GB"/>
        </w:rPr>
        <w:t>1</w:t>
      </w:r>
      <w:r w:rsidRPr="007163D9">
        <w:rPr>
          <w:lang w:val="en-GB"/>
        </w:rPr>
        <w:t xml:space="preserve"> per cent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40"/>
        <w:gridCol w:w="820"/>
        <w:gridCol w:w="820"/>
        <w:gridCol w:w="820"/>
        <w:gridCol w:w="820"/>
      </w:tblGrid>
      <w:tr w:rsidR="00CB6E05" w:rsidRPr="004E0671" w14:paraId="12189F1B" w14:textId="77777777" w:rsidTr="00C7062A">
        <w:trPr>
          <w:trHeight w:val="600"/>
        </w:trPr>
        <w:tc>
          <w:tcPr>
            <w:tcW w:w="62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24404CB7" w14:textId="77777777" w:rsidR="00CB6E05" w:rsidRPr="007163D9" w:rsidRDefault="00CB6E05" w:rsidP="00E1651D">
            <w:pPr>
              <w:rPr>
                <w:lang w:val="en-GB"/>
              </w:rPr>
            </w:pPr>
          </w:p>
        </w:tc>
        <w:tc>
          <w:tcPr>
            <w:tcW w:w="328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51CBCA31" w14:textId="77777777" w:rsidR="00CB6E05" w:rsidRPr="007163D9" w:rsidRDefault="00CB6E05" w:rsidP="008E7405">
            <w:pPr>
              <w:jc w:val="right"/>
              <w:rPr>
                <w:lang w:val="en-GB"/>
              </w:rPr>
            </w:pPr>
            <w:r w:rsidRPr="007163D9">
              <w:rPr>
                <w:rStyle w:val="kursiv"/>
                <w:lang w:val="en-GB"/>
              </w:rPr>
              <w:t>Effects on the level of mainland Norway</w:t>
            </w:r>
            <w:r>
              <w:rPr>
                <w:rStyle w:val="kursiv"/>
                <w:lang w:val="en-GB"/>
              </w:rPr>
              <w:t xml:space="preserve"> </w:t>
            </w:r>
            <w:r w:rsidRPr="007163D9">
              <w:rPr>
                <w:rStyle w:val="kursiv"/>
                <w:lang w:val="en-GB"/>
              </w:rPr>
              <w:t>GDP</w:t>
            </w:r>
          </w:p>
        </w:tc>
      </w:tr>
      <w:tr w:rsidR="00CB6E05" w:rsidRPr="0027241E" w14:paraId="4A0FF4C9" w14:textId="77777777" w:rsidTr="00C7062A">
        <w:trPr>
          <w:trHeight w:val="360"/>
        </w:trPr>
        <w:tc>
          <w:tcPr>
            <w:tcW w:w="6240" w:type="dxa"/>
            <w:vMerge/>
            <w:tcBorders>
              <w:top w:val="single" w:sz="4" w:space="0" w:color="000000"/>
              <w:left w:val="nil"/>
              <w:bottom w:val="single" w:sz="4" w:space="0" w:color="000000"/>
              <w:right w:val="nil"/>
            </w:tcBorders>
          </w:tcPr>
          <w:p w14:paraId="559C9876" w14:textId="77777777" w:rsidR="00CB6E05" w:rsidRPr="007163D9" w:rsidRDefault="00CB6E05" w:rsidP="00E1651D">
            <w:pPr>
              <w:rPr>
                <w:lang w:val="en-GB"/>
              </w:rPr>
            </w:pP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1D5E8" w14:textId="77777777" w:rsidR="00CB6E05" w:rsidRPr="007163D9" w:rsidRDefault="00CB6E05" w:rsidP="008E7405">
            <w:pPr>
              <w:jc w:val="right"/>
              <w:rPr>
                <w:lang w:val="en-GB"/>
              </w:rPr>
            </w:pPr>
            <w:r w:rsidRPr="007163D9">
              <w:rPr>
                <w:lang w:val="en-GB"/>
              </w:rPr>
              <w:t>2024</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C82CD4" w14:textId="77777777" w:rsidR="00CB6E05" w:rsidRPr="007163D9" w:rsidRDefault="00CB6E05" w:rsidP="008E7405">
            <w:pPr>
              <w:jc w:val="right"/>
              <w:rPr>
                <w:lang w:val="en-GB"/>
              </w:rPr>
            </w:pPr>
            <w:r w:rsidRPr="007163D9">
              <w:rPr>
                <w:lang w:val="en-GB"/>
              </w:rPr>
              <w:t>2025</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6C8B1E" w14:textId="77777777" w:rsidR="00CB6E05" w:rsidRPr="007163D9" w:rsidRDefault="00CB6E05" w:rsidP="008E7405">
            <w:pPr>
              <w:jc w:val="right"/>
              <w:rPr>
                <w:lang w:val="en-GB"/>
              </w:rPr>
            </w:pPr>
            <w:r w:rsidRPr="007163D9">
              <w:rPr>
                <w:lang w:val="en-GB"/>
              </w:rPr>
              <w:t>2026</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1F063" w14:textId="77777777" w:rsidR="00CB6E05" w:rsidRPr="007163D9" w:rsidRDefault="00CB6E05" w:rsidP="008E7405">
            <w:pPr>
              <w:jc w:val="right"/>
              <w:rPr>
                <w:lang w:val="en-GB"/>
              </w:rPr>
            </w:pPr>
            <w:r w:rsidRPr="007163D9">
              <w:rPr>
                <w:lang w:val="en-GB"/>
              </w:rPr>
              <w:t>2027</w:t>
            </w:r>
          </w:p>
        </w:tc>
      </w:tr>
      <w:tr w:rsidR="00CB6E05" w:rsidRPr="0027241E" w14:paraId="2255B198" w14:textId="77777777" w:rsidTr="00C7062A">
        <w:trPr>
          <w:trHeight w:val="380"/>
        </w:trPr>
        <w:tc>
          <w:tcPr>
            <w:tcW w:w="6240" w:type="dxa"/>
            <w:tcBorders>
              <w:top w:val="single" w:sz="4" w:space="0" w:color="000000"/>
              <w:left w:val="nil"/>
              <w:bottom w:val="nil"/>
              <w:right w:val="nil"/>
            </w:tcBorders>
            <w:tcMar>
              <w:top w:w="128" w:type="dxa"/>
              <w:left w:w="43" w:type="dxa"/>
              <w:bottom w:w="43" w:type="dxa"/>
              <w:right w:w="43" w:type="dxa"/>
            </w:tcMar>
          </w:tcPr>
          <w:p w14:paraId="612E8F5F" w14:textId="77777777" w:rsidR="00CB6E05" w:rsidRPr="007163D9" w:rsidRDefault="00CB6E05" w:rsidP="00E1651D">
            <w:pPr>
              <w:rPr>
                <w:lang w:val="en-GB"/>
              </w:rPr>
            </w:pPr>
            <w:r w:rsidRPr="007163D9">
              <w:rPr>
                <w:lang w:val="en-GB"/>
              </w:rPr>
              <w:t>KVARTS</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523F0CDF" w14:textId="77777777" w:rsidR="00CB6E05" w:rsidRPr="007163D9" w:rsidRDefault="00CB6E05" w:rsidP="008E7405">
            <w:pPr>
              <w:jc w:val="right"/>
              <w:rPr>
                <w:lang w:val="en-GB"/>
              </w:rPr>
            </w:pP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57DDAD4A" w14:textId="77777777" w:rsidR="00CB6E05" w:rsidRPr="007163D9" w:rsidRDefault="00CB6E05" w:rsidP="008E7405">
            <w:pPr>
              <w:jc w:val="right"/>
              <w:rPr>
                <w:lang w:val="en-GB"/>
              </w:rPr>
            </w:pP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6E4DC766" w14:textId="77777777" w:rsidR="00CB6E05" w:rsidRPr="007163D9" w:rsidRDefault="00CB6E05" w:rsidP="008E7405">
            <w:pPr>
              <w:jc w:val="right"/>
              <w:rPr>
                <w:lang w:val="en-GB"/>
              </w:rPr>
            </w:pP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38E773E4" w14:textId="77777777" w:rsidR="00CB6E05" w:rsidRPr="007163D9" w:rsidRDefault="00CB6E05" w:rsidP="008E7405">
            <w:pPr>
              <w:jc w:val="right"/>
              <w:rPr>
                <w:lang w:val="en-GB"/>
              </w:rPr>
            </w:pPr>
          </w:p>
        </w:tc>
      </w:tr>
      <w:tr w:rsidR="00CB6E05" w:rsidRPr="0027241E" w14:paraId="7F538623" w14:textId="77777777" w:rsidTr="00C7062A">
        <w:trPr>
          <w:trHeight w:val="380"/>
        </w:trPr>
        <w:tc>
          <w:tcPr>
            <w:tcW w:w="6240" w:type="dxa"/>
            <w:tcBorders>
              <w:top w:val="nil"/>
              <w:left w:val="nil"/>
              <w:bottom w:val="nil"/>
              <w:right w:val="nil"/>
            </w:tcBorders>
            <w:tcMar>
              <w:top w:w="128" w:type="dxa"/>
              <w:left w:w="43" w:type="dxa"/>
              <w:bottom w:w="43" w:type="dxa"/>
              <w:right w:w="43" w:type="dxa"/>
            </w:tcMar>
          </w:tcPr>
          <w:p w14:paraId="4C8ADDCC" w14:textId="7BA28103" w:rsidR="00CB6E05" w:rsidRPr="007163D9" w:rsidRDefault="00CB6E05" w:rsidP="00E1651D">
            <w:pPr>
              <w:rPr>
                <w:lang w:val="en-GB"/>
              </w:rPr>
            </w:pPr>
            <w:r w:rsidRPr="007163D9">
              <w:rPr>
                <w:lang w:val="en-GB"/>
              </w:rPr>
              <w:t>Budget proposal for 2024</w:t>
            </w:r>
            <w:r w:rsidR="008E7405">
              <w:rPr>
                <w:lang w:val="en-GB"/>
              </w:rPr>
              <w:tab/>
            </w:r>
          </w:p>
        </w:tc>
        <w:tc>
          <w:tcPr>
            <w:tcW w:w="820" w:type="dxa"/>
            <w:tcBorders>
              <w:top w:val="nil"/>
              <w:left w:val="nil"/>
              <w:bottom w:val="nil"/>
              <w:right w:val="nil"/>
            </w:tcBorders>
            <w:tcMar>
              <w:top w:w="128" w:type="dxa"/>
              <w:left w:w="43" w:type="dxa"/>
              <w:bottom w:w="43" w:type="dxa"/>
              <w:right w:w="43" w:type="dxa"/>
            </w:tcMar>
            <w:vAlign w:val="bottom"/>
          </w:tcPr>
          <w:p w14:paraId="066BC330" w14:textId="77777777" w:rsidR="00CB6E05" w:rsidRPr="007163D9" w:rsidRDefault="00CB6E05" w:rsidP="008E7405">
            <w:pPr>
              <w:jc w:val="right"/>
              <w:rPr>
                <w:lang w:val="en-GB"/>
              </w:rPr>
            </w:pPr>
            <w:r w:rsidRPr="007163D9">
              <w:rPr>
                <w:lang w:val="en-GB"/>
              </w:rPr>
              <w:t>0,5</w:t>
            </w:r>
          </w:p>
        </w:tc>
        <w:tc>
          <w:tcPr>
            <w:tcW w:w="820" w:type="dxa"/>
            <w:tcBorders>
              <w:top w:val="nil"/>
              <w:left w:val="nil"/>
              <w:bottom w:val="nil"/>
              <w:right w:val="nil"/>
            </w:tcBorders>
            <w:tcMar>
              <w:top w:w="128" w:type="dxa"/>
              <w:left w:w="43" w:type="dxa"/>
              <w:bottom w:w="43" w:type="dxa"/>
              <w:right w:w="43" w:type="dxa"/>
            </w:tcMar>
            <w:vAlign w:val="bottom"/>
          </w:tcPr>
          <w:p w14:paraId="6F2BC760" w14:textId="77777777" w:rsidR="00CB6E05" w:rsidRPr="007163D9" w:rsidRDefault="00CB6E05" w:rsidP="008E7405">
            <w:pPr>
              <w:jc w:val="right"/>
              <w:rPr>
                <w:lang w:val="en-GB"/>
              </w:rPr>
            </w:pPr>
            <w:r w:rsidRPr="007163D9">
              <w:rPr>
                <w:lang w:val="en-GB"/>
              </w:rPr>
              <w:t>0,8</w:t>
            </w:r>
          </w:p>
        </w:tc>
        <w:tc>
          <w:tcPr>
            <w:tcW w:w="820" w:type="dxa"/>
            <w:tcBorders>
              <w:top w:val="nil"/>
              <w:left w:val="nil"/>
              <w:bottom w:val="nil"/>
              <w:right w:val="nil"/>
            </w:tcBorders>
            <w:tcMar>
              <w:top w:w="128" w:type="dxa"/>
              <w:left w:w="43" w:type="dxa"/>
              <w:bottom w:w="43" w:type="dxa"/>
              <w:right w:w="43" w:type="dxa"/>
            </w:tcMar>
            <w:vAlign w:val="bottom"/>
          </w:tcPr>
          <w:p w14:paraId="7D8C9DE4" w14:textId="77777777" w:rsidR="00CB6E05" w:rsidRPr="007163D9" w:rsidRDefault="00CB6E05" w:rsidP="008E7405">
            <w:pPr>
              <w:jc w:val="right"/>
              <w:rPr>
                <w:lang w:val="en-GB"/>
              </w:rPr>
            </w:pPr>
            <w:r w:rsidRPr="007163D9">
              <w:rPr>
                <w:lang w:val="en-GB"/>
              </w:rPr>
              <w:t>1,1</w:t>
            </w:r>
          </w:p>
        </w:tc>
        <w:tc>
          <w:tcPr>
            <w:tcW w:w="820" w:type="dxa"/>
            <w:tcBorders>
              <w:top w:val="nil"/>
              <w:left w:val="nil"/>
              <w:bottom w:val="nil"/>
              <w:right w:val="nil"/>
            </w:tcBorders>
            <w:tcMar>
              <w:top w:w="128" w:type="dxa"/>
              <w:left w:w="43" w:type="dxa"/>
              <w:bottom w:w="43" w:type="dxa"/>
              <w:right w:w="43" w:type="dxa"/>
            </w:tcMar>
            <w:vAlign w:val="bottom"/>
          </w:tcPr>
          <w:p w14:paraId="169222F3" w14:textId="77777777" w:rsidR="00CB6E05" w:rsidRPr="007163D9" w:rsidRDefault="00CB6E05" w:rsidP="008E7405">
            <w:pPr>
              <w:jc w:val="right"/>
              <w:rPr>
                <w:lang w:val="en-GB"/>
              </w:rPr>
            </w:pPr>
            <w:r w:rsidRPr="007163D9">
              <w:rPr>
                <w:lang w:val="en-GB"/>
              </w:rPr>
              <w:t>1,3</w:t>
            </w:r>
          </w:p>
        </w:tc>
      </w:tr>
      <w:tr w:rsidR="00CB6E05" w:rsidRPr="0027241E" w14:paraId="4C5D567D" w14:textId="77777777" w:rsidTr="00C7062A">
        <w:trPr>
          <w:trHeight w:val="380"/>
        </w:trPr>
        <w:tc>
          <w:tcPr>
            <w:tcW w:w="6240" w:type="dxa"/>
            <w:tcBorders>
              <w:top w:val="nil"/>
              <w:left w:val="nil"/>
              <w:bottom w:val="nil"/>
              <w:right w:val="nil"/>
            </w:tcBorders>
            <w:tcMar>
              <w:top w:w="128" w:type="dxa"/>
              <w:left w:w="43" w:type="dxa"/>
              <w:bottom w:w="43" w:type="dxa"/>
              <w:right w:w="43" w:type="dxa"/>
            </w:tcMar>
          </w:tcPr>
          <w:p w14:paraId="424DDFF4" w14:textId="39A49633" w:rsidR="00CB6E05" w:rsidRPr="007163D9" w:rsidRDefault="00CB6E05" w:rsidP="00E1651D">
            <w:pPr>
              <w:rPr>
                <w:lang w:val="en-GB"/>
              </w:rPr>
            </w:pPr>
            <w:r w:rsidRPr="007163D9">
              <w:rPr>
                <w:lang w:val="en-GB"/>
              </w:rPr>
              <w:t>Budget proposal for 2025</w:t>
            </w:r>
            <w:r w:rsidR="008E7405">
              <w:rPr>
                <w:lang w:val="en-GB"/>
              </w:rPr>
              <w:tab/>
            </w:r>
          </w:p>
        </w:tc>
        <w:tc>
          <w:tcPr>
            <w:tcW w:w="820" w:type="dxa"/>
            <w:tcBorders>
              <w:top w:val="nil"/>
              <w:left w:val="nil"/>
              <w:bottom w:val="nil"/>
              <w:right w:val="nil"/>
            </w:tcBorders>
            <w:tcMar>
              <w:top w:w="128" w:type="dxa"/>
              <w:left w:w="43" w:type="dxa"/>
              <w:bottom w:w="43" w:type="dxa"/>
              <w:right w:w="43" w:type="dxa"/>
            </w:tcMar>
            <w:vAlign w:val="bottom"/>
          </w:tcPr>
          <w:p w14:paraId="40957B91" w14:textId="77777777" w:rsidR="00CB6E05" w:rsidRPr="007163D9" w:rsidRDefault="00CB6E05" w:rsidP="008E7405">
            <w:pPr>
              <w:jc w:val="right"/>
              <w:rPr>
                <w:lang w:val="en-GB"/>
              </w:rPr>
            </w:pPr>
          </w:p>
        </w:tc>
        <w:tc>
          <w:tcPr>
            <w:tcW w:w="820" w:type="dxa"/>
            <w:tcBorders>
              <w:top w:val="nil"/>
              <w:left w:val="nil"/>
              <w:bottom w:val="nil"/>
              <w:right w:val="nil"/>
            </w:tcBorders>
            <w:tcMar>
              <w:top w:w="128" w:type="dxa"/>
              <w:left w:w="43" w:type="dxa"/>
              <w:bottom w:w="43" w:type="dxa"/>
              <w:right w:w="43" w:type="dxa"/>
            </w:tcMar>
            <w:vAlign w:val="bottom"/>
          </w:tcPr>
          <w:p w14:paraId="41B2410B" w14:textId="77777777" w:rsidR="00CB6E05" w:rsidRPr="007163D9" w:rsidRDefault="00CB6E05" w:rsidP="008E7405">
            <w:pPr>
              <w:jc w:val="right"/>
              <w:rPr>
                <w:lang w:val="en-GB"/>
              </w:rPr>
            </w:pPr>
            <w:r w:rsidRPr="007163D9">
              <w:rPr>
                <w:lang w:val="en-GB"/>
              </w:rPr>
              <w:t>0,2</w:t>
            </w:r>
          </w:p>
        </w:tc>
        <w:tc>
          <w:tcPr>
            <w:tcW w:w="820" w:type="dxa"/>
            <w:tcBorders>
              <w:top w:val="nil"/>
              <w:left w:val="nil"/>
              <w:bottom w:val="nil"/>
              <w:right w:val="nil"/>
            </w:tcBorders>
            <w:tcMar>
              <w:top w:w="128" w:type="dxa"/>
              <w:left w:w="43" w:type="dxa"/>
              <w:bottom w:w="43" w:type="dxa"/>
              <w:right w:w="43" w:type="dxa"/>
            </w:tcMar>
            <w:vAlign w:val="bottom"/>
          </w:tcPr>
          <w:p w14:paraId="6E7614E4" w14:textId="77777777" w:rsidR="00CB6E05" w:rsidRPr="007163D9" w:rsidRDefault="00CB6E05" w:rsidP="008E7405">
            <w:pPr>
              <w:jc w:val="right"/>
              <w:rPr>
                <w:lang w:val="en-GB"/>
              </w:rPr>
            </w:pPr>
            <w:r w:rsidRPr="007163D9">
              <w:rPr>
                <w:lang w:val="en-GB"/>
              </w:rPr>
              <w:t>0,3</w:t>
            </w:r>
          </w:p>
        </w:tc>
        <w:tc>
          <w:tcPr>
            <w:tcW w:w="820" w:type="dxa"/>
            <w:tcBorders>
              <w:top w:val="nil"/>
              <w:left w:val="nil"/>
              <w:bottom w:val="nil"/>
              <w:right w:val="nil"/>
            </w:tcBorders>
            <w:tcMar>
              <w:top w:w="128" w:type="dxa"/>
              <w:left w:w="43" w:type="dxa"/>
              <w:bottom w:w="43" w:type="dxa"/>
              <w:right w:w="43" w:type="dxa"/>
            </w:tcMar>
            <w:vAlign w:val="bottom"/>
          </w:tcPr>
          <w:p w14:paraId="430C5D1F" w14:textId="77777777" w:rsidR="00CB6E05" w:rsidRPr="007163D9" w:rsidRDefault="00CB6E05" w:rsidP="008E7405">
            <w:pPr>
              <w:jc w:val="right"/>
              <w:rPr>
                <w:lang w:val="en-GB"/>
              </w:rPr>
            </w:pPr>
            <w:r w:rsidRPr="007163D9">
              <w:rPr>
                <w:lang w:val="en-GB"/>
              </w:rPr>
              <w:t>0,4</w:t>
            </w:r>
          </w:p>
        </w:tc>
      </w:tr>
      <w:tr w:rsidR="00CB6E05" w:rsidRPr="0027241E" w14:paraId="68965097" w14:textId="77777777" w:rsidTr="00C7062A">
        <w:trPr>
          <w:trHeight w:val="380"/>
        </w:trPr>
        <w:tc>
          <w:tcPr>
            <w:tcW w:w="6240" w:type="dxa"/>
            <w:tcBorders>
              <w:top w:val="nil"/>
              <w:left w:val="nil"/>
              <w:bottom w:val="single" w:sz="4" w:space="0" w:color="000000"/>
              <w:right w:val="nil"/>
            </w:tcBorders>
            <w:tcMar>
              <w:top w:w="128" w:type="dxa"/>
              <w:left w:w="43" w:type="dxa"/>
              <w:bottom w:w="43" w:type="dxa"/>
              <w:right w:w="43" w:type="dxa"/>
            </w:tcMar>
          </w:tcPr>
          <w:p w14:paraId="33CBC64A" w14:textId="2A721CBF" w:rsidR="00CB6E05" w:rsidRPr="007163D9" w:rsidRDefault="00CB6E05" w:rsidP="00E1651D">
            <w:pPr>
              <w:rPr>
                <w:lang w:val="en-GB"/>
              </w:rPr>
            </w:pPr>
            <w:r w:rsidRPr="007163D9">
              <w:rPr>
                <w:lang w:val="en-GB"/>
              </w:rPr>
              <w:t>Budget proposal for 2026</w:t>
            </w:r>
            <w:r w:rsidR="008E7405">
              <w:rPr>
                <w:lang w:val="en-GB"/>
              </w:rPr>
              <w:tab/>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B82C64C" w14:textId="77777777" w:rsidR="00CB6E05" w:rsidRPr="007163D9" w:rsidRDefault="00CB6E05" w:rsidP="008E7405">
            <w:pPr>
              <w:jc w:val="right"/>
              <w:rPr>
                <w:lang w:val="en-GB"/>
              </w:rPr>
            </w:pP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52FE1B0A" w14:textId="77777777" w:rsidR="00CB6E05" w:rsidRPr="007163D9" w:rsidRDefault="00CB6E05" w:rsidP="008E7405">
            <w:pPr>
              <w:jc w:val="right"/>
              <w:rPr>
                <w:lang w:val="en-GB"/>
              </w:rPr>
            </w:pP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796028C5" w14:textId="77777777" w:rsidR="00CB6E05" w:rsidRPr="007163D9" w:rsidRDefault="00CB6E05" w:rsidP="008E7405">
            <w:pPr>
              <w:jc w:val="right"/>
              <w:rPr>
                <w:lang w:val="en-GB"/>
              </w:rPr>
            </w:pPr>
            <w:r w:rsidRPr="007163D9">
              <w:rPr>
                <w:lang w:val="en-GB"/>
              </w:rPr>
              <w:t>0,1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7908FB1C" w14:textId="77777777" w:rsidR="00CB6E05" w:rsidRPr="007163D9" w:rsidRDefault="00CB6E05" w:rsidP="008E7405">
            <w:pPr>
              <w:jc w:val="right"/>
              <w:rPr>
                <w:lang w:val="en-GB"/>
              </w:rPr>
            </w:pPr>
            <w:r w:rsidRPr="007163D9">
              <w:rPr>
                <w:lang w:val="en-GB"/>
              </w:rPr>
              <w:t>0,1</w:t>
            </w:r>
          </w:p>
        </w:tc>
      </w:tr>
      <w:tr w:rsidR="00CB6E05" w:rsidRPr="0027241E" w14:paraId="4231233A" w14:textId="77777777" w:rsidTr="00C7062A">
        <w:trPr>
          <w:trHeight w:val="380"/>
        </w:trPr>
        <w:tc>
          <w:tcPr>
            <w:tcW w:w="6240" w:type="dxa"/>
            <w:tcBorders>
              <w:top w:val="single" w:sz="4" w:space="0" w:color="000000"/>
              <w:left w:val="nil"/>
              <w:bottom w:val="single" w:sz="4" w:space="0" w:color="000000"/>
              <w:right w:val="nil"/>
            </w:tcBorders>
            <w:tcMar>
              <w:top w:w="128" w:type="dxa"/>
              <w:left w:w="43" w:type="dxa"/>
              <w:bottom w:w="43" w:type="dxa"/>
              <w:right w:w="43" w:type="dxa"/>
            </w:tcMar>
          </w:tcPr>
          <w:p w14:paraId="699E8E97" w14:textId="13F0DB52" w:rsidR="00CB6E05" w:rsidRPr="007163D9" w:rsidRDefault="00CB6E05" w:rsidP="00E1651D">
            <w:pPr>
              <w:rPr>
                <w:lang w:val="en-GB"/>
              </w:rPr>
            </w:pPr>
            <w:r w:rsidRPr="007163D9">
              <w:rPr>
                <w:lang w:val="en-GB"/>
              </w:rPr>
              <w:t>2024-2026 overall</w:t>
            </w:r>
            <w:r w:rsidRPr="007163D9">
              <w:rPr>
                <w:vertAlign w:val="superscript"/>
                <w:lang w:val="en-GB"/>
              </w:rPr>
              <w:t>2</w:t>
            </w:r>
            <w:r w:rsidR="008E7405">
              <w:rPr>
                <w:lang w:val="en-GB"/>
              </w:rPr>
              <w:tab/>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D1199D" w14:textId="77777777" w:rsidR="00CB6E05" w:rsidRPr="007163D9" w:rsidRDefault="00CB6E05" w:rsidP="008E7405">
            <w:pPr>
              <w:jc w:val="right"/>
              <w:rPr>
                <w:lang w:val="en-GB"/>
              </w:rPr>
            </w:pPr>
            <w:r w:rsidRPr="007163D9">
              <w:rPr>
                <w:lang w:val="en-GB"/>
              </w:rPr>
              <w:t>0,5</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D05EF3" w14:textId="77777777" w:rsidR="00CB6E05" w:rsidRPr="007163D9" w:rsidRDefault="00CB6E05" w:rsidP="008E7405">
            <w:pPr>
              <w:jc w:val="right"/>
              <w:rPr>
                <w:lang w:val="en-GB"/>
              </w:rPr>
            </w:pPr>
            <w:r w:rsidRPr="007163D9">
              <w:rPr>
                <w:lang w:val="en-GB"/>
              </w:rPr>
              <w:t>1,0</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74BA0" w14:textId="77777777" w:rsidR="00CB6E05" w:rsidRPr="007163D9" w:rsidRDefault="00CB6E05" w:rsidP="008E7405">
            <w:pPr>
              <w:jc w:val="right"/>
              <w:rPr>
                <w:lang w:val="en-GB"/>
              </w:rPr>
            </w:pPr>
            <w:r w:rsidRPr="007163D9">
              <w:rPr>
                <w:lang w:val="en-GB"/>
              </w:rPr>
              <w:t>1,4</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CFE35" w14:textId="77777777" w:rsidR="00CB6E05" w:rsidRPr="007163D9" w:rsidRDefault="00CB6E05" w:rsidP="008E7405">
            <w:pPr>
              <w:jc w:val="right"/>
              <w:rPr>
                <w:lang w:val="en-GB"/>
              </w:rPr>
            </w:pPr>
            <w:r w:rsidRPr="007163D9">
              <w:rPr>
                <w:lang w:val="en-GB"/>
              </w:rPr>
              <w:t>1,8</w:t>
            </w:r>
          </w:p>
        </w:tc>
      </w:tr>
      <w:tr w:rsidR="00CB6E05" w:rsidRPr="0027241E" w14:paraId="4D299310" w14:textId="77777777" w:rsidTr="00C7062A">
        <w:trPr>
          <w:trHeight w:val="380"/>
        </w:trPr>
        <w:tc>
          <w:tcPr>
            <w:tcW w:w="6240" w:type="dxa"/>
            <w:tcBorders>
              <w:top w:val="nil"/>
              <w:left w:val="nil"/>
              <w:bottom w:val="nil"/>
              <w:right w:val="nil"/>
            </w:tcBorders>
            <w:tcMar>
              <w:top w:w="128" w:type="dxa"/>
              <w:left w:w="43" w:type="dxa"/>
              <w:bottom w:w="43" w:type="dxa"/>
              <w:right w:w="43" w:type="dxa"/>
            </w:tcMar>
          </w:tcPr>
          <w:p w14:paraId="72213817" w14:textId="77777777" w:rsidR="00CB6E05" w:rsidRPr="007163D9" w:rsidRDefault="00CB6E05" w:rsidP="00E1651D">
            <w:pPr>
              <w:rPr>
                <w:lang w:val="en-GB"/>
              </w:rPr>
            </w:pPr>
            <w:r w:rsidRPr="007163D9">
              <w:rPr>
                <w:lang w:val="en-GB"/>
              </w:rPr>
              <w:t>NORA</w:t>
            </w:r>
          </w:p>
        </w:tc>
        <w:tc>
          <w:tcPr>
            <w:tcW w:w="820" w:type="dxa"/>
            <w:tcBorders>
              <w:top w:val="nil"/>
              <w:left w:val="nil"/>
              <w:bottom w:val="nil"/>
              <w:right w:val="nil"/>
            </w:tcBorders>
            <w:tcMar>
              <w:top w:w="128" w:type="dxa"/>
              <w:left w:w="43" w:type="dxa"/>
              <w:bottom w:w="43" w:type="dxa"/>
              <w:right w:w="43" w:type="dxa"/>
            </w:tcMar>
            <w:vAlign w:val="bottom"/>
          </w:tcPr>
          <w:p w14:paraId="7F71CA41" w14:textId="77777777" w:rsidR="00CB6E05" w:rsidRPr="007163D9" w:rsidRDefault="00CB6E05" w:rsidP="008E7405">
            <w:pPr>
              <w:jc w:val="right"/>
              <w:rPr>
                <w:lang w:val="en-GB"/>
              </w:rPr>
            </w:pPr>
          </w:p>
        </w:tc>
        <w:tc>
          <w:tcPr>
            <w:tcW w:w="820" w:type="dxa"/>
            <w:tcBorders>
              <w:top w:val="nil"/>
              <w:left w:val="nil"/>
              <w:bottom w:val="nil"/>
              <w:right w:val="nil"/>
            </w:tcBorders>
            <w:tcMar>
              <w:top w:w="128" w:type="dxa"/>
              <w:left w:w="43" w:type="dxa"/>
              <w:bottom w:w="43" w:type="dxa"/>
              <w:right w:w="43" w:type="dxa"/>
            </w:tcMar>
            <w:vAlign w:val="bottom"/>
          </w:tcPr>
          <w:p w14:paraId="4B692237" w14:textId="77777777" w:rsidR="00CB6E05" w:rsidRPr="007163D9" w:rsidRDefault="00CB6E05" w:rsidP="008E7405">
            <w:pPr>
              <w:jc w:val="right"/>
              <w:rPr>
                <w:lang w:val="en-GB"/>
              </w:rPr>
            </w:pPr>
          </w:p>
        </w:tc>
        <w:tc>
          <w:tcPr>
            <w:tcW w:w="820" w:type="dxa"/>
            <w:tcBorders>
              <w:top w:val="nil"/>
              <w:left w:val="nil"/>
              <w:bottom w:val="nil"/>
              <w:right w:val="nil"/>
            </w:tcBorders>
            <w:tcMar>
              <w:top w:w="128" w:type="dxa"/>
              <w:left w:w="43" w:type="dxa"/>
              <w:bottom w:w="43" w:type="dxa"/>
              <w:right w:w="43" w:type="dxa"/>
            </w:tcMar>
            <w:vAlign w:val="bottom"/>
          </w:tcPr>
          <w:p w14:paraId="1B526289" w14:textId="77777777" w:rsidR="00CB6E05" w:rsidRPr="007163D9" w:rsidRDefault="00CB6E05" w:rsidP="008E7405">
            <w:pPr>
              <w:jc w:val="right"/>
              <w:rPr>
                <w:lang w:val="en-GB"/>
              </w:rPr>
            </w:pPr>
          </w:p>
        </w:tc>
        <w:tc>
          <w:tcPr>
            <w:tcW w:w="820" w:type="dxa"/>
            <w:tcBorders>
              <w:top w:val="nil"/>
              <w:left w:val="nil"/>
              <w:bottom w:val="nil"/>
              <w:right w:val="nil"/>
            </w:tcBorders>
            <w:tcMar>
              <w:top w:w="128" w:type="dxa"/>
              <w:left w:w="43" w:type="dxa"/>
              <w:bottom w:w="43" w:type="dxa"/>
              <w:right w:w="43" w:type="dxa"/>
            </w:tcMar>
            <w:vAlign w:val="bottom"/>
          </w:tcPr>
          <w:p w14:paraId="429AF158" w14:textId="77777777" w:rsidR="00CB6E05" w:rsidRPr="007163D9" w:rsidRDefault="00CB6E05" w:rsidP="008E7405">
            <w:pPr>
              <w:jc w:val="right"/>
              <w:rPr>
                <w:lang w:val="en-GB"/>
              </w:rPr>
            </w:pPr>
          </w:p>
        </w:tc>
      </w:tr>
      <w:tr w:rsidR="00CB6E05" w:rsidRPr="0027241E" w14:paraId="42E86ABD" w14:textId="77777777" w:rsidTr="00C7062A">
        <w:trPr>
          <w:trHeight w:val="380"/>
        </w:trPr>
        <w:tc>
          <w:tcPr>
            <w:tcW w:w="6240" w:type="dxa"/>
            <w:tcBorders>
              <w:top w:val="nil"/>
              <w:left w:val="nil"/>
              <w:bottom w:val="nil"/>
              <w:right w:val="nil"/>
            </w:tcBorders>
            <w:tcMar>
              <w:top w:w="128" w:type="dxa"/>
              <w:left w:w="43" w:type="dxa"/>
              <w:bottom w:w="43" w:type="dxa"/>
              <w:right w:w="43" w:type="dxa"/>
            </w:tcMar>
          </w:tcPr>
          <w:p w14:paraId="4EFB9B56" w14:textId="06B4E7B1" w:rsidR="00CB6E05" w:rsidRPr="007163D9" w:rsidRDefault="00CB6E05" w:rsidP="00E1651D">
            <w:pPr>
              <w:rPr>
                <w:lang w:val="en-GB"/>
              </w:rPr>
            </w:pPr>
            <w:r w:rsidRPr="007163D9">
              <w:rPr>
                <w:lang w:val="en-GB"/>
              </w:rPr>
              <w:t>Budget proposal for 2024</w:t>
            </w:r>
            <w:r w:rsidR="008E7405">
              <w:rPr>
                <w:lang w:val="en-GB"/>
              </w:rPr>
              <w:tab/>
            </w:r>
          </w:p>
        </w:tc>
        <w:tc>
          <w:tcPr>
            <w:tcW w:w="820" w:type="dxa"/>
            <w:tcBorders>
              <w:top w:val="nil"/>
              <w:left w:val="nil"/>
              <w:bottom w:val="nil"/>
              <w:right w:val="nil"/>
            </w:tcBorders>
            <w:tcMar>
              <w:top w:w="128" w:type="dxa"/>
              <w:left w:w="43" w:type="dxa"/>
              <w:bottom w:w="43" w:type="dxa"/>
              <w:right w:w="43" w:type="dxa"/>
            </w:tcMar>
            <w:vAlign w:val="bottom"/>
          </w:tcPr>
          <w:p w14:paraId="258319DF" w14:textId="77777777" w:rsidR="00CB6E05" w:rsidRPr="007163D9" w:rsidRDefault="00CB6E05" w:rsidP="008E7405">
            <w:pPr>
              <w:jc w:val="right"/>
              <w:rPr>
                <w:lang w:val="en-GB"/>
              </w:rPr>
            </w:pPr>
            <w:r w:rsidRPr="007163D9">
              <w:rPr>
                <w:lang w:val="en-GB"/>
              </w:rPr>
              <w:t>0,5</w:t>
            </w:r>
          </w:p>
        </w:tc>
        <w:tc>
          <w:tcPr>
            <w:tcW w:w="820" w:type="dxa"/>
            <w:tcBorders>
              <w:top w:val="nil"/>
              <w:left w:val="nil"/>
              <w:bottom w:val="nil"/>
              <w:right w:val="nil"/>
            </w:tcBorders>
            <w:tcMar>
              <w:top w:w="128" w:type="dxa"/>
              <w:left w:w="43" w:type="dxa"/>
              <w:bottom w:w="43" w:type="dxa"/>
              <w:right w:w="43" w:type="dxa"/>
            </w:tcMar>
            <w:vAlign w:val="bottom"/>
          </w:tcPr>
          <w:p w14:paraId="31843B82" w14:textId="77777777" w:rsidR="00CB6E05" w:rsidRPr="007163D9" w:rsidRDefault="00CB6E05" w:rsidP="008E7405">
            <w:pPr>
              <w:jc w:val="right"/>
              <w:rPr>
                <w:lang w:val="en-GB"/>
              </w:rPr>
            </w:pPr>
            <w:r w:rsidRPr="007163D9">
              <w:rPr>
                <w:lang w:val="en-GB"/>
              </w:rPr>
              <w:t>0,5</w:t>
            </w:r>
          </w:p>
        </w:tc>
        <w:tc>
          <w:tcPr>
            <w:tcW w:w="820" w:type="dxa"/>
            <w:tcBorders>
              <w:top w:val="nil"/>
              <w:left w:val="nil"/>
              <w:bottom w:val="nil"/>
              <w:right w:val="nil"/>
            </w:tcBorders>
            <w:tcMar>
              <w:top w:w="128" w:type="dxa"/>
              <w:left w:w="43" w:type="dxa"/>
              <w:bottom w:w="43" w:type="dxa"/>
              <w:right w:w="43" w:type="dxa"/>
            </w:tcMar>
            <w:vAlign w:val="bottom"/>
          </w:tcPr>
          <w:p w14:paraId="38EBA63F" w14:textId="77777777" w:rsidR="00CB6E05" w:rsidRPr="007163D9" w:rsidRDefault="00CB6E05" w:rsidP="008E7405">
            <w:pPr>
              <w:jc w:val="right"/>
              <w:rPr>
                <w:lang w:val="en-GB"/>
              </w:rPr>
            </w:pPr>
            <w:r w:rsidRPr="007163D9">
              <w:rPr>
                <w:lang w:val="en-GB"/>
              </w:rPr>
              <w:t>0,5</w:t>
            </w:r>
          </w:p>
        </w:tc>
        <w:tc>
          <w:tcPr>
            <w:tcW w:w="820" w:type="dxa"/>
            <w:tcBorders>
              <w:top w:val="nil"/>
              <w:left w:val="nil"/>
              <w:bottom w:val="nil"/>
              <w:right w:val="nil"/>
            </w:tcBorders>
            <w:tcMar>
              <w:top w:w="128" w:type="dxa"/>
              <w:left w:w="43" w:type="dxa"/>
              <w:bottom w:w="43" w:type="dxa"/>
              <w:right w:w="43" w:type="dxa"/>
            </w:tcMar>
            <w:vAlign w:val="bottom"/>
          </w:tcPr>
          <w:p w14:paraId="43558552" w14:textId="77777777" w:rsidR="00CB6E05" w:rsidRPr="007163D9" w:rsidRDefault="00CB6E05" w:rsidP="008E7405">
            <w:pPr>
              <w:jc w:val="right"/>
              <w:rPr>
                <w:lang w:val="en-GB"/>
              </w:rPr>
            </w:pPr>
            <w:r w:rsidRPr="007163D9">
              <w:rPr>
                <w:lang w:val="en-GB"/>
              </w:rPr>
              <w:t>0,5</w:t>
            </w:r>
          </w:p>
        </w:tc>
      </w:tr>
      <w:tr w:rsidR="00CB6E05" w:rsidRPr="0027241E" w14:paraId="003B2796" w14:textId="77777777" w:rsidTr="00C7062A">
        <w:trPr>
          <w:trHeight w:val="380"/>
        </w:trPr>
        <w:tc>
          <w:tcPr>
            <w:tcW w:w="6240" w:type="dxa"/>
            <w:tcBorders>
              <w:top w:val="nil"/>
              <w:left w:val="nil"/>
              <w:bottom w:val="nil"/>
              <w:right w:val="nil"/>
            </w:tcBorders>
            <w:tcMar>
              <w:top w:w="128" w:type="dxa"/>
              <w:left w:w="43" w:type="dxa"/>
              <w:bottom w:w="43" w:type="dxa"/>
              <w:right w:w="43" w:type="dxa"/>
            </w:tcMar>
          </w:tcPr>
          <w:p w14:paraId="6953A73B" w14:textId="74DC8A54" w:rsidR="00CB6E05" w:rsidRPr="007163D9" w:rsidRDefault="00CB6E05" w:rsidP="00E1651D">
            <w:pPr>
              <w:rPr>
                <w:lang w:val="en-GB"/>
              </w:rPr>
            </w:pPr>
            <w:r w:rsidRPr="007163D9">
              <w:rPr>
                <w:lang w:val="en-GB"/>
              </w:rPr>
              <w:t>Budget proposal for 2025</w:t>
            </w:r>
            <w:r w:rsidR="008E7405">
              <w:rPr>
                <w:lang w:val="en-GB"/>
              </w:rPr>
              <w:tab/>
            </w:r>
          </w:p>
        </w:tc>
        <w:tc>
          <w:tcPr>
            <w:tcW w:w="820" w:type="dxa"/>
            <w:tcBorders>
              <w:top w:val="nil"/>
              <w:left w:val="nil"/>
              <w:bottom w:val="nil"/>
              <w:right w:val="nil"/>
            </w:tcBorders>
            <w:tcMar>
              <w:top w:w="128" w:type="dxa"/>
              <w:left w:w="43" w:type="dxa"/>
              <w:bottom w:w="43" w:type="dxa"/>
              <w:right w:w="43" w:type="dxa"/>
            </w:tcMar>
            <w:vAlign w:val="bottom"/>
          </w:tcPr>
          <w:p w14:paraId="494362B7" w14:textId="77777777" w:rsidR="00CB6E05" w:rsidRPr="007163D9" w:rsidRDefault="00CB6E05" w:rsidP="008E7405">
            <w:pPr>
              <w:jc w:val="right"/>
              <w:rPr>
                <w:lang w:val="en-GB"/>
              </w:rPr>
            </w:pPr>
          </w:p>
        </w:tc>
        <w:tc>
          <w:tcPr>
            <w:tcW w:w="820" w:type="dxa"/>
            <w:tcBorders>
              <w:top w:val="nil"/>
              <w:left w:val="nil"/>
              <w:bottom w:val="nil"/>
              <w:right w:val="nil"/>
            </w:tcBorders>
            <w:tcMar>
              <w:top w:w="128" w:type="dxa"/>
              <w:left w:w="43" w:type="dxa"/>
              <w:bottom w:w="43" w:type="dxa"/>
              <w:right w:w="43" w:type="dxa"/>
            </w:tcMar>
            <w:vAlign w:val="bottom"/>
          </w:tcPr>
          <w:p w14:paraId="392EEFFB" w14:textId="77777777" w:rsidR="00CB6E05" w:rsidRPr="007163D9" w:rsidRDefault="00CB6E05" w:rsidP="008E7405">
            <w:pPr>
              <w:jc w:val="right"/>
              <w:rPr>
                <w:lang w:val="en-GB"/>
              </w:rPr>
            </w:pPr>
            <w:r w:rsidRPr="007163D9">
              <w:rPr>
                <w:lang w:val="en-GB"/>
              </w:rPr>
              <w:t>0,3</w:t>
            </w:r>
          </w:p>
        </w:tc>
        <w:tc>
          <w:tcPr>
            <w:tcW w:w="820" w:type="dxa"/>
            <w:tcBorders>
              <w:top w:val="nil"/>
              <w:left w:val="nil"/>
              <w:bottom w:val="nil"/>
              <w:right w:val="nil"/>
            </w:tcBorders>
            <w:tcMar>
              <w:top w:w="128" w:type="dxa"/>
              <w:left w:w="43" w:type="dxa"/>
              <w:bottom w:w="43" w:type="dxa"/>
              <w:right w:w="43" w:type="dxa"/>
            </w:tcMar>
            <w:vAlign w:val="bottom"/>
          </w:tcPr>
          <w:p w14:paraId="58B9406E" w14:textId="77777777" w:rsidR="00CB6E05" w:rsidRPr="007163D9" w:rsidRDefault="00CB6E05" w:rsidP="008E7405">
            <w:pPr>
              <w:jc w:val="right"/>
              <w:rPr>
                <w:lang w:val="en-GB"/>
              </w:rPr>
            </w:pPr>
            <w:r w:rsidRPr="007163D9">
              <w:rPr>
                <w:lang w:val="en-GB"/>
              </w:rPr>
              <w:t>0,3</w:t>
            </w:r>
          </w:p>
        </w:tc>
        <w:tc>
          <w:tcPr>
            <w:tcW w:w="820" w:type="dxa"/>
            <w:tcBorders>
              <w:top w:val="nil"/>
              <w:left w:val="nil"/>
              <w:bottom w:val="nil"/>
              <w:right w:val="nil"/>
            </w:tcBorders>
            <w:tcMar>
              <w:top w:w="128" w:type="dxa"/>
              <w:left w:w="43" w:type="dxa"/>
              <w:bottom w:w="43" w:type="dxa"/>
              <w:right w:w="43" w:type="dxa"/>
            </w:tcMar>
            <w:vAlign w:val="bottom"/>
          </w:tcPr>
          <w:p w14:paraId="55E9AA67" w14:textId="77777777" w:rsidR="00CB6E05" w:rsidRPr="007163D9" w:rsidRDefault="00CB6E05" w:rsidP="008E7405">
            <w:pPr>
              <w:jc w:val="right"/>
              <w:rPr>
                <w:lang w:val="en-GB"/>
              </w:rPr>
            </w:pPr>
            <w:r w:rsidRPr="007163D9">
              <w:rPr>
                <w:lang w:val="en-GB"/>
              </w:rPr>
              <w:t>0,3</w:t>
            </w:r>
          </w:p>
        </w:tc>
      </w:tr>
      <w:tr w:rsidR="00CB6E05" w:rsidRPr="0027241E" w14:paraId="5532F335" w14:textId="77777777" w:rsidTr="00C7062A">
        <w:trPr>
          <w:trHeight w:val="380"/>
        </w:trPr>
        <w:tc>
          <w:tcPr>
            <w:tcW w:w="6240" w:type="dxa"/>
            <w:tcBorders>
              <w:top w:val="nil"/>
              <w:left w:val="nil"/>
              <w:bottom w:val="single" w:sz="4" w:space="0" w:color="000000"/>
              <w:right w:val="nil"/>
            </w:tcBorders>
            <w:tcMar>
              <w:top w:w="128" w:type="dxa"/>
              <w:left w:w="43" w:type="dxa"/>
              <w:bottom w:w="43" w:type="dxa"/>
              <w:right w:w="43" w:type="dxa"/>
            </w:tcMar>
          </w:tcPr>
          <w:p w14:paraId="786A43C3" w14:textId="4466EEC5" w:rsidR="00CB6E05" w:rsidRPr="007163D9" w:rsidRDefault="00CB6E05" w:rsidP="00E1651D">
            <w:pPr>
              <w:rPr>
                <w:lang w:val="en-GB"/>
              </w:rPr>
            </w:pPr>
            <w:r w:rsidRPr="007163D9">
              <w:rPr>
                <w:lang w:val="en-GB"/>
              </w:rPr>
              <w:t>Budget proposal for 2026</w:t>
            </w:r>
            <w:r w:rsidR="008E7405">
              <w:rPr>
                <w:lang w:val="en-GB"/>
              </w:rPr>
              <w:tab/>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FB6785E" w14:textId="77777777" w:rsidR="00CB6E05" w:rsidRPr="007163D9" w:rsidRDefault="00CB6E05" w:rsidP="008E7405">
            <w:pPr>
              <w:jc w:val="right"/>
              <w:rPr>
                <w:lang w:val="en-GB"/>
              </w:rPr>
            </w:pP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6347EFF" w14:textId="77777777" w:rsidR="00CB6E05" w:rsidRPr="007163D9" w:rsidRDefault="00CB6E05" w:rsidP="008E7405">
            <w:pPr>
              <w:jc w:val="right"/>
              <w:rPr>
                <w:lang w:val="en-GB"/>
              </w:rPr>
            </w:pP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6F8D61B" w14:textId="77777777" w:rsidR="00CB6E05" w:rsidRPr="007163D9" w:rsidRDefault="00CB6E05" w:rsidP="008E7405">
            <w:pPr>
              <w:jc w:val="right"/>
              <w:rPr>
                <w:lang w:val="en-GB"/>
              </w:rPr>
            </w:pPr>
            <w:r w:rsidRPr="007163D9">
              <w:rPr>
                <w:lang w:val="en-GB"/>
              </w:rPr>
              <w:t>0,1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33A78A3" w14:textId="77777777" w:rsidR="00CB6E05" w:rsidRPr="007163D9" w:rsidRDefault="00CB6E05" w:rsidP="008E7405">
            <w:pPr>
              <w:jc w:val="right"/>
              <w:rPr>
                <w:lang w:val="en-GB"/>
              </w:rPr>
            </w:pPr>
            <w:r w:rsidRPr="007163D9">
              <w:rPr>
                <w:lang w:val="en-GB"/>
              </w:rPr>
              <w:t>0,1</w:t>
            </w:r>
          </w:p>
        </w:tc>
      </w:tr>
      <w:tr w:rsidR="00CB6E05" w:rsidRPr="0027241E" w14:paraId="321A1A2A" w14:textId="77777777" w:rsidTr="00C7062A">
        <w:trPr>
          <w:trHeight w:val="380"/>
        </w:trPr>
        <w:tc>
          <w:tcPr>
            <w:tcW w:w="6240" w:type="dxa"/>
            <w:tcBorders>
              <w:top w:val="single" w:sz="4" w:space="0" w:color="000000"/>
              <w:left w:val="nil"/>
              <w:bottom w:val="single" w:sz="4" w:space="0" w:color="000000"/>
              <w:right w:val="nil"/>
            </w:tcBorders>
            <w:tcMar>
              <w:top w:w="128" w:type="dxa"/>
              <w:left w:w="43" w:type="dxa"/>
              <w:bottom w:w="43" w:type="dxa"/>
              <w:right w:w="43" w:type="dxa"/>
            </w:tcMar>
          </w:tcPr>
          <w:p w14:paraId="1EA92AF9" w14:textId="77777777" w:rsidR="00CB6E05" w:rsidRPr="007163D9" w:rsidRDefault="00CB6E05" w:rsidP="00E1651D">
            <w:pPr>
              <w:rPr>
                <w:lang w:val="en-GB"/>
              </w:rPr>
            </w:pPr>
            <w:r w:rsidRPr="007163D9">
              <w:rPr>
                <w:lang w:val="en-GB"/>
              </w:rPr>
              <w:t>2024-2026 overall2</w:t>
            </w:r>
            <w:r w:rsidRPr="007163D9">
              <w:rPr>
                <w:lang w:val="en-GB"/>
              </w:rPr>
              <w:tab/>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24974" w14:textId="77777777" w:rsidR="00CB6E05" w:rsidRPr="007163D9" w:rsidRDefault="00CB6E05" w:rsidP="008E7405">
            <w:pPr>
              <w:jc w:val="right"/>
              <w:rPr>
                <w:lang w:val="en-GB"/>
              </w:rPr>
            </w:pPr>
            <w:r w:rsidRPr="007163D9">
              <w:rPr>
                <w:lang w:val="en-GB"/>
              </w:rPr>
              <w:t>0,5</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28CD6B" w14:textId="77777777" w:rsidR="00CB6E05" w:rsidRPr="007163D9" w:rsidRDefault="00CB6E05" w:rsidP="008E7405">
            <w:pPr>
              <w:jc w:val="right"/>
              <w:rPr>
                <w:lang w:val="en-GB"/>
              </w:rPr>
            </w:pPr>
            <w:r w:rsidRPr="007163D9">
              <w:rPr>
                <w:lang w:val="en-GB"/>
              </w:rPr>
              <w:t>0,8</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5D5963" w14:textId="77777777" w:rsidR="00CB6E05" w:rsidRPr="007163D9" w:rsidRDefault="00CB6E05" w:rsidP="008E7405">
            <w:pPr>
              <w:jc w:val="right"/>
              <w:rPr>
                <w:lang w:val="en-GB"/>
              </w:rPr>
            </w:pPr>
            <w:r w:rsidRPr="007163D9">
              <w:rPr>
                <w:lang w:val="en-GB"/>
              </w:rPr>
              <w:t>0,9</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3B0ACC" w14:textId="77777777" w:rsidR="00CB6E05" w:rsidRPr="007163D9" w:rsidRDefault="00CB6E05" w:rsidP="008E7405">
            <w:pPr>
              <w:jc w:val="right"/>
              <w:rPr>
                <w:lang w:val="en-GB"/>
              </w:rPr>
            </w:pPr>
            <w:r w:rsidRPr="007163D9">
              <w:rPr>
                <w:lang w:val="en-GB"/>
              </w:rPr>
              <w:t>0,8</w:t>
            </w:r>
          </w:p>
        </w:tc>
      </w:tr>
    </w:tbl>
    <w:p w14:paraId="2E6A7FDF" w14:textId="77777777" w:rsidR="00CB6E05" w:rsidRPr="007163D9" w:rsidRDefault="00CB6E05" w:rsidP="00E1651D">
      <w:pPr>
        <w:pStyle w:val="Note"/>
        <w:rPr>
          <w:rStyle w:val="skrift-hevet"/>
          <w:lang w:val="en-GB"/>
        </w:rPr>
      </w:pPr>
      <w:r w:rsidRPr="007163D9">
        <w:rPr>
          <w:rStyle w:val="skrift-hevet"/>
          <w:lang w:val="en-GB"/>
        </w:rPr>
        <w:t>1</w:t>
      </w:r>
      <w:r w:rsidRPr="007163D9">
        <w:rPr>
          <w:rStyle w:val="skrift-hevet"/>
          <w:lang w:val="en-GB"/>
        </w:rPr>
        <w:tab/>
      </w:r>
      <w:r w:rsidRPr="007163D9">
        <w:rPr>
          <w:lang w:val="en-GB"/>
        </w:rPr>
        <w:t xml:space="preserve">The effect on economic activity is based on how various revenue and expenditure items (accrued) for the public administration </w:t>
      </w:r>
      <w:proofErr w:type="gramStart"/>
      <w:r w:rsidRPr="007163D9">
        <w:rPr>
          <w:lang w:val="en-GB"/>
        </w:rPr>
        <w:t>as a whole develop</w:t>
      </w:r>
      <w:proofErr w:type="gramEnd"/>
      <w:r w:rsidRPr="007163D9">
        <w:rPr>
          <w:lang w:val="en-GB"/>
        </w:rPr>
        <w:t xml:space="preserve"> compared with trend growth in the economy. The deviation from the baseline scenario is combined with fiscal multipliers. The multipliers are based on the models and describe </w:t>
      </w:r>
      <w:r w:rsidRPr="007163D9">
        <w:rPr>
          <w:lang w:val="en-GB"/>
        </w:rPr>
        <w:lastRenderedPageBreak/>
        <w:t xml:space="preserve">the extent to which changes in various expenditure and revenue items influence economic activity. The effects of the so-called automatic stabilisers in the budget are </w:t>
      </w:r>
      <w:proofErr w:type="gramStart"/>
      <w:r w:rsidRPr="007163D9">
        <w:rPr>
          <w:lang w:val="en-GB"/>
        </w:rPr>
        <w:t>taken into account</w:t>
      </w:r>
      <w:proofErr w:type="gramEnd"/>
      <w:r w:rsidRPr="007163D9">
        <w:rPr>
          <w:lang w:val="en-GB"/>
        </w:rPr>
        <w:t xml:space="preserve">, i.e. that unemployment benefit expenditure </w:t>
      </w:r>
      <w:r w:rsidRPr="00205667">
        <w:rPr>
          <w:lang w:val="en-GB"/>
        </w:rPr>
        <w:t>increases,</w:t>
      </w:r>
      <w:r w:rsidRPr="007163D9">
        <w:rPr>
          <w:lang w:val="en-GB"/>
        </w:rPr>
        <w:t xml:space="preserve"> and tax revenues fall during a recession, while the reverse happens during a boom.</w:t>
      </w:r>
    </w:p>
    <w:p w14:paraId="46B853D8" w14:textId="77777777" w:rsidR="00CB6E05" w:rsidRPr="007163D9" w:rsidRDefault="00CB6E05" w:rsidP="00E1651D">
      <w:pPr>
        <w:pStyle w:val="Note"/>
        <w:rPr>
          <w:rStyle w:val="skrift-hevet"/>
          <w:lang w:val="en-GB"/>
        </w:rPr>
      </w:pPr>
      <w:r w:rsidRPr="007163D9">
        <w:rPr>
          <w:rStyle w:val="skrift-hevet"/>
          <w:lang w:val="en-GB"/>
        </w:rPr>
        <w:t>2</w:t>
      </w:r>
      <w:r w:rsidRPr="007163D9">
        <w:rPr>
          <w:rStyle w:val="skrift-hevet"/>
          <w:lang w:val="en-GB"/>
        </w:rPr>
        <w:tab/>
      </w:r>
      <w:r w:rsidRPr="007163D9">
        <w:rPr>
          <w:lang w:val="en-GB"/>
        </w:rPr>
        <w:t>Due to rounding, summation of the individual items above may differ from the sum presented in this row.</w:t>
      </w:r>
    </w:p>
    <w:p w14:paraId="28756A66" w14:textId="77777777" w:rsidR="00CB6E05" w:rsidRPr="007163D9" w:rsidRDefault="00CB6E05" w:rsidP="00E1651D">
      <w:pPr>
        <w:pStyle w:val="Kilde"/>
        <w:rPr>
          <w:lang w:val="en-GB"/>
        </w:rPr>
      </w:pPr>
      <w:r w:rsidRPr="007163D9">
        <w:rPr>
          <w:lang w:val="en-GB"/>
        </w:rPr>
        <w:t>Source: Ministry of Finance.</w:t>
      </w:r>
    </w:p>
    <w:p w14:paraId="3B7F983B" w14:textId="583663A3" w:rsidR="00CB6E05" w:rsidRPr="007163D9" w:rsidRDefault="00CB6E05" w:rsidP="00CB6E05">
      <w:pPr>
        <w:rPr>
          <w:lang w:val="en-GB"/>
        </w:rPr>
      </w:pPr>
      <w:r w:rsidRPr="007163D9">
        <w:rPr>
          <w:lang w:val="en-GB"/>
        </w:rPr>
        <w:t>Fiscal policy</w:t>
      </w:r>
      <w:r w:rsidRPr="00124A20">
        <w:rPr>
          <w:lang w:val="en-GB"/>
        </w:rPr>
        <w:t xml:space="preserve"> i</w:t>
      </w:r>
      <w:r>
        <w:rPr>
          <w:lang w:val="en-GB"/>
        </w:rPr>
        <w:t xml:space="preserve">mpacts the </w:t>
      </w:r>
      <w:r w:rsidRPr="00124A20">
        <w:rPr>
          <w:lang w:val="en-GB"/>
        </w:rPr>
        <w:t xml:space="preserve">economic </w:t>
      </w:r>
      <w:r w:rsidRPr="007163D9">
        <w:rPr>
          <w:lang w:val="en-GB"/>
        </w:rPr>
        <w:t xml:space="preserve">activity over several years. The fiscal policy stance in 2024 and 2025 will </w:t>
      </w:r>
      <w:r>
        <w:rPr>
          <w:lang w:val="en-GB"/>
        </w:rPr>
        <w:t>increase</w:t>
      </w:r>
      <w:r w:rsidRPr="007163D9">
        <w:rPr>
          <w:lang w:val="en-GB"/>
        </w:rPr>
        <w:t xml:space="preserve"> the </w:t>
      </w:r>
      <w:r>
        <w:rPr>
          <w:lang w:val="en-GB"/>
        </w:rPr>
        <w:t xml:space="preserve">economic </w:t>
      </w:r>
      <w:r w:rsidRPr="007163D9">
        <w:rPr>
          <w:lang w:val="en-GB"/>
        </w:rPr>
        <w:t xml:space="preserve">activity in 2026. Overall, the fiscal policy stance in 2024–2026 is therefore expected to have an expansionary effect on the </w:t>
      </w:r>
      <w:r>
        <w:rPr>
          <w:lang w:val="en-GB"/>
        </w:rPr>
        <w:t xml:space="preserve">economic </w:t>
      </w:r>
      <w:r w:rsidRPr="007163D9">
        <w:rPr>
          <w:lang w:val="en-GB"/>
        </w:rPr>
        <w:t>activity in 2027. The method behind the calculations and differences in estimated budget effects in KVARTS and NORA are described in more detail in Appendix</w:t>
      </w:r>
      <w:r w:rsidR="00562990">
        <w:rPr>
          <w:lang w:val="en-GB"/>
        </w:rPr>
        <w:t> </w:t>
      </w:r>
      <w:r w:rsidRPr="007163D9">
        <w:rPr>
          <w:lang w:val="en-GB"/>
        </w:rPr>
        <w:t>2.</w:t>
      </w:r>
    </w:p>
    <w:p w14:paraId="28FFECB9" w14:textId="77777777" w:rsidR="00CB6E05" w:rsidRPr="007163D9" w:rsidRDefault="00CB6E05" w:rsidP="00CB6E05">
      <w:pPr>
        <w:rPr>
          <w:lang w:val="en-GB"/>
        </w:rPr>
      </w:pPr>
      <w:r w:rsidRPr="007163D9">
        <w:rPr>
          <w:lang w:val="en-GB"/>
        </w:rPr>
        <w:t xml:space="preserve">The </w:t>
      </w:r>
      <w:r w:rsidRPr="007163D9">
        <w:rPr>
          <w:rStyle w:val="kursiv"/>
          <w:lang w:val="en-GB"/>
        </w:rPr>
        <w:t>non-oil deficit</w:t>
      </w:r>
      <w:r w:rsidRPr="007163D9">
        <w:rPr>
          <w:lang w:val="en-GB"/>
        </w:rPr>
        <w:t xml:space="preserve"> is the </w:t>
      </w:r>
      <w:r w:rsidRPr="00AE450C">
        <w:rPr>
          <w:lang w:val="en-GB"/>
        </w:rPr>
        <w:t xml:space="preserve">actual transfer from the Government Pension Fund Global to the fiscal budget and is estimated </w:t>
      </w:r>
      <w:r>
        <w:rPr>
          <w:lang w:val="en-GB"/>
        </w:rPr>
        <w:t>to</w:t>
      </w:r>
      <w:r w:rsidRPr="00AE450C">
        <w:rPr>
          <w:lang w:val="en-GB"/>
        </w:rPr>
        <w:t xml:space="preserve"> N</w:t>
      </w:r>
      <w:r w:rsidRPr="007163D9">
        <w:rPr>
          <w:lang w:val="en-GB"/>
        </w:rPr>
        <w:t>OK 452.2 billion next year</w:t>
      </w:r>
      <w:r>
        <w:rPr>
          <w:lang w:val="en-GB"/>
        </w:rPr>
        <w:t>, see T</w:t>
      </w:r>
      <w:r w:rsidRPr="007163D9">
        <w:rPr>
          <w:lang w:val="en-GB"/>
        </w:rPr>
        <w:t xml:space="preserve">able 3.3. The </w:t>
      </w:r>
      <w:r w:rsidRPr="007163D9">
        <w:rPr>
          <w:rStyle w:val="kursiv"/>
          <w:lang w:val="en-GB"/>
        </w:rPr>
        <w:t>structural non-oil budget deficit</w:t>
      </w:r>
      <w:r w:rsidRPr="007163D9">
        <w:rPr>
          <w:lang w:val="en-GB"/>
        </w:rPr>
        <w:t xml:space="preserve"> measures the underlying </w:t>
      </w:r>
      <w:r>
        <w:rPr>
          <w:lang w:val="en-GB"/>
        </w:rPr>
        <w:t>fund spending</w:t>
      </w:r>
      <w:r w:rsidRPr="007163D9">
        <w:rPr>
          <w:lang w:val="en-GB"/>
        </w:rPr>
        <w:t xml:space="preserve"> where adjustments are made for tax revenues, certain expenditure that fluctuates with business cycles, and certain other variables that vary considerably from year to year. In 2026, NOK 94.2 billion of the corrections were related to special accounting conditions. This is mainly due to a temporarily high tax revenue at the beginning of 2026 </w:t>
      </w:r>
      <w:proofErr w:type="gramStart"/>
      <w:r w:rsidRPr="007163D9">
        <w:rPr>
          <w:lang w:val="en-GB"/>
        </w:rPr>
        <w:t>as a result of</w:t>
      </w:r>
      <w:proofErr w:type="gramEnd"/>
      <w:r w:rsidRPr="007163D9">
        <w:rPr>
          <w:lang w:val="en-GB"/>
        </w:rPr>
        <w:t xml:space="preserve"> the Storting's decision to discontinue the tax deduction account scheme with effect from 1 January 2026. As a result, in 2026 the last instalment of the withholding tax for the 2025 income year under the old scheme will come on top of </w:t>
      </w:r>
      <w:r>
        <w:rPr>
          <w:lang w:val="en-GB"/>
        </w:rPr>
        <w:t>nearly</w:t>
      </w:r>
      <w:r w:rsidRPr="007163D9">
        <w:rPr>
          <w:lang w:val="en-GB"/>
        </w:rPr>
        <w:t xml:space="preserve"> the entire withholding tax for the 2026 income year.</w:t>
      </w:r>
    </w:p>
    <w:p w14:paraId="7D292E26" w14:textId="77777777" w:rsidR="00CB6E05" w:rsidRPr="007163D9" w:rsidRDefault="00CB6E05" w:rsidP="00E1651D">
      <w:pPr>
        <w:pStyle w:val="avsnitt-tittel"/>
        <w:rPr>
          <w:lang w:val="en-GB"/>
        </w:rPr>
      </w:pPr>
      <w:r>
        <w:rPr>
          <w:lang w:val="en-GB"/>
        </w:rPr>
        <w:t xml:space="preserve">Table 3.3 </w:t>
      </w:r>
      <w:r w:rsidRPr="007163D9">
        <w:rPr>
          <w:lang w:val="en-GB"/>
        </w:rPr>
        <w:t>The structural non-oil fiscal deficit1. NOK billion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400"/>
        <w:gridCol w:w="1040"/>
        <w:gridCol w:w="1040"/>
        <w:gridCol w:w="1040"/>
      </w:tblGrid>
      <w:tr w:rsidR="00CB6E05" w:rsidRPr="0027241E" w14:paraId="34BE8764" w14:textId="77777777" w:rsidTr="00C7062A">
        <w:trPr>
          <w:trHeight w:val="360"/>
        </w:trPr>
        <w:tc>
          <w:tcPr>
            <w:tcW w:w="6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DC69CE" w14:textId="77777777" w:rsidR="00CB6E05" w:rsidRPr="007163D9" w:rsidRDefault="00CB6E05" w:rsidP="00C7062A">
            <w:pPr>
              <w:rPr>
                <w:lang w:val="en-GB"/>
              </w:rPr>
            </w:pP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D3E35F" w14:textId="77777777" w:rsidR="00CB6E05" w:rsidRPr="007163D9" w:rsidRDefault="00CB6E05" w:rsidP="008E7405">
            <w:pPr>
              <w:jc w:val="right"/>
              <w:rPr>
                <w:lang w:val="en-GB"/>
              </w:rPr>
            </w:pPr>
            <w:r w:rsidRPr="007163D9">
              <w:rPr>
                <w:lang w:val="en-GB"/>
              </w:rPr>
              <w:t>2024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C67DB1" w14:textId="77777777" w:rsidR="00CB6E05" w:rsidRPr="007163D9" w:rsidRDefault="00CB6E05" w:rsidP="008E7405">
            <w:pPr>
              <w:jc w:val="right"/>
              <w:rPr>
                <w:lang w:val="en-GB"/>
              </w:rPr>
            </w:pPr>
            <w:r w:rsidRPr="007163D9">
              <w:rPr>
                <w:lang w:val="en-GB"/>
              </w:rPr>
              <w:t>2025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D0C266" w14:textId="77777777" w:rsidR="00CB6E05" w:rsidRPr="007163D9" w:rsidRDefault="00CB6E05" w:rsidP="008E7405">
            <w:pPr>
              <w:jc w:val="right"/>
              <w:rPr>
                <w:lang w:val="en-GB"/>
              </w:rPr>
            </w:pPr>
            <w:r w:rsidRPr="007163D9">
              <w:rPr>
                <w:lang w:val="en-GB"/>
              </w:rPr>
              <w:t>2026</w:t>
            </w:r>
          </w:p>
        </w:tc>
      </w:tr>
      <w:tr w:rsidR="00CB6E05" w:rsidRPr="0027241E" w14:paraId="4B0C5EDC" w14:textId="77777777" w:rsidTr="00C7062A">
        <w:trPr>
          <w:trHeight w:val="380"/>
        </w:trPr>
        <w:tc>
          <w:tcPr>
            <w:tcW w:w="6400" w:type="dxa"/>
            <w:tcBorders>
              <w:top w:val="single" w:sz="4" w:space="0" w:color="000000"/>
              <w:left w:val="nil"/>
              <w:bottom w:val="nil"/>
              <w:right w:val="nil"/>
            </w:tcBorders>
            <w:tcMar>
              <w:top w:w="128" w:type="dxa"/>
              <w:left w:w="43" w:type="dxa"/>
              <w:bottom w:w="43" w:type="dxa"/>
              <w:right w:w="43" w:type="dxa"/>
            </w:tcMar>
          </w:tcPr>
          <w:p w14:paraId="0C5CD3FC" w14:textId="0744726A" w:rsidR="00CB6E05" w:rsidRPr="007163D9" w:rsidRDefault="00CB6E05" w:rsidP="00C7062A">
            <w:pPr>
              <w:rPr>
                <w:lang w:val="en-GB"/>
              </w:rPr>
            </w:pPr>
            <w:r w:rsidRPr="007163D9">
              <w:rPr>
                <w:lang w:val="en-GB"/>
              </w:rPr>
              <w:t>Non-oil fiscal deficit</w:t>
            </w:r>
            <w:r w:rsidR="008E7405">
              <w:rPr>
                <w:lang w:val="en-GB"/>
              </w:rPr>
              <w:tab/>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603D170D" w14:textId="77777777" w:rsidR="00CB6E05" w:rsidRPr="007163D9" w:rsidRDefault="00CB6E05" w:rsidP="008E7405">
            <w:pPr>
              <w:jc w:val="right"/>
              <w:rPr>
                <w:lang w:val="en-GB"/>
              </w:rPr>
            </w:pPr>
            <w:r w:rsidRPr="007163D9">
              <w:rPr>
                <w:lang w:val="en-GB"/>
              </w:rPr>
              <w:t>331,7</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22AA49E2" w14:textId="77777777" w:rsidR="00CB6E05" w:rsidRPr="007163D9" w:rsidRDefault="00CB6E05" w:rsidP="008E7405">
            <w:pPr>
              <w:jc w:val="right"/>
              <w:rPr>
                <w:lang w:val="en-GB"/>
              </w:rPr>
            </w:pPr>
            <w:r w:rsidRPr="007163D9">
              <w:rPr>
                <w:lang w:val="en-GB"/>
              </w:rPr>
              <w:t>487,6</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79E115C0" w14:textId="77777777" w:rsidR="00CB6E05" w:rsidRPr="007163D9" w:rsidRDefault="00CB6E05" w:rsidP="008E7405">
            <w:pPr>
              <w:jc w:val="right"/>
              <w:rPr>
                <w:lang w:val="en-GB"/>
              </w:rPr>
            </w:pPr>
            <w:r w:rsidRPr="007163D9">
              <w:rPr>
                <w:lang w:val="en-GB"/>
              </w:rPr>
              <w:t>452,2</w:t>
            </w:r>
          </w:p>
        </w:tc>
      </w:tr>
      <w:tr w:rsidR="00CB6E05" w:rsidRPr="0027241E" w14:paraId="5CC9F23D" w14:textId="77777777" w:rsidTr="00C7062A">
        <w:trPr>
          <w:trHeight w:val="380"/>
        </w:trPr>
        <w:tc>
          <w:tcPr>
            <w:tcW w:w="6400" w:type="dxa"/>
            <w:tcBorders>
              <w:top w:val="nil"/>
              <w:left w:val="nil"/>
              <w:bottom w:val="nil"/>
              <w:right w:val="nil"/>
            </w:tcBorders>
            <w:tcMar>
              <w:top w:w="128" w:type="dxa"/>
              <w:left w:w="43" w:type="dxa"/>
              <w:bottom w:w="43" w:type="dxa"/>
              <w:right w:w="43" w:type="dxa"/>
            </w:tcMar>
          </w:tcPr>
          <w:p w14:paraId="349FFE5B" w14:textId="7F188704" w:rsidR="00CB6E05" w:rsidRPr="007163D9" w:rsidRDefault="00CB6E05" w:rsidP="00C7062A">
            <w:pPr>
              <w:rPr>
                <w:lang w:val="en-GB"/>
              </w:rPr>
            </w:pPr>
            <w:r w:rsidRPr="007163D9">
              <w:rPr>
                <w:lang w:val="en-GB"/>
              </w:rPr>
              <w:lastRenderedPageBreak/>
              <w:t xml:space="preserve">+ Net interest and transfers from </w:t>
            </w:r>
            <w:proofErr w:type="spellStart"/>
            <w:r w:rsidRPr="007163D9">
              <w:rPr>
                <w:lang w:val="en-GB"/>
              </w:rPr>
              <w:t>Norges</w:t>
            </w:r>
            <w:proofErr w:type="spellEnd"/>
            <w:r w:rsidRPr="007163D9">
              <w:rPr>
                <w:lang w:val="en-GB"/>
              </w:rPr>
              <w:t xml:space="preserve"> Bank. Deviations from trend</w:t>
            </w:r>
            <w:r w:rsidR="008E7405">
              <w:rPr>
                <w:lang w:val="en-GB"/>
              </w:rPr>
              <w:tab/>
            </w:r>
          </w:p>
        </w:tc>
        <w:tc>
          <w:tcPr>
            <w:tcW w:w="1040" w:type="dxa"/>
            <w:tcBorders>
              <w:top w:val="nil"/>
              <w:left w:val="nil"/>
              <w:bottom w:val="nil"/>
              <w:right w:val="nil"/>
            </w:tcBorders>
            <w:tcMar>
              <w:top w:w="128" w:type="dxa"/>
              <w:left w:w="43" w:type="dxa"/>
              <w:bottom w:w="43" w:type="dxa"/>
              <w:right w:w="43" w:type="dxa"/>
            </w:tcMar>
            <w:vAlign w:val="bottom"/>
          </w:tcPr>
          <w:p w14:paraId="78EDBA21" w14:textId="77777777" w:rsidR="00CB6E05" w:rsidRPr="007163D9" w:rsidRDefault="00CB6E05" w:rsidP="008E7405">
            <w:pPr>
              <w:jc w:val="right"/>
              <w:rPr>
                <w:lang w:val="en-GB"/>
              </w:rPr>
            </w:pPr>
            <w:r w:rsidRPr="007163D9">
              <w:rPr>
                <w:lang w:val="en-GB"/>
              </w:rPr>
              <w:t>27,4</w:t>
            </w:r>
          </w:p>
        </w:tc>
        <w:tc>
          <w:tcPr>
            <w:tcW w:w="1040" w:type="dxa"/>
            <w:tcBorders>
              <w:top w:val="nil"/>
              <w:left w:val="nil"/>
              <w:bottom w:val="nil"/>
              <w:right w:val="nil"/>
            </w:tcBorders>
            <w:tcMar>
              <w:top w:w="128" w:type="dxa"/>
              <w:left w:w="43" w:type="dxa"/>
              <w:bottom w:w="43" w:type="dxa"/>
              <w:right w:w="43" w:type="dxa"/>
            </w:tcMar>
            <w:vAlign w:val="bottom"/>
          </w:tcPr>
          <w:p w14:paraId="530A725B" w14:textId="77777777" w:rsidR="00CB6E05" w:rsidRPr="007163D9" w:rsidRDefault="00CB6E05" w:rsidP="008E7405">
            <w:pPr>
              <w:jc w:val="right"/>
              <w:rPr>
                <w:lang w:val="en-GB"/>
              </w:rPr>
            </w:pPr>
            <w:r w:rsidRPr="007163D9">
              <w:rPr>
                <w:lang w:val="en-GB"/>
              </w:rPr>
              <w:t>31,7</w:t>
            </w:r>
          </w:p>
        </w:tc>
        <w:tc>
          <w:tcPr>
            <w:tcW w:w="1040" w:type="dxa"/>
            <w:tcBorders>
              <w:top w:val="nil"/>
              <w:left w:val="nil"/>
              <w:bottom w:val="nil"/>
              <w:right w:val="nil"/>
            </w:tcBorders>
            <w:tcMar>
              <w:top w:w="128" w:type="dxa"/>
              <w:left w:w="43" w:type="dxa"/>
              <w:bottom w:w="43" w:type="dxa"/>
              <w:right w:w="43" w:type="dxa"/>
            </w:tcMar>
            <w:vAlign w:val="bottom"/>
          </w:tcPr>
          <w:p w14:paraId="52D1FC54" w14:textId="77777777" w:rsidR="00CB6E05" w:rsidRPr="007163D9" w:rsidRDefault="00CB6E05" w:rsidP="008E7405">
            <w:pPr>
              <w:jc w:val="right"/>
              <w:rPr>
                <w:lang w:val="en-GB"/>
              </w:rPr>
            </w:pPr>
            <w:r w:rsidRPr="007163D9">
              <w:rPr>
                <w:lang w:val="en-GB"/>
              </w:rPr>
              <w:t>19,4</w:t>
            </w:r>
          </w:p>
        </w:tc>
      </w:tr>
      <w:tr w:rsidR="00CB6E05" w:rsidRPr="0027241E" w14:paraId="0C9A20E2" w14:textId="77777777" w:rsidTr="00C7062A">
        <w:trPr>
          <w:trHeight w:val="380"/>
        </w:trPr>
        <w:tc>
          <w:tcPr>
            <w:tcW w:w="6400" w:type="dxa"/>
            <w:tcBorders>
              <w:top w:val="nil"/>
              <w:left w:val="nil"/>
              <w:bottom w:val="nil"/>
              <w:right w:val="nil"/>
            </w:tcBorders>
            <w:tcMar>
              <w:top w:w="128" w:type="dxa"/>
              <w:left w:w="43" w:type="dxa"/>
              <w:bottom w:w="43" w:type="dxa"/>
              <w:right w:w="43" w:type="dxa"/>
            </w:tcMar>
          </w:tcPr>
          <w:p w14:paraId="4A5EF230" w14:textId="1101C6A5" w:rsidR="00CB6E05" w:rsidRPr="007163D9" w:rsidRDefault="00CB6E05" w:rsidP="00C7062A">
            <w:pPr>
              <w:rPr>
                <w:lang w:val="en-GB"/>
              </w:rPr>
            </w:pPr>
            <w:r w:rsidRPr="007163D9">
              <w:rPr>
                <w:lang w:val="en-GB"/>
              </w:rPr>
              <w:t>+ Special accounting matters</w:t>
            </w:r>
            <w:r w:rsidR="008E7405">
              <w:rPr>
                <w:lang w:val="en-GB"/>
              </w:rPr>
              <w:tab/>
            </w:r>
          </w:p>
        </w:tc>
        <w:tc>
          <w:tcPr>
            <w:tcW w:w="1040" w:type="dxa"/>
            <w:tcBorders>
              <w:top w:val="nil"/>
              <w:left w:val="nil"/>
              <w:bottom w:val="nil"/>
              <w:right w:val="nil"/>
            </w:tcBorders>
            <w:tcMar>
              <w:top w:w="128" w:type="dxa"/>
              <w:left w:w="43" w:type="dxa"/>
              <w:bottom w:w="43" w:type="dxa"/>
              <w:right w:w="43" w:type="dxa"/>
            </w:tcMar>
            <w:vAlign w:val="bottom"/>
          </w:tcPr>
          <w:p w14:paraId="377E0816" w14:textId="77777777" w:rsidR="00CB6E05" w:rsidRPr="007163D9" w:rsidRDefault="00CB6E05" w:rsidP="008E7405">
            <w:pPr>
              <w:jc w:val="right"/>
              <w:rPr>
                <w:lang w:val="en-GB"/>
              </w:rPr>
            </w:pPr>
            <w:r w:rsidRPr="007163D9">
              <w:rPr>
                <w:lang w:val="en-GB"/>
              </w:rPr>
              <w:t>17,5</w:t>
            </w:r>
          </w:p>
        </w:tc>
        <w:tc>
          <w:tcPr>
            <w:tcW w:w="1040" w:type="dxa"/>
            <w:tcBorders>
              <w:top w:val="nil"/>
              <w:left w:val="nil"/>
              <w:bottom w:val="nil"/>
              <w:right w:val="nil"/>
            </w:tcBorders>
            <w:tcMar>
              <w:top w:w="128" w:type="dxa"/>
              <w:left w:w="43" w:type="dxa"/>
              <w:bottom w:w="43" w:type="dxa"/>
              <w:right w:w="43" w:type="dxa"/>
            </w:tcMar>
            <w:vAlign w:val="bottom"/>
          </w:tcPr>
          <w:p w14:paraId="7908F600" w14:textId="77777777" w:rsidR="00CB6E05" w:rsidRPr="007163D9" w:rsidRDefault="00CB6E05" w:rsidP="008E7405">
            <w:pPr>
              <w:jc w:val="right"/>
              <w:rPr>
                <w:lang w:val="en-GB"/>
              </w:rPr>
            </w:pPr>
            <w:r w:rsidRPr="007163D9">
              <w:rPr>
                <w:lang w:val="en-GB"/>
              </w:rPr>
              <w:t>9,2</w:t>
            </w:r>
          </w:p>
        </w:tc>
        <w:tc>
          <w:tcPr>
            <w:tcW w:w="1040" w:type="dxa"/>
            <w:tcBorders>
              <w:top w:val="nil"/>
              <w:left w:val="nil"/>
              <w:bottom w:val="nil"/>
              <w:right w:val="nil"/>
            </w:tcBorders>
            <w:tcMar>
              <w:top w:w="128" w:type="dxa"/>
              <w:left w:w="43" w:type="dxa"/>
              <w:bottom w:w="43" w:type="dxa"/>
              <w:right w:w="43" w:type="dxa"/>
            </w:tcMar>
            <w:vAlign w:val="bottom"/>
          </w:tcPr>
          <w:p w14:paraId="67D25F2D" w14:textId="77777777" w:rsidR="00CB6E05" w:rsidRPr="007163D9" w:rsidRDefault="00CB6E05" w:rsidP="008E7405">
            <w:pPr>
              <w:jc w:val="right"/>
              <w:rPr>
                <w:lang w:val="en-GB"/>
              </w:rPr>
            </w:pPr>
            <w:r w:rsidRPr="007163D9">
              <w:rPr>
                <w:lang w:val="en-GB"/>
              </w:rPr>
              <w:t>94,2</w:t>
            </w:r>
          </w:p>
        </w:tc>
      </w:tr>
      <w:tr w:rsidR="00CB6E05" w:rsidRPr="0027241E" w14:paraId="5CFA3D55" w14:textId="77777777" w:rsidTr="00C7062A">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0FEC4849" w14:textId="683F7782" w:rsidR="00CB6E05" w:rsidRPr="007163D9" w:rsidRDefault="00CB6E05" w:rsidP="00C7062A">
            <w:pPr>
              <w:rPr>
                <w:lang w:val="en-GB"/>
              </w:rPr>
            </w:pPr>
            <w:r w:rsidRPr="007163D9">
              <w:rPr>
                <w:lang w:val="en-GB"/>
              </w:rPr>
              <w:t>+ Taxes and unemployment benefits. Deviations from trend</w:t>
            </w:r>
            <w:r w:rsidR="008E7405">
              <w:rPr>
                <w:lang w:val="en-GB"/>
              </w:rPr>
              <w:tab/>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69DC540" w14:textId="77777777" w:rsidR="00CB6E05" w:rsidRPr="007163D9" w:rsidRDefault="00CB6E05" w:rsidP="008E7405">
            <w:pPr>
              <w:jc w:val="right"/>
              <w:rPr>
                <w:lang w:val="en-GB"/>
              </w:rPr>
            </w:pPr>
            <w:r w:rsidRPr="007163D9">
              <w:rPr>
                <w:lang w:val="en-GB"/>
              </w:rPr>
              <w:t>33,6</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DA512F3" w14:textId="77777777" w:rsidR="00CB6E05" w:rsidRPr="007163D9" w:rsidRDefault="00CB6E05" w:rsidP="008E7405">
            <w:pPr>
              <w:jc w:val="right"/>
              <w:rPr>
                <w:lang w:val="en-GB"/>
              </w:rPr>
            </w:pPr>
            <w:r w:rsidRPr="007163D9">
              <w:rPr>
                <w:lang w:val="en-GB"/>
              </w:rPr>
              <w:t>5,7</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0D4C0ED" w14:textId="77777777" w:rsidR="00CB6E05" w:rsidRPr="007163D9" w:rsidRDefault="00CB6E05" w:rsidP="008E7405">
            <w:pPr>
              <w:jc w:val="right"/>
              <w:rPr>
                <w:lang w:val="en-GB"/>
              </w:rPr>
            </w:pPr>
            <w:r w:rsidRPr="007163D9">
              <w:rPr>
                <w:lang w:val="en-GB"/>
              </w:rPr>
              <w:t>13,6</w:t>
            </w:r>
          </w:p>
        </w:tc>
      </w:tr>
      <w:tr w:rsidR="00CB6E05" w:rsidRPr="0027241E" w14:paraId="67657974" w14:textId="77777777" w:rsidTr="00C7062A">
        <w:trPr>
          <w:trHeight w:val="380"/>
        </w:trPr>
        <w:tc>
          <w:tcPr>
            <w:tcW w:w="6400" w:type="dxa"/>
            <w:tcBorders>
              <w:top w:val="single" w:sz="4" w:space="0" w:color="000000"/>
              <w:left w:val="nil"/>
              <w:bottom w:val="single" w:sz="4" w:space="0" w:color="000000"/>
              <w:right w:val="nil"/>
            </w:tcBorders>
            <w:tcMar>
              <w:top w:w="128" w:type="dxa"/>
              <w:left w:w="43" w:type="dxa"/>
              <w:bottom w:w="43" w:type="dxa"/>
              <w:right w:w="43" w:type="dxa"/>
            </w:tcMar>
          </w:tcPr>
          <w:p w14:paraId="070FBBAD" w14:textId="437FC6CB" w:rsidR="00CB6E05" w:rsidRPr="007163D9" w:rsidRDefault="00CB6E05" w:rsidP="00C7062A">
            <w:pPr>
              <w:rPr>
                <w:lang w:val="en-GB"/>
              </w:rPr>
            </w:pPr>
            <w:r w:rsidRPr="007163D9">
              <w:rPr>
                <w:lang w:val="en-GB"/>
              </w:rPr>
              <w:t>= Structural non-oil fiscal deficit</w:t>
            </w:r>
            <w:r w:rsidR="008E7405">
              <w:rPr>
                <w:lang w:val="en-GB"/>
              </w:rPr>
              <w:tab/>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F8E81" w14:textId="77777777" w:rsidR="00CB6E05" w:rsidRPr="007163D9" w:rsidRDefault="00CB6E05" w:rsidP="008E7405">
            <w:pPr>
              <w:jc w:val="right"/>
              <w:rPr>
                <w:lang w:val="en-GB"/>
              </w:rPr>
            </w:pPr>
            <w:r w:rsidRPr="007163D9">
              <w:rPr>
                <w:lang w:val="en-GB"/>
              </w:rPr>
              <w:t>410,3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2A963F" w14:textId="77777777" w:rsidR="00CB6E05" w:rsidRPr="007163D9" w:rsidRDefault="00CB6E05" w:rsidP="008E7405">
            <w:pPr>
              <w:jc w:val="right"/>
              <w:rPr>
                <w:lang w:val="en-GB"/>
              </w:rPr>
            </w:pPr>
            <w:r w:rsidRPr="007163D9">
              <w:rPr>
                <w:lang w:val="en-GB"/>
              </w:rPr>
              <w:t>534,2</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D2CF3F" w14:textId="77777777" w:rsidR="00CB6E05" w:rsidRPr="007163D9" w:rsidRDefault="00CB6E05" w:rsidP="008E7405">
            <w:pPr>
              <w:jc w:val="right"/>
              <w:rPr>
                <w:lang w:val="en-GB"/>
              </w:rPr>
            </w:pPr>
            <w:r w:rsidRPr="007163D9">
              <w:rPr>
                <w:lang w:val="en-GB"/>
              </w:rPr>
              <w:t>579,4</w:t>
            </w:r>
          </w:p>
        </w:tc>
      </w:tr>
    </w:tbl>
    <w:p w14:paraId="3AF1419D" w14:textId="77777777" w:rsidR="00CB6E05" w:rsidRPr="007163D9" w:rsidRDefault="00CB6E05" w:rsidP="00E1651D">
      <w:pPr>
        <w:pStyle w:val="Note"/>
        <w:rPr>
          <w:rStyle w:val="skrift-hevet"/>
          <w:lang w:val="en-GB"/>
        </w:rPr>
      </w:pPr>
      <w:r w:rsidRPr="007163D9">
        <w:rPr>
          <w:rStyle w:val="skrift-hevet"/>
          <w:lang w:val="en-GB"/>
        </w:rPr>
        <w:t>1</w:t>
      </w:r>
      <w:r w:rsidRPr="007163D9">
        <w:rPr>
          <w:rStyle w:val="skrift-hevet"/>
          <w:lang w:val="en-GB"/>
        </w:rPr>
        <w:tab/>
      </w:r>
      <w:r w:rsidRPr="007163D9">
        <w:rPr>
          <w:lang w:val="en-GB"/>
        </w:rPr>
        <w:t>See Appendix 1 for a more detailed description of how the structural non-oil deficit is calculated.</w:t>
      </w:r>
    </w:p>
    <w:p w14:paraId="546F0225" w14:textId="77777777" w:rsidR="00CB6E05" w:rsidRPr="007163D9" w:rsidRDefault="00CB6E05" w:rsidP="00E1651D">
      <w:pPr>
        <w:pStyle w:val="Kilde"/>
        <w:rPr>
          <w:lang w:val="en-GB"/>
        </w:rPr>
      </w:pPr>
      <w:r w:rsidRPr="007163D9">
        <w:rPr>
          <w:lang w:val="en-GB"/>
        </w:rPr>
        <w:t>Source: Ministry of Finance.</w:t>
      </w:r>
    </w:p>
    <w:p w14:paraId="41B224AD" w14:textId="77777777" w:rsidR="00CB6E05" w:rsidRPr="007163D9" w:rsidRDefault="00CB6E05" w:rsidP="00CB6E05">
      <w:pPr>
        <w:rPr>
          <w:lang w:val="en-GB"/>
        </w:rPr>
      </w:pPr>
      <w:r w:rsidRPr="007163D9">
        <w:rPr>
          <w:rStyle w:val="kursiv"/>
          <w:lang w:val="en-GB"/>
        </w:rPr>
        <w:t xml:space="preserve">Real underlying spending growth </w:t>
      </w:r>
      <w:r w:rsidRPr="007163D9">
        <w:rPr>
          <w:lang w:val="en-GB"/>
        </w:rPr>
        <w:t>in the central government budget is projected to be 1.0 per cent next year, after strong growth this year</w:t>
      </w:r>
      <w:r>
        <w:rPr>
          <w:lang w:val="en-GB"/>
        </w:rPr>
        <w:t xml:space="preserve">, see </w:t>
      </w:r>
      <w:r w:rsidRPr="007163D9">
        <w:rPr>
          <w:lang w:val="en-GB"/>
        </w:rPr>
        <w:t>Table 3.4. The relatively low expenditure growth from this year to next year</w:t>
      </w:r>
      <w:r>
        <w:rPr>
          <w:lang w:val="en-GB"/>
        </w:rPr>
        <w:t>,</w:t>
      </w:r>
      <w:r w:rsidRPr="007163D9">
        <w:rPr>
          <w:lang w:val="en-GB"/>
        </w:rPr>
        <w:t xml:space="preserve"> must be </w:t>
      </w:r>
      <w:r w:rsidRPr="00AE450C">
        <w:rPr>
          <w:lang w:val="en-US"/>
        </w:rPr>
        <w:t xml:space="preserve">seen in the context </w:t>
      </w:r>
      <w:r>
        <w:rPr>
          <w:lang w:val="en-US"/>
        </w:rPr>
        <w:t>with</w:t>
      </w:r>
      <w:r w:rsidRPr="00AE450C">
        <w:rPr>
          <w:lang w:val="en-US"/>
        </w:rPr>
        <w:t xml:space="preserve"> </w:t>
      </w:r>
      <w:r>
        <w:rPr>
          <w:lang w:val="en-GB"/>
        </w:rPr>
        <w:t xml:space="preserve">significant increase in </w:t>
      </w:r>
      <w:r w:rsidRPr="00AE450C">
        <w:rPr>
          <w:lang w:val="en-GB"/>
        </w:rPr>
        <w:t xml:space="preserve">expenditure this </w:t>
      </w:r>
      <w:r w:rsidRPr="007163D9">
        <w:rPr>
          <w:lang w:val="en-GB"/>
        </w:rPr>
        <w:t xml:space="preserve">year in the revised national budget </w:t>
      </w:r>
      <w:proofErr w:type="gramStart"/>
      <w:r w:rsidRPr="007163D9">
        <w:rPr>
          <w:lang w:val="en-GB"/>
        </w:rPr>
        <w:t>as a result of</w:t>
      </w:r>
      <w:proofErr w:type="gramEnd"/>
      <w:r w:rsidRPr="007163D9">
        <w:rPr>
          <w:lang w:val="en-GB"/>
        </w:rPr>
        <w:t xml:space="preserve"> the agreement in the Storting to increase support to </w:t>
      </w:r>
      <w:r w:rsidRPr="00AE450C">
        <w:rPr>
          <w:lang w:val="en-GB"/>
        </w:rPr>
        <w:t xml:space="preserve">Ukraine. Tax changes adopted in 2025 with </w:t>
      </w:r>
      <w:r>
        <w:rPr>
          <w:lang w:val="en-GB"/>
        </w:rPr>
        <w:t>budgetary</w:t>
      </w:r>
      <w:r w:rsidRPr="00AE450C">
        <w:rPr>
          <w:lang w:val="en-GB"/>
        </w:rPr>
        <w:t xml:space="preserve"> effect in 2026 will also contribute to increasing Fund spending next year.</w:t>
      </w:r>
    </w:p>
    <w:p w14:paraId="6A35D584" w14:textId="77777777" w:rsidR="00CB6E05" w:rsidRPr="007163D9" w:rsidRDefault="00CB6E05" w:rsidP="00E1651D">
      <w:pPr>
        <w:pStyle w:val="avsnitt-tittel"/>
        <w:rPr>
          <w:lang w:val="en-GB"/>
        </w:rPr>
      </w:pPr>
      <w:r>
        <w:rPr>
          <w:lang w:val="en-GB"/>
        </w:rPr>
        <w:t xml:space="preserve">Table 3.4 </w:t>
      </w:r>
      <w:r w:rsidRPr="007163D9">
        <w:rPr>
          <w:lang w:val="en-GB"/>
        </w:rPr>
        <w:t xml:space="preserve">Underlying fiscal budget expenditure1. </w:t>
      </w:r>
      <w:r>
        <w:rPr>
          <w:lang w:val="en-GB"/>
        </w:rPr>
        <w:t>Estimate</w:t>
      </w:r>
      <w:r w:rsidRPr="007163D9">
        <w:rPr>
          <w:lang w:val="en-GB"/>
        </w:rPr>
        <w:t>s in NOK million and percentage change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CB6E05" w:rsidRPr="0027241E" w14:paraId="65EE9BEC" w14:textId="77777777" w:rsidTr="00C7062A">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4D0C89" w14:textId="77777777" w:rsidR="00CB6E05" w:rsidRPr="007163D9" w:rsidRDefault="00CB6E05" w:rsidP="00C7062A">
            <w:pPr>
              <w:rPr>
                <w:lang w:val="en-GB"/>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E6A69B" w14:textId="77777777" w:rsidR="00CB6E05" w:rsidRPr="007163D9" w:rsidRDefault="00CB6E05" w:rsidP="008E7405">
            <w:pPr>
              <w:jc w:val="right"/>
              <w:rPr>
                <w:lang w:val="en-GB"/>
              </w:rPr>
            </w:pPr>
            <w:r w:rsidRPr="007163D9">
              <w:rPr>
                <w:lang w:val="en-GB"/>
              </w:rPr>
              <w:t>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92630D" w14:textId="77777777" w:rsidR="00CB6E05" w:rsidRPr="007163D9" w:rsidRDefault="00CB6E05" w:rsidP="008E7405">
            <w:pPr>
              <w:jc w:val="right"/>
              <w:rPr>
                <w:lang w:val="en-GB"/>
              </w:rPr>
            </w:pPr>
            <w:r w:rsidRPr="007163D9">
              <w:rPr>
                <w:lang w:val="en-GB"/>
              </w:rPr>
              <w:t>2026</w:t>
            </w:r>
          </w:p>
        </w:tc>
      </w:tr>
      <w:tr w:rsidR="00CB6E05" w:rsidRPr="0027241E" w14:paraId="7093DD22" w14:textId="77777777" w:rsidTr="00C7062A">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DE0A167" w14:textId="71FEF12A" w:rsidR="00CB6E05" w:rsidRPr="007163D9" w:rsidRDefault="00CB6E05" w:rsidP="00C7062A">
            <w:pPr>
              <w:rPr>
                <w:lang w:val="en-GB"/>
              </w:rPr>
            </w:pPr>
            <w:r w:rsidRPr="007163D9">
              <w:rPr>
                <w:lang w:val="en-GB"/>
              </w:rPr>
              <w:t>State budget expenditure</w:t>
            </w:r>
            <w:r w:rsidR="008E7405">
              <w:rPr>
                <w:lang w:val="en-GB"/>
              </w:rPr>
              <w:tab/>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9C98C6" w14:textId="77777777" w:rsidR="00CB6E05" w:rsidRPr="007163D9" w:rsidRDefault="00CB6E05" w:rsidP="008E7405">
            <w:pPr>
              <w:jc w:val="right"/>
              <w:rPr>
                <w:lang w:val="en-GB"/>
              </w:rPr>
            </w:pPr>
            <w:r w:rsidRPr="007163D9">
              <w:rPr>
                <w:lang w:val="en-GB"/>
              </w:rPr>
              <w:t>2 104 011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9DD225" w14:textId="77777777" w:rsidR="00CB6E05" w:rsidRPr="007163D9" w:rsidRDefault="00CB6E05" w:rsidP="008E7405">
            <w:pPr>
              <w:jc w:val="right"/>
              <w:rPr>
                <w:lang w:val="en-GB"/>
              </w:rPr>
            </w:pPr>
            <w:r w:rsidRPr="007163D9">
              <w:rPr>
                <w:lang w:val="en-GB"/>
              </w:rPr>
              <w:t>2 200 561</w:t>
            </w:r>
          </w:p>
        </w:tc>
      </w:tr>
      <w:tr w:rsidR="00CB6E05" w:rsidRPr="0027241E" w14:paraId="0B84D846" w14:textId="77777777" w:rsidTr="00C7062A">
        <w:trPr>
          <w:trHeight w:val="380"/>
        </w:trPr>
        <w:tc>
          <w:tcPr>
            <w:tcW w:w="6740" w:type="dxa"/>
            <w:tcBorders>
              <w:top w:val="nil"/>
              <w:left w:val="nil"/>
              <w:bottom w:val="nil"/>
              <w:right w:val="nil"/>
            </w:tcBorders>
            <w:tcMar>
              <w:top w:w="128" w:type="dxa"/>
              <w:left w:w="43" w:type="dxa"/>
              <w:bottom w:w="43" w:type="dxa"/>
              <w:right w:w="43" w:type="dxa"/>
            </w:tcMar>
          </w:tcPr>
          <w:p w14:paraId="73975FC1" w14:textId="55D6BE90" w:rsidR="00CB6E05" w:rsidRPr="007163D9" w:rsidRDefault="00CB6E05" w:rsidP="00C7062A">
            <w:pPr>
              <w:rPr>
                <w:lang w:val="en-GB"/>
              </w:rPr>
            </w:pPr>
            <w:r w:rsidRPr="007163D9">
              <w:rPr>
                <w:lang w:val="en-GB"/>
              </w:rPr>
              <w:t>- Government petroleum activities</w:t>
            </w:r>
            <w:r w:rsidR="008E7405">
              <w:rPr>
                <w:lang w:val="en-GB"/>
              </w:rPr>
              <w:tab/>
            </w:r>
          </w:p>
        </w:tc>
        <w:tc>
          <w:tcPr>
            <w:tcW w:w="1400" w:type="dxa"/>
            <w:tcBorders>
              <w:top w:val="nil"/>
              <w:left w:val="nil"/>
              <w:bottom w:val="nil"/>
              <w:right w:val="nil"/>
            </w:tcBorders>
            <w:tcMar>
              <w:top w:w="128" w:type="dxa"/>
              <w:left w:w="43" w:type="dxa"/>
              <w:bottom w:w="43" w:type="dxa"/>
              <w:right w:w="43" w:type="dxa"/>
            </w:tcMar>
            <w:vAlign w:val="bottom"/>
          </w:tcPr>
          <w:p w14:paraId="11415971" w14:textId="77777777" w:rsidR="00CB6E05" w:rsidRPr="007163D9" w:rsidRDefault="00CB6E05" w:rsidP="008E7405">
            <w:pPr>
              <w:jc w:val="right"/>
              <w:rPr>
                <w:lang w:val="en-GB"/>
              </w:rPr>
            </w:pPr>
            <w:r w:rsidRPr="007163D9">
              <w:rPr>
                <w:lang w:val="en-GB"/>
              </w:rPr>
              <w:t>31 354</w:t>
            </w:r>
          </w:p>
        </w:tc>
        <w:tc>
          <w:tcPr>
            <w:tcW w:w="1400" w:type="dxa"/>
            <w:tcBorders>
              <w:top w:val="nil"/>
              <w:left w:val="nil"/>
              <w:bottom w:val="nil"/>
              <w:right w:val="nil"/>
            </w:tcBorders>
            <w:tcMar>
              <w:top w:w="128" w:type="dxa"/>
              <w:left w:w="43" w:type="dxa"/>
              <w:bottom w:w="43" w:type="dxa"/>
              <w:right w:w="43" w:type="dxa"/>
            </w:tcMar>
            <w:vAlign w:val="bottom"/>
          </w:tcPr>
          <w:p w14:paraId="1310EDF0" w14:textId="77777777" w:rsidR="00CB6E05" w:rsidRPr="007163D9" w:rsidRDefault="00CB6E05" w:rsidP="008E7405">
            <w:pPr>
              <w:jc w:val="right"/>
              <w:rPr>
                <w:lang w:val="en-GB"/>
              </w:rPr>
            </w:pPr>
            <w:r w:rsidRPr="007163D9">
              <w:rPr>
                <w:lang w:val="en-GB"/>
              </w:rPr>
              <w:t>36 100</w:t>
            </w:r>
          </w:p>
        </w:tc>
      </w:tr>
      <w:tr w:rsidR="00CB6E05" w:rsidRPr="0027241E" w14:paraId="4B78E3F7" w14:textId="77777777" w:rsidTr="00C7062A">
        <w:trPr>
          <w:trHeight w:val="380"/>
        </w:trPr>
        <w:tc>
          <w:tcPr>
            <w:tcW w:w="6740" w:type="dxa"/>
            <w:tcBorders>
              <w:top w:val="nil"/>
              <w:left w:val="nil"/>
              <w:bottom w:val="nil"/>
              <w:right w:val="nil"/>
            </w:tcBorders>
            <w:tcMar>
              <w:top w:w="128" w:type="dxa"/>
              <w:left w:w="43" w:type="dxa"/>
              <w:bottom w:w="43" w:type="dxa"/>
              <w:right w:w="43" w:type="dxa"/>
            </w:tcMar>
          </w:tcPr>
          <w:p w14:paraId="02699EDE" w14:textId="456DA678" w:rsidR="00CB6E05" w:rsidRPr="007163D9" w:rsidRDefault="00CB6E05" w:rsidP="00C7062A">
            <w:pPr>
              <w:rPr>
                <w:lang w:val="en-GB"/>
              </w:rPr>
            </w:pPr>
            <w:r w:rsidRPr="007163D9">
              <w:rPr>
                <w:lang w:val="en-GB"/>
              </w:rPr>
              <w:t>- Unemployment benefits for the unemployed</w:t>
            </w:r>
            <w:r w:rsidR="008E7405">
              <w:rPr>
                <w:lang w:val="en-GB"/>
              </w:rPr>
              <w:tab/>
            </w:r>
          </w:p>
        </w:tc>
        <w:tc>
          <w:tcPr>
            <w:tcW w:w="1400" w:type="dxa"/>
            <w:tcBorders>
              <w:top w:val="nil"/>
              <w:left w:val="nil"/>
              <w:bottom w:val="nil"/>
              <w:right w:val="nil"/>
            </w:tcBorders>
            <w:tcMar>
              <w:top w:w="128" w:type="dxa"/>
              <w:left w:w="43" w:type="dxa"/>
              <w:bottom w:w="43" w:type="dxa"/>
              <w:right w:w="43" w:type="dxa"/>
            </w:tcMar>
            <w:vAlign w:val="bottom"/>
          </w:tcPr>
          <w:p w14:paraId="29006F49" w14:textId="77777777" w:rsidR="00CB6E05" w:rsidRPr="007163D9" w:rsidRDefault="00CB6E05" w:rsidP="008E7405">
            <w:pPr>
              <w:jc w:val="right"/>
              <w:rPr>
                <w:lang w:val="en-GB"/>
              </w:rPr>
            </w:pPr>
            <w:r w:rsidRPr="007163D9">
              <w:rPr>
                <w:lang w:val="en-GB"/>
              </w:rPr>
              <w:t>15 770</w:t>
            </w:r>
          </w:p>
        </w:tc>
        <w:tc>
          <w:tcPr>
            <w:tcW w:w="1400" w:type="dxa"/>
            <w:tcBorders>
              <w:top w:val="nil"/>
              <w:left w:val="nil"/>
              <w:bottom w:val="nil"/>
              <w:right w:val="nil"/>
            </w:tcBorders>
            <w:tcMar>
              <w:top w:w="128" w:type="dxa"/>
              <w:left w:w="43" w:type="dxa"/>
              <w:bottom w:w="43" w:type="dxa"/>
              <w:right w:w="43" w:type="dxa"/>
            </w:tcMar>
            <w:vAlign w:val="bottom"/>
          </w:tcPr>
          <w:p w14:paraId="10BA05B0" w14:textId="77777777" w:rsidR="00CB6E05" w:rsidRPr="007163D9" w:rsidRDefault="00CB6E05" w:rsidP="008E7405">
            <w:pPr>
              <w:jc w:val="right"/>
              <w:rPr>
                <w:lang w:val="en-GB"/>
              </w:rPr>
            </w:pPr>
            <w:r w:rsidRPr="007163D9">
              <w:rPr>
                <w:lang w:val="en-GB"/>
              </w:rPr>
              <w:t>16 957</w:t>
            </w:r>
          </w:p>
        </w:tc>
      </w:tr>
      <w:tr w:rsidR="00CB6E05" w:rsidRPr="0027241E" w14:paraId="6C6B42E4" w14:textId="77777777" w:rsidTr="00C7062A">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7CE48F4" w14:textId="58CDD3EB" w:rsidR="00CB6E05" w:rsidRPr="007163D9" w:rsidRDefault="00CB6E05" w:rsidP="00C7062A">
            <w:pPr>
              <w:rPr>
                <w:lang w:val="en-GB"/>
              </w:rPr>
            </w:pPr>
            <w:r w:rsidRPr="007163D9">
              <w:rPr>
                <w:lang w:val="en-GB"/>
              </w:rPr>
              <w:lastRenderedPageBreak/>
              <w:t>+ Interest expenses</w:t>
            </w:r>
            <w:r w:rsidR="008E7405">
              <w:rPr>
                <w:lang w:val="en-GB"/>
              </w:rPr>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D1AAC2" w14:textId="77777777" w:rsidR="00CB6E05" w:rsidRPr="007163D9" w:rsidRDefault="00CB6E05" w:rsidP="008E7405">
            <w:pPr>
              <w:jc w:val="right"/>
              <w:rPr>
                <w:lang w:val="en-GB"/>
              </w:rPr>
            </w:pPr>
            <w:r w:rsidRPr="007163D9">
              <w:rPr>
                <w:lang w:val="en-GB"/>
              </w:rPr>
              <w:t>18 874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90A087" w14:textId="77777777" w:rsidR="00CB6E05" w:rsidRPr="007163D9" w:rsidRDefault="00CB6E05" w:rsidP="008E7405">
            <w:pPr>
              <w:jc w:val="right"/>
              <w:rPr>
                <w:lang w:val="en-GB"/>
              </w:rPr>
            </w:pPr>
            <w:r w:rsidRPr="007163D9">
              <w:rPr>
                <w:lang w:val="en-GB"/>
              </w:rPr>
              <w:t>20 732</w:t>
            </w:r>
          </w:p>
        </w:tc>
      </w:tr>
      <w:tr w:rsidR="00CB6E05" w:rsidRPr="0027241E" w14:paraId="49252519" w14:textId="77777777" w:rsidTr="00C7062A">
        <w:trPr>
          <w:trHeight w:val="640"/>
        </w:trPr>
        <w:tc>
          <w:tcPr>
            <w:tcW w:w="6740" w:type="dxa"/>
            <w:tcBorders>
              <w:top w:val="single" w:sz="4" w:space="0" w:color="000000"/>
              <w:left w:val="nil"/>
              <w:bottom w:val="nil"/>
              <w:right w:val="nil"/>
            </w:tcBorders>
            <w:tcMar>
              <w:top w:w="128" w:type="dxa"/>
              <w:left w:w="43" w:type="dxa"/>
              <w:bottom w:w="43" w:type="dxa"/>
              <w:right w:w="43" w:type="dxa"/>
            </w:tcMar>
          </w:tcPr>
          <w:p w14:paraId="69F21B96" w14:textId="3BC006C7" w:rsidR="00CB6E05" w:rsidRPr="007163D9" w:rsidRDefault="00CB6E05" w:rsidP="00C7062A">
            <w:pPr>
              <w:rPr>
                <w:lang w:val="en-GB"/>
              </w:rPr>
            </w:pPr>
            <w:r w:rsidRPr="007163D9">
              <w:rPr>
                <w:lang w:val="en-GB"/>
              </w:rPr>
              <w:t>= Expenditure other than petroleum activities, unemployment benefits and interest expenses</w:t>
            </w:r>
            <w:r w:rsidR="008E7405">
              <w:rPr>
                <w:lang w:val="en-GB"/>
              </w:rPr>
              <w:tab/>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81945F4" w14:textId="77777777" w:rsidR="00CB6E05" w:rsidRPr="007163D9" w:rsidRDefault="00CB6E05" w:rsidP="008E7405">
            <w:pPr>
              <w:jc w:val="right"/>
              <w:rPr>
                <w:lang w:val="en-GB"/>
              </w:rPr>
            </w:pPr>
            <w:r w:rsidRPr="007163D9">
              <w:rPr>
                <w:lang w:val="en-GB"/>
              </w:rPr>
              <w:t>2 037 013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9D49CD" w14:textId="77777777" w:rsidR="00CB6E05" w:rsidRPr="007163D9" w:rsidRDefault="00CB6E05" w:rsidP="008E7405">
            <w:pPr>
              <w:jc w:val="right"/>
              <w:rPr>
                <w:lang w:val="en-GB"/>
              </w:rPr>
            </w:pPr>
            <w:r w:rsidRPr="007163D9">
              <w:rPr>
                <w:lang w:val="en-GB"/>
              </w:rPr>
              <w:t>2 126 772</w:t>
            </w:r>
          </w:p>
        </w:tc>
      </w:tr>
      <w:tr w:rsidR="00CB6E05" w:rsidRPr="0027241E" w14:paraId="199852E8" w14:textId="77777777" w:rsidTr="00C7062A">
        <w:trPr>
          <w:trHeight w:val="380"/>
        </w:trPr>
        <w:tc>
          <w:tcPr>
            <w:tcW w:w="6740" w:type="dxa"/>
            <w:tcBorders>
              <w:top w:val="nil"/>
              <w:left w:val="nil"/>
              <w:bottom w:val="nil"/>
              <w:right w:val="nil"/>
            </w:tcBorders>
            <w:tcMar>
              <w:top w:w="128" w:type="dxa"/>
              <w:left w:w="43" w:type="dxa"/>
              <w:bottom w:w="43" w:type="dxa"/>
              <w:right w:w="43" w:type="dxa"/>
            </w:tcMar>
          </w:tcPr>
          <w:p w14:paraId="310D11F1" w14:textId="771F1E17" w:rsidR="00CB6E05" w:rsidRPr="007163D9" w:rsidRDefault="00CB6E05" w:rsidP="00C7062A">
            <w:pPr>
              <w:rPr>
                <w:lang w:val="en-GB"/>
              </w:rPr>
            </w:pPr>
            <w:r w:rsidRPr="007163D9">
              <w:rPr>
                <w:lang w:val="en-GB"/>
              </w:rPr>
              <w:t>- Refugees in Norway financed through the aid framework</w:t>
            </w:r>
            <w:r w:rsidR="008E7405">
              <w:rPr>
                <w:lang w:val="en-GB"/>
              </w:rPr>
              <w:tab/>
            </w:r>
          </w:p>
        </w:tc>
        <w:tc>
          <w:tcPr>
            <w:tcW w:w="1400" w:type="dxa"/>
            <w:tcBorders>
              <w:top w:val="nil"/>
              <w:left w:val="nil"/>
              <w:bottom w:val="nil"/>
              <w:right w:val="nil"/>
            </w:tcBorders>
            <w:tcMar>
              <w:top w:w="128" w:type="dxa"/>
              <w:left w:w="43" w:type="dxa"/>
              <w:bottom w:w="43" w:type="dxa"/>
              <w:right w:w="43" w:type="dxa"/>
            </w:tcMar>
            <w:vAlign w:val="bottom"/>
          </w:tcPr>
          <w:p w14:paraId="5D760691" w14:textId="77777777" w:rsidR="00CB6E05" w:rsidRPr="007163D9" w:rsidRDefault="00CB6E05" w:rsidP="008E7405">
            <w:pPr>
              <w:jc w:val="right"/>
              <w:rPr>
                <w:lang w:val="en-GB"/>
              </w:rPr>
            </w:pPr>
            <w:r w:rsidRPr="007163D9">
              <w:rPr>
                <w:lang w:val="en-GB"/>
              </w:rPr>
              <w:t>2 982</w:t>
            </w:r>
          </w:p>
        </w:tc>
        <w:tc>
          <w:tcPr>
            <w:tcW w:w="1400" w:type="dxa"/>
            <w:tcBorders>
              <w:top w:val="nil"/>
              <w:left w:val="nil"/>
              <w:bottom w:val="nil"/>
              <w:right w:val="nil"/>
            </w:tcBorders>
            <w:tcMar>
              <w:top w:w="128" w:type="dxa"/>
              <w:left w:w="43" w:type="dxa"/>
              <w:bottom w:w="43" w:type="dxa"/>
              <w:right w:w="43" w:type="dxa"/>
            </w:tcMar>
            <w:vAlign w:val="bottom"/>
          </w:tcPr>
          <w:p w14:paraId="13E6D57A" w14:textId="77777777" w:rsidR="00CB6E05" w:rsidRPr="007163D9" w:rsidRDefault="00CB6E05" w:rsidP="008E7405">
            <w:pPr>
              <w:jc w:val="right"/>
              <w:rPr>
                <w:lang w:val="en-GB"/>
              </w:rPr>
            </w:pPr>
            <w:r w:rsidRPr="007163D9">
              <w:rPr>
                <w:lang w:val="en-GB"/>
              </w:rPr>
              <w:t>2 703</w:t>
            </w:r>
          </w:p>
        </w:tc>
      </w:tr>
      <w:tr w:rsidR="00CB6E05" w:rsidRPr="0027241E" w14:paraId="079F188B" w14:textId="77777777" w:rsidTr="00C7062A">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3B160DB" w14:textId="41ED0B18" w:rsidR="00CB6E05" w:rsidRPr="007163D9" w:rsidRDefault="00CB6E05" w:rsidP="00C7062A">
            <w:pPr>
              <w:rPr>
                <w:lang w:val="en-GB"/>
              </w:rPr>
            </w:pPr>
            <w:r w:rsidRPr="007163D9">
              <w:rPr>
                <w:lang w:val="en-GB"/>
              </w:rPr>
              <w:t>+ Adjustment for pension premiums, etc., health enterprises</w:t>
            </w:r>
            <w:r w:rsidR="008E7405">
              <w:rPr>
                <w:lang w:val="en-GB"/>
              </w:rPr>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DD6B7A" w14:textId="77777777" w:rsidR="00CB6E05" w:rsidRPr="007163D9" w:rsidRDefault="00CB6E05" w:rsidP="008E7405">
            <w:pPr>
              <w:jc w:val="right"/>
              <w:rPr>
                <w:lang w:val="en-GB"/>
              </w:rPr>
            </w:pPr>
            <w:r w:rsidRPr="007163D9">
              <w:rPr>
                <w:lang w:val="en-GB"/>
              </w:rPr>
              <w:t>10 783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7110D2" w14:textId="77777777" w:rsidR="00CB6E05" w:rsidRPr="007163D9" w:rsidRDefault="00CB6E05" w:rsidP="008E7405">
            <w:pPr>
              <w:jc w:val="right"/>
              <w:rPr>
                <w:lang w:val="en-GB"/>
              </w:rPr>
            </w:pPr>
            <w:r w:rsidRPr="007163D9">
              <w:rPr>
                <w:lang w:val="en-GB"/>
              </w:rPr>
              <w:t>6 244</w:t>
            </w:r>
          </w:p>
        </w:tc>
      </w:tr>
      <w:tr w:rsidR="00CB6E05" w:rsidRPr="0027241E" w14:paraId="7C31A346" w14:textId="77777777" w:rsidTr="00C7062A">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7D7D2E36" w14:textId="5BE7F9BD" w:rsidR="00CB6E05" w:rsidRPr="007163D9" w:rsidRDefault="00CB6E05" w:rsidP="00C7062A">
            <w:pPr>
              <w:rPr>
                <w:lang w:val="en-GB"/>
              </w:rPr>
            </w:pPr>
            <w:r w:rsidRPr="007163D9">
              <w:rPr>
                <w:lang w:val="en-GB"/>
              </w:rPr>
              <w:t>= Underlying expenses</w:t>
            </w:r>
            <w:r w:rsidR="008E7405">
              <w:rPr>
                <w:lang w:val="en-GB"/>
              </w:rPr>
              <w:tab/>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62C3C7" w14:textId="77777777" w:rsidR="00CB6E05" w:rsidRPr="007163D9" w:rsidRDefault="00CB6E05" w:rsidP="008E7405">
            <w:pPr>
              <w:jc w:val="right"/>
              <w:rPr>
                <w:lang w:val="en-GB"/>
              </w:rPr>
            </w:pPr>
            <w:r w:rsidRPr="007163D9">
              <w:rPr>
                <w:lang w:val="en-GB"/>
              </w:rPr>
              <w:t>2 045 814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D945D" w14:textId="77777777" w:rsidR="00CB6E05" w:rsidRPr="007163D9" w:rsidRDefault="00CB6E05" w:rsidP="008E7405">
            <w:pPr>
              <w:jc w:val="right"/>
              <w:rPr>
                <w:lang w:val="en-GB"/>
              </w:rPr>
            </w:pPr>
            <w:r w:rsidRPr="007163D9">
              <w:rPr>
                <w:lang w:val="en-GB"/>
              </w:rPr>
              <w:t>2 130 312</w:t>
            </w:r>
          </w:p>
        </w:tc>
      </w:tr>
      <w:tr w:rsidR="00CB6E05" w:rsidRPr="0027241E" w14:paraId="629DD9DA" w14:textId="77777777" w:rsidTr="00C7062A">
        <w:trPr>
          <w:trHeight w:val="380"/>
        </w:trPr>
        <w:tc>
          <w:tcPr>
            <w:tcW w:w="6740" w:type="dxa"/>
            <w:tcBorders>
              <w:top w:val="nil"/>
              <w:left w:val="nil"/>
              <w:bottom w:val="nil"/>
              <w:right w:val="nil"/>
            </w:tcBorders>
            <w:tcMar>
              <w:top w:w="128" w:type="dxa"/>
              <w:left w:w="43" w:type="dxa"/>
              <w:bottom w:w="43" w:type="dxa"/>
              <w:right w:w="43" w:type="dxa"/>
            </w:tcMar>
          </w:tcPr>
          <w:p w14:paraId="1751BF6D" w14:textId="4A54E8FF" w:rsidR="00CB6E05" w:rsidRPr="007163D9" w:rsidRDefault="00CB6E05" w:rsidP="00C7062A">
            <w:pPr>
              <w:rPr>
                <w:lang w:val="en-GB"/>
              </w:rPr>
            </w:pPr>
            <w:r w:rsidRPr="007163D9">
              <w:rPr>
                <w:lang w:val="en-GB"/>
              </w:rPr>
              <w:t>Change in value in per cent.</w:t>
            </w:r>
            <w:r w:rsidR="008E7405">
              <w:rPr>
                <w:lang w:val="en-GB"/>
              </w:rPr>
              <w:tab/>
            </w:r>
          </w:p>
        </w:tc>
        <w:tc>
          <w:tcPr>
            <w:tcW w:w="1400" w:type="dxa"/>
            <w:tcBorders>
              <w:top w:val="nil"/>
              <w:left w:val="nil"/>
              <w:bottom w:val="nil"/>
              <w:right w:val="nil"/>
            </w:tcBorders>
            <w:tcMar>
              <w:top w:w="128" w:type="dxa"/>
              <w:left w:w="43" w:type="dxa"/>
              <w:bottom w:w="43" w:type="dxa"/>
              <w:right w:w="43" w:type="dxa"/>
            </w:tcMar>
            <w:vAlign w:val="bottom"/>
          </w:tcPr>
          <w:p w14:paraId="362969FA" w14:textId="77777777" w:rsidR="00CB6E05" w:rsidRPr="007163D9" w:rsidRDefault="00CB6E05" w:rsidP="008E7405">
            <w:pPr>
              <w:jc w:val="right"/>
              <w:rPr>
                <w:lang w:val="en-GB"/>
              </w:rPr>
            </w:pPr>
          </w:p>
        </w:tc>
        <w:tc>
          <w:tcPr>
            <w:tcW w:w="1400" w:type="dxa"/>
            <w:tcBorders>
              <w:top w:val="nil"/>
              <w:left w:val="nil"/>
              <w:bottom w:val="nil"/>
              <w:right w:val="nil"/>
            </w:tcBorders>
            <w:tcMar>
              <w:top w:w="128" w:type="dxa"/>
              <w:left w:w="43" w:type="dxa"/>
              <w:bottom w:w="43" w:type="dxa"/>
              <w:right w:w="43" w:type="dxa"/>
            </w:tcMar>
            <w:vAlign w:val="bottom"/>
          </w:tcPr>
          <w:p w14:paraId="6DD36A31" w14:textId="77777777" w:rsidR="00CB6E05" w:rsidRPr="007163D9" w:rsidRDefault="00CB6E05" w:rsidP="008E7405">
            <w:pPr>
              <w:jc w:val="right"/>
              <w:rPr>
                <w:lang w:val="en-GB"/>
              </w:rPr>
            </w:pPr>
            <w:r w:rsidRPr="007163D9">
              <w:rPr>
                <w:lang w:val="en-GB"/>
              </w:rPr>
              <w:t>4,1</w:t>
            </w:r>
          </w:p>
        </w:tc>
      </w:tr>
      <w:tr w:rsidR="00CB6E05" w:rsidRPr="0027241E" w14:paraId="749451FA" w14:textId="77777777" w:rsidTr="00C7062A">
        <w:trPr>
          <w:trHeight w:val="380"/>
        </w:trPr>
        <w:tc>
          <w:tcPr>
            <w:tcW w:w="6740" w:type="dxa"/>
            <w:tcBorders>
              <w:top w:val="nil"/>
              <w:left w:val="nil"/>
              <w:bottom w:val="nil"/>
              <w:right w:val="nil"/>
            </w:tcBorders>
            <w:tcMar>
              <w:top w:w="128" w:type="dxa"/>
              <w:left w:w="43" w:type="dxa"/>
              <w:bottom w:w="43" w:type="dxa"/>
              <w:right w:w="43" w:type="dxa"/>
            </w:tcMar>
          </w:tcPr>
          <w:p w14:paraId="5CBB6A5E" w14:textId="36570279" w:rsidR="00CB6E05" w:rsidRPr="007163D9" w:rsidRDefault="00CB6E05" w:rsidP="00C7062A">
            <w:pPr>
              <w:rPr>
                <w:lang w:val="en-GB"/>
              </w:rPr>
            </w:pPr>
            <w:r w:rsidRPr="007163D9">
              <w:rPr>
                <w:lang w:val="en-GB"/>
              </w:rPr>
              <w:t>Price change in per cent.</w:t>
            </w:r>
            <w:r w:rsidR="008E7405">
              <w:rPr>
                <w:lang w:val="en-GB"/>
              </w:rPr>
              <w:tab/>
            </w:r>
          </w:p>
        </w:tc>
        <w:tc>
          <w:tcPr>
            <w:tcW w:w="1400" w:type="dxa"/>
            <w:tcBorders>
              <w:top w:val="nil"/>
              <w:left w:val="nil"/>
              <w:bottom w:val="nil"/>
              <w:right w:val="nil"/>
            </w:tcBorders>
            <w:tcMar>
              <w:top w:w="128" w:type="dxa"/>
              <w:left w:w="43" w:type="dxa"/>
              <w:bottom w:w="43" w:type="dxa"/>
              <w:right w:w="43" w:type="dxa"/>
            </w:tcMar>
            <w:vAlign w:val="bottom"/>
          </w:tcPr>
          <w:p w14:paraId="1CEC80C0" w14:textId="77777777" w:rsidR="00CB6E05" w:rsidRPr="007163D9" w:rsidRDefault="00CB6E05" w:rsidP="008E7405">
            <w:pPr>
              <w:jc w:val="right"/>
              <w:rPr>
                <w:lang w:val="en-GB"/>
              </w:rPr>
            </w:pPr>
          </w:p>
        </w:tc>
        <w:tc>
          <w:tcPr>
            <w:tcW w:w="1400" w:type="dxa"/>
            <w:tcBorders>
              <w:top w:val="nil"/>
              <w:left w:val="nil"/>
              <w:bottom w:val="nil"/>
              <w:right w:val="nil"/>
            </w:tcBorders>
            <w:tcMar>
              <w:top w:w="128" w:type="dxa"/>
              <w:left w:w="43" w:type="dxa"/>
              <w:bottom w:w="43" w:type="dxa"/>
              <w:right w:w="43" w:type="dxa"/>
            </w:tcMar>
            <w:vAlign w:val="bottom"/>
          </w:tcPr>
          <w:p w14:paraId="38140F1B" w14:textId="77777777" w:rsidR="00CB6E05" w:rsidRPr="007163D9" w:rsidRDefault="00CB6E05" w:rsidP="008E7405">
            <w:pPr>
              <w:jc w:val="right"/>
              <w:rPr>
                <w:lang w:val="en-GB"/>
              </w:rPr>
            </w:pPr>
            <w:r w:rsidRPr="007163D9">
              <w:rPr>
                <w:lang w:val="en-GB"/>
              </w:rPr>
              <w:t>3,1</w:t>
            </w:r>
          </w:p>
        </w:tc>
      </w:tr>
      <w:tr w:rsidR="00CB6E05" w:rsidRPr="0027241E" w14:paraId="1539E238" w14:textId="77777777" w:rsidTr="00C7062A">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919D57C" w14:textId="7408DE50" w:rsidR="00CB6E05" w:rsidRPr="007163D9" w:rsidRDefault="00CB6E05" w:rsidP="00C7062A">
            <w:pPr>
              <w:rPr>
                <w:lang w:val="en-GB"/>
              </w:rPr>
            </w:pPr>
            <w:r w:rsidRPr="007163D9">
              <w:rPr>
                <w:lang w:val="en-GB"/>
              </w:rPr>
              <w:t>Volume change in per cent.</w:t>
            </w:r>
            <w:r w:rsidR="008E7405">
              <w:rPr>
                <w:lang w:val="en-GB"/>
              </w:rPr>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1FE503" w14:textId="77777777" w:rsidR="00CB6E05" w:rsidRPr="007163D9" w:rsidRDefault="00CB6E05" w:rsidP="008E7405">
            <w:pPr>
              <w:jc w:val="right"/>
              <w:rPr>
                <w:lang w:val="en-GB"/>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A1A4BE" w14:textId="77777777" w:rsidR="00CB6E05" w:rsidRPr="007163D9" w:rsidRDefault="00CB6E05" w:rsidP="008E7405">
            <w:pPr>
              <w:jc w:val="right"/>
              <w:rPr>
                <w:lang w:val="en-GB"/>
              </w:rPr>
            </w:pPr>
            <w:r w:rsidRPr="007163D9">
              <w:rPr>
                <w:lang w:val="en-GB"/>
              </w:rPr>
              <w:t>1,0</w:t>
            </w:r>
          </w:p>
        </w:tc>
      </w:tr>
    </w:tbl>
    <w:p w14:paraId="68A845F9" w14:textId="77777777" w:rsidR="00CB6E05" w:rsidRPr="007163D9" w:rsidRDefault="00CB6E05" w:rsidP="00E1651D">
      <w:pPr>
        <w:pStyle w:val="Note"/>
        <w:rPr>
          <w:rStyle w:val="skrift-hevet"/>
          <w:lang w:val="en-GB"/>
        </w:rPr>
      </w:pPr>
      <w:r w:rsidRPr="007163D9">
        <w:rPr>
          <w:rStyle w:val="skrift-hevet"/>
          <w:lang w:val="en-GB"/>
        </w:rPr>
        <w:t>1</w:t>
      </w:r>
      <w:r w:rsidRPr="007163D9">
        <w:rPr>
          <w:lang w:val="en-GB"/>
        </w:rPr>
        <w:tab/>
        <w:t xml:space="preserve">The calculation of underlying expenditure growth excludes central government budget expenditure on government petroleum activities, interest expenses and unemployment benefits. </w:t>
      </w:r>
      <w:proofErr w:type="gramStart"/>
      <w:r w:rsidRPr="007163D9">
        <w:rPr>
          <w:lang w:val="en-GB"/>
        </w:rPr>
        <w:t>In order to</w:t>
      </w:r>
      <w:proofErr w:type="gramEnd"/>
      <w:r w:rsidRPr="007163D9">
        <w:rPr>
          <w:lang w:val="en-GB"/>
        </w:rPr>
        <w:t xml:space="preserve"> make expenditure comparable over time, adjustments have been made for extraordinary changes and certain accounting considerations in accordance with standard procedures.</w:t>
      </w:r>
    </w:p>
    <w:p w14:paraId="1A91542D" w14:textId="77777777" w:rsidR="00CB6E05" w:rsidRPr="007163D9" w:rsidRDefault="00CB6E05" w:rsidP="00CB6E05">
      <w:pPr>
        <w:pStyle w:val="Kilde"/>
        <w:rPr>
          <w:lang w:val="en-GB"/>
        </w:rPr>
      </w:pPr>
      <w:r w:rsidRPr="007163D9">
        <w:rPr>
          <w:lang w:val="en-GB"/>
        </w:rPr>
        <w:t>Source: Ministry of Finance.</w:t>
      </w:r>
    </w:p>
    <w:p w14:paraId="5456F958" w14:textId="77777777" w:rsidR="00CB6E05" w:rsidRPr="007163D9" w:rsidRDefault="00CB6E05" w:rsidP="00CB6E05">
      <w:pPr>
        <w:rPr>
          <w:lang w:val="en-GB"/>
        </w:rPr>
      </w:pPr>
      <w:r w:rsidRPr="007163D9">
        <w:rPr>
          <w:lang w:val="en-GB"/>
        </w:rPr>
        <w:t xml:space="preserve">The central government's net cash flow from petroleum activities is estimated to </w:t>
      </w:r>
      <w:r>
        <w:rPr>
          <w:lang w:val="en-GB"/>
        </w:rPr>
        <w:t>decrease</w:t>
      </w:r>
      <w:r w:rsidRPr="007163D9">
        <w:rPr>
          <w:lang w:val="en-GB"/>
        </w:rPr>
        <w:t xml:space="preserve"> from NOK 664 billion to NOK 521 billion from 2025 to 2026</w:t>
      </w:r>
      <w:r>
        <w:rPr>
          <w:lang w:val="en-GB"/>
        </w:rPr>
        <w:t>, see T</w:t>
      </w:r>
      <w:r w:rsidRPr="007163D9">
        <w:rPr>
          <w:lang w:val="en-GB"/>
        </w:rPr>
        <w:t xml:space="preserve">able 3.5. Net allocations to the Government Pension Fund Global will </w:t>
      </w:r>
      <w:r>
        <w:rPr>
          <w:lang w:val="en-GB"/>
        </w:rPr>
        <w:t>hence</w:t>
      </w:r>
      <w:r w:rsidRPr="007163D9">
        <w:rPr>
          <w:lang w:val="en-GB"/>
        </w:rPr>
        <w:t xml:space="preserve"> fall by about NOK 107 billion from 2025 to 2026.</w:t>
      </w:r>
    </w:p>
    <w:p w14:paraId="27A88B3F" w14:textId="77777777" w:rsidR="00CB6E05" w:rsidRPr="007163D9" w:rsidRDefault="00CB6E05" w:rsidP="00E1651D">
      <w:pPr>
        <w:pStyle w:val="avsnitt-tittel"/>
        <w:rPr>
          <w:lang w:val="en-GB"/>
        </w:rPr>
      </w:pPr>
      <w:r>
        <w:rPr>
          <w:lang w:val="en-GB"/>
        </w:rPr>
        <w:lastRenderedPageBreak/>
        <w:t xml:space="preserve">Table 3.5 </w:t>
      </w:r>
      <w:r w:rsidRPr="007163D9">
        <w:rPr>
          <w:lang w:val="en-GB"/>
        </w:rPr>
        <w:t xml:space="preserve">Key figures in the </w:t>
      </w:r>
      <w:r>
        <w:rPr>
          <w:lang w:val="en-GB"/>
        </w:rPr>
        <w:t>National</w:t>
      </w:r>
      <w:r w:rsidRPr="007163D9">
        <w:rPr>
          <w:lang w:val="en-GB"/>
        </w:rPr>
        <w:t xml:space="preserve"> budget and the Government Pension Fund. NOK billion</w:t>
      </w:r>
    </w:p>
    <w:tbl>
      <w:tblPr>
        <w:tblW w:w="0" w:type="auto"/>
        <w:tblLayout w:type="fixed"/>
        <w:tblCellMar>
          <w:top w:w="110" w:type="dxa"/>
          <w:left w:w="43" w:type="dxa"/>
          <w:bottom w:w="43" w:type="dxa"/>
          <w:right w:w="43" w:type="dxa"/>
        </w:tblCellMar>
        <w:tblLook w:val="0000" w:firstRow="0" w:lastRow="0" w:firstColumn="0" w:lastColumn="0" w:noHBand="0" w:noVBand="0"/>
      </w:tblPr>
      <w:tblGrid>
        <w:gridCol w:w="6160"/>
        <w:gridCol w:w="1120"/>
        <w:gridCol w:w="1120"/>
        <w:gridCol w:w="1120"/>
      </w:tblGrid>
      <w:tr w:rsidR="00CB6E05" w:rsidRPr="0027241E" w14:paraId="037AC11D" w14:textId="77777777" w:rsidTr="00C7062A">
        <w:trPr>
          <w:trHeight w:val="340"/>
        </w:trPr>
        <w:tc>
          <w:tcPr>
            <w:tcW w:w="616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7F2C768" w14:textId="77777777" w:rsidR="00CB6E05" w:rsidRPr="007163D9" w:rsidRDefault="00CB6E05" w:rsidP="00C7062A">
            <w:pPr>
              <w:rPr>
                <w:lang w:val="en-GB"/>
              </w:rPr>
            </w:pP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7D89A41" w14:textId="77777777" w:rsidR="00CB6E05" w:rsidRPr="007163D9" w:rsidRDefault="00CB6E05" w:rsidP="008E7405">
            <w:pPr>
              <w:jc w:val="right"/>
              <w:rPr>
                <w:lang w:val="en-GB"/>
              </w:rPr>
            </w:pPr>
            <w:r w:rsidRPr="007163D9">
              <w:rPr>
                <w:lang w:val="en-GB"/>
              </w:rPr>
              <w:t>2024</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BA26F4E" w14:textId="77777777" w:rsidR="00CB6E05" w:rsidRPr="007163D9" w:rsidRDefault="00CB6E05" w:rsidP="008E7405">
            <w:pPr>
              <w:jc w:val="right"/>
              <w:rPr>
                <w:lang w:val="en-GB"/>
              </w:rPr>
            </w:pPr>
            <w:r w:rsidRPr="007163D9">
              <w:rPr>
                <w:lang w:val="en-GB"/>
              </w:rPr>
              <w:t>2025</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194C5F3" w14:textId="77777777" w:rsidR="00CB6E05" w:rsidRPr="007163D9" w:rsidRDefault="00CB6E05" w:rsidP="008E7405">
            <w:pPr>
              <w:jc w:val="right"/>
              <w:rPr>
                <w:lang w:val="en-GB"/>
              </w:rPr>
            </w:pPr>
            <w:r w:rsidRPr="007163D9">
              <w:rPr>
                <w:lang w:val="en-GB"/>
              </w:rPr>
              <w:t>2026</w:t>
            </w:r>
          </w:p>
        </w:tc>
      </w:tr>
      <w:tr w:rsidR="00CB6E05" w:rsidRPr="0027241E" w14:paraId="405181C2" w14:textId="77777777" w:rsidTr="00C7062A">
        <w:trPr>
          <w:trHeight w:val="360"/>
        </w:trPr>
        <w:tc>
          <w:tcPr>
            <w:tcW w:w="6160" w:type="dxa"/>
            <w:tcBorders>
              <w:top w:val="single" w:sz="4" w:space="0" w:color="000000"/>
              <w:left w:val="nil"/>
              <w:bottom w:val="nil"/>
              <w:right w:val="nil"/>
            </w:tcBorders>
            <w:tcMar>
              <w:top w:w="110" w:type="dxa"/>
              <w:left w:w="43" w:type="dxa"/>
              <w:bottom w:w="43" w:type="dxa"/>
              <w:right w:w="43" w:type="dxa"/>
            </w:tcMar>
          </w:tcPr>
          <w:p w14:paraId="174F341A" w14:textId="0B2B74A0" w:rsidR="00CB6E05" w:rsidRPr="007163D9" w:rsidRDefault="00CB6E05" w:rsidP="00C7062A">
            <w:pPr>
              <w:rPr>
                <w:lang w:val="en-GB"/>
              </w:rPr>
            </w:pPr>
            <w:r w:rsidRPr="007163D9">
              <w:rPr>
                <w:lang w:val="en-GB"/>
              </w:rPr>
              <w:t>Total revenue</w:t>
            </w:r>
            <w:r w:rsidR="008E7405">
              <w:rPr>
                <w:lang w:val="en-GB"/>
              </w:rPr>
              <w:tab/>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548E969F" w14:textId="77777777" w:rsidR="00CB6E05" w:rsidRPr="007163D9" w:rsidRDefault="00CB6E05" w:rsidP="008E7405">
            <w:pPr>
              <w:jc w:val="right"/>
              <w:rPr>
                <w:lang w:val="en-GB"/>
              </w:rPr>
            </w:pPr>
            <w:r w:rsidRPr="007163D9">
              <w:rPr>
                <w:lang w:val="en-GB"/>
              </w:rPr>
              <w:t>2 323,8</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7D352F0B" w14:textId="77777777" w:rsidR="00CB6E05" w:rsidRPr="007163D9" w:rsidRDefault="00CB6E05" w:rsidP="008E7405">
            <w:pPr>
              <w:jc w:val="right"/>
              <w:rPr>
                <w:lang w:val="en-GB"/>
              </w:rPr>
            </w:pPr>
            <w:r w:rsidRPr="007163D9">
              <w:rPr>
                <w:lang w:val="en-GB"/>
              </w:rPr>
              <w:t>2 280,0</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7C5ABEAA" w14:textId="77777777" w:rsidR="00CB6E05" w:rsidRPr="007163D9" w:rsidRDefault="00CB6E05" w:rsidP="008E7405">
            <w:pPr>
              <w:jc w:val="right"/>
              <w:rPr>
                <w:lang w:val="en-GB"/>
              </w:rPr>
            </w:pPr>
            <w:r w:rsidRPr="007163D9">
              <w:rPr>
                <w:lang w:val="en-GB"/>
              </w:rPr>
              <w:t>2 269,6</w:t>
            </w:r>
          </w:p>
        </w:tc>
      </w:tr>
      <w:tr w:rsidR="00CB6E05" w:rsidRPr="0027241E" w14:paraId="023330E0"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11EBCF03" w14:textId="46FB8E3A" w:rsidR="00CB6E05" w:rsidRPr="007163D9" w:rsidRDefault="00CB6E05" w:rsidP="00C7062A">
            <w:pPr>
              <w:rPr>
                <w:lang w:val="en-GB"/>
              </w:rPr>
            </w:pPr>
            <w:r w:rsidRPr="007163D9">
              <w:rPr>
                <w:lang w:val="en-GB"/>
              </w:rPr>
              <w:t>1</w:t>
            </w:r>
            <w:r w:rsidRPr="007163D9">
              <w:rPr>
                <w:lang w:val="en-GB"/>
              </w:rPr>
              <w:tab/>
              <w:t>Revenues from petroleum activities</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1E717045" w14:textId="77777777" w:rsidR="00CB6E05" w:rsidRPr="007163D9" w:rsidRDefault="00CB6E05" w:rsidP="008E7405">
            <w:pPr>
              <w:jc w:val="right"/>
              <w:rPr>
                <w:lang w:val="en-GB"/>
              </w:rPr>
            </w:pPr>
            <w:r w:rsidRPr="007163D9">
              <w:rPr>
                <w:lang w:val="en-GB"/>
              </w:rPr>
              <w:t>750,7</w:t>
            </w:r>
          </w:p>
        </w:tc>
        <w:tc>
          <w:tcPr>
            <w:tcW w:w="1120" w:type="dxa"/>
            <w:tcBorders>
              <w:top w:val="nil"/>
              <w:left w:val="nil"/>
              <w:bottom w:val="nil"/>
              <w:right w:val="nil"/>
            </w:tcBorders>
            <w:tcMar>
              <w:top w:w="110" w:type="dxa"/>
              <w:left w:w="43" w:type="dxa"/>
              <w:bottom w:w="43" w:type="dxa"/>
              <w:right w:w="43" w:type="dxa"/>
            </w:tcMar>
            <w:vAlign w:val="bottom"/>
          </w:tcPr>
          <w:p w14:paraId="00ECDA2B" w14:textId="77777777" w:rsidR="00CB6E05" w:rsidRPr="007163D9" w:rsidRDefault="00CB6E05" w:rsidP="008E7405">
            <w:pPr>
              <w:jc w:val="right"/>
              <w:rPr>
                <w:lang w:val="en-GB"/>
              </w:rPr>
            </w:pPr>
            <w:r w:rsidRPr="007163D9">
              <w:rPr>
                <w:lang w:val="en-GB"/>
              </w:rPr>
              <w:t>695,0</w:t>
            </w:r>
          </w:p>
        </w:tc>
        <w:tc>
          <w:tcPr>
            <w:tcW w:w="1120" w:type="dxa"/>
            <w:tcBorders>
              <w:top w:val="nil"/>
              <w:left w:val="nil"/>
              <w:bottom w:val="nil"/>
              <w:right w:val="nil"/>
            </w:tcBorders>
            <w:tcMar>
              <w:top w:w="110" w:type="dxa"/>
              <w:left w:w="43" w:type="dxa"/>
              <w:bottom w:w="43" w:type="dxa"/>
              <w:right w:w="43" w:type="dxa"/>
            </w:tcMar>
            <w:vAlign w:val="bottom"/>
          </w:tcPr>
          <w:p w14:paraId="197A4198" w14:textId="77777777" w:rsidR="00CB6E05" w:rsidRPr="007163D9" w:rsidRDefault="00CB6E05" w:rsidP="008E7405">
            <w:pPr>
              <w:jc w:val="right"/>
              <w:rPr>
                <w:lang w:val="en-GB"/>
              </w:rPr>
            </w:pPr>
            <w:r w:rsidRPr="007163D9">
              <w:rPr>
                <w:lang w:val="en-GB"/>
              </w:rPr>
              <w:t>557,4</w:t>
            </w:r>
          </w:p>
        </w:tc>
      </w:tr>
      <w:tr w:rsidR="00CB6E05" w:rsidRPr="0027241E" w14:paraId="6E876030"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00E6B963" w14:textId="77777777" w:rsidR="00CB6E05" w:rsidRPr="007163D9" w:rsidRDefault="00CB6E05" w:rsidP="00C7062A">
            <w:pPr>
              <w:rPr>
                <w:lang w:val="en-GB"/>
              </w:rPr>
            </w:pPr>
            <w:r w:rsidRPr="007163D9">
              <w:rPr>
                <w:lang w:val="en-GB"/>
              </w:rPr>
              <w:tab/>
              <w:t>1.1</w:t>
            </w:r>
            <w:r w:rsidRPr="007163D9">
              <w:rPr>
                <w:lang w:val="en-GB"/>
              </w:rPr>
              <w:tab/>
              <w:t>Taxes</w:t>
            </w:r>
            <w:r w:rsidRPr="007163D9">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2E62C90C" w14:textId="77777777" w:rsidR="00CB6E05" w:rsidRPr="007163D9" w:rsidRDefault="00CB6E05" w:rsidP="008E7405">
            <w:pPr>
              <w:jc w:val="right"/>
              <w:rPr>
                <w:lang w:val="en-GB"/>
              </w:rPr>
            </w:pPr>
            <w:r w:rsidRPr="007163D9">
              <w:rPr>
                <w:lang w:val="en-GB"/>
              </w:rPr>
              <w:t>420,3</w:t>
            </w:r>
          </w:p>
        </w:tc>
        <w:tc>
          <w:tcPr>
            <w:tcW w:w="1120" w:type="dxa"/>
            <w:tcBorders>
              <w:top w:val="nil"/>
              <w:left w:val="nil"/>
              <w:bottom w:val="nil"/>
              <w:right w:val="nil"/>
            </w:tcBorders>
            <w:tcMar>
              <w:top w:w="110" w:type="dxa"/>
              <w:left w:w="43" w:type="dxa"/>
              <w:bottom w:w="43" w:type="dxa"/>
              <w:right w:w="43" w:type="dxa"/>
            </w:tcMar>
            <w:vAlign w:val="bottom"/>
          </w:tcPr>
          <w:p w14:paraId="1EC79B6C" w14:textId="77777777" w:rsidR="00CB6E05" w:rsidRPr="007163D9" w:rsidRDefault="00CB6E05" w:rsidP="008E7405">
            <w:pPr>
              <w:jc w:val="right"/>
              <w:rPr>
                <w:lang w:val="en-GB"/>
              </w:rPr>
            </w:pPr>
            <w:r w:rsidRPr="007163D9">
              <w:rPr>
                <w:lang w:val="en-GB"/>
              </w:rPr>
              <w:t>383,8</w:t>
            </w:r>
          </w:p>
        </w:tc>
        <w:tc>
          <w:tcPr>
            <w:tcW w:w="1120" w:type="dxa"/>
            <w:tcBorders>
              <w:top w:val="nil"/>
              <w:left w:val="nil"/>
              <w:bottom w:val="nil"/>
              <w:right w:val="nil"/>
            </w:tcBorders>
            <w:tcMar>
              <w:top w:w="110" w:type="dxa"/>
              <w:left w:w="43" w:type="dxa"/>
              <w:bottom w:w="43" w:type="dxa"/>
              <w:right w:w="43" w:type="dxa"/>
            </w:tcMar>
            <w:vAlign w:val="bottom"/>
          </w:tcPr>
          <w:p w14:paraId="6AA246EA" w14:textId="77777777" w:rsidR="00CB6E05" w:rsidRPr="007163D9" w:rsidRDefault="00CB6E05" w:rsidP="008E7405">
            <w:pPr>
              <w:jc w:val="right"/>
              <w:rPr>
                <w:lang w:val="en-GB"/>
              </w:rPr>
            </w:pPr>
            <w:r w:rsidRPr="007163D9">
              <w:rPr>
                <w:lang w:val="en-GB"/>
              </w:rPr>
              <w:t>302,5</w:t>
            </w:r>
          </w:p>
        </w:tc>
      </w:tr>
      <w:tr w:rsidR="00CB6E05" w:rsidRPr="0027241E" w14:paraId="498C2EBB"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5A8201D4" w14:textId="77777777" w:rsidR="00CB6E05" w:rsidRPr="007163D9" w:rsidRDefault="00CB6E05" w:rsidP="00C7062A">
            <w:pPr>
              <w:rPr>
                <w:lang w:val="en-GB"/>
              </w:rPr>
            </w:pPr>
            <w:r w:rsidRPr="007163D9">
              <w:rPr>
                <w:lang w:val="en-GB"/>
              </w:rPr>
              <w:tab/>
              <w:t>1.2</w:t>
            </w:r>
            <w:r w:rsidRPr="007163D9">
              <w:rPr>
                <w:lang w:val="en-GB"/>
              </w:rPr>
              <w:tab/>
              <w:t>Other petroleum revenues</w:t>
            </w:r>
            <w:r w:rsidRPr="007163D9">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488D0D8A" w14:textId="77777777" w:rsidR="00CB6E05" w:rsidRPr="007163D9" w:rsidRDefault="00CB6E05" w:rsidP="008E7405">
            <w:pPr>
              <w:jc w:val="right"/>
              <w:rPr>
                <w:lang w:val="en-GB"/>
              </w:rPr>
            </w:pPr>
            <w:r w:rsidRPr="007163D9">
              <w:rPr>
                <w:lang w:val="en-GB"/>
              </w:rPr>
              <w:t>330,3</w:t>
            </w:r>
          </w:p>
        </w:tc>
        <w:tc>
          <w:tcPr>
            <w:tcW w:w="1120" w:type="dxa"/>
            <w:tcBorders>
              <w:top w:val="nil"/>
              <w:left w:val="nil"/>
              <w:bottom w:val="nil"/>
              <w:right w:val="nil"/>
            </w:tcBorders>
            <w:tcMar>
              <w:top w:w="110" w:type="dxa"/>
              <w:left w:w="43" w:type="dxa"/>
              <w:bottom w:w="43" w:type="dxa"/>
              <w:right w:w="43" w:type="dxa"/>
            </w:tcMar>
            <w:vAlign w:val="bottom"/>
          </w:tcPr>
          <w:p w14:paraId="664D33B5" w14:textId="77777777" w:rsidR="00CB6E05" w:rsidRPr="007163D9" w:rsidRDefault="00CB6E05" w:rsidP="008E7405">
            <w:pPr>
              <w:jc w:val="right"/>
              <w:rPr>
                <w:lang w:val="en-GB"/>
              </w:rPr>
            </w:pPr>
            <w:r w:rsidRPr="007163D9">
              <w:rPr>
                <w:lang w:val="en-GB"/>
              </w:rPr>
              <w:t>311,2</w:t>
            </w:r>
          </w:p>
        </w:tc>
        <w:tc>
          <w:tcPr>
            <w:tcW w:w="1120" w:type="dxa"/>
            <w:tcBorders>
              <w:top w:val="nil"/>
              <w:left w:val="nil"/>
              <w:bottom w:val="nil"/>
              <w:right w:val="nil"/>
            </w:tcBorders>
            <w:tcMar>
              <w:top w:w="110" w:type="dxa"/>
              <w:left w:w="43" w:type="dxa"/>
              <w:bottom w:w="43" w:type="dxa"/>
              <w:right w:w="43" w:type="dxa"/>
            </w:tcMar>
            <w:vAlign w:val="bottom"/>
          </w:tcPr>
          <w:p w14:paraId="3AC59905" w14:textId="77777777" w:rsidR="00CB6E05" w:rsidRPr="007163D9" w:rsidRDefault="00CB6E05" w:rsidP="008E7405">
            <w:pPr>
              <w:jc w:val="right"/>
              <w:rPr>
                <w:lang w:val="en-GB"/>
              </w:rPr>
            </w:pPr>
            <w:r w:rsidRPr="007163D9">
              <w:rPr>
                <w:lang w:val="en-GB"/>
              </w:rPr>
              <w:t>254,9</w:t>
            </w:r>
          </w:p>
        </w:tc>
      </w:tr>
      <w:tr w:rsidR="00CB6E05" w:rsidRPr="0027241E" w14:paraId="0CFCC972"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21E99493" w14:textId="0663E546" w:rsidR="00CB6E05" w:rsidRPr="007163D9" w:rsidRDefault="00CB6E05" w:rsidP="00C7062A">
            <w:pPr>
              <w:rPr>
                <w:lang w:val="en-GB"/>
              </w:rPr>
            </w:pPr>
            <w:r w:rsidRPr="007163D9">
              <w:rPr>
                <w:lang w:val="en-GB"/>
              </w:rPr>
              <w:t>2</w:t>
            </w:r>
            <w:r w:rsidRPr="007163D9">
              <w:rPr>
                <w:lang w:val="en-GB"/>
              </w:rPr>
              <w:tab/>
              <w:t>Revenues excluding petroleum revenues</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18F5A0AC" w14:textId="77777777" w:rsidR="00CB6E05" w:rsidRPr="007163D9" w:rsidRDefault="00CB6E05" w:rsidP="008E7405">
            <w:pPr>
              <w:jc w:val="right"/>
              <w:rPr>
                <w:lang w:val="en-GB"/>
              </w:rPr>
            </w:pPr>
            <w:r w:rsidRPr="007163D9">
              <w:rPr>
                <w:lang w:val="en-GB"/>
              </w:rPr>
              <w:t>1 573,1</w:t>
            </w:r>
          </w:p>
        </w:tc>
        <w:tc>
          <w:tcPr>
            <w:tcW w:w="1120" w:type="dxa"/>
            <w:tcBorders>
              <w:top w:val="nil"/>
              <w:left w:val="nil"/>
              <w:bottom w:val="nil"/>
              <w:right w:val="nil"/>
            </w:tcBorders>
            <w:tcMar>
              <w:top w:w="110" w:type="dxa"/>
              <w:left w:w="43" w:type="dxa"/>
              <w:bottom w:w="43" w:type="dxa"/>
              <w:right w:w="43" w:type="dxa"/>
            </w:tcMar>
            <w:vAlign w:val="bottom"/>
          </w:tcPr>
          <w:p w14:paraId="2221B516" w14:textId="77777777" w:rsidR="00CB6E05" w:rsidRPr="007163D9" w:rsidRDefault="00CB6E05" w:rsidP="008E7405">
            <w:pPr>
              <w:jc w:val="right"/>
              <w:rPr>
                <w:lang w:val="en-GB"/>
              </w:rPr>
            </w:pPr>
            <w:r w:rsidRPr="007163D9">
              <w:rPr>
                <w:lang w:val="en-GB"/>
              </w:rPr>
              <w:t>1 585,1</w:t>
            </w:r>
          </w:p>
        </w:tc>
        <w:tc>
          <w:tcPr>
            <w:tcW w:w="1120" w:type="dxa"/>
            <w:tcBorders>
              <w:top w:val="nil"/>
              <w:left w:val="nil"/>
              <w:bottom w:val="nil"/>
              <w:right w:val="nil"/>
            </w:tcBorders>
            <w:tcMar>
              <w:top w:w="110" w:type="dxa"/>
              <w:left w:w="43" w:type="dxa"/>
              <w:bottom w:w="43" w:type="dxa"/>
              <w:right w:w="43" w:type="dxa"/>
            </w:tcMar>
            <w:vAlign w:val="bottom"/>
          </w:tcPr>
          <w:p w14:paraId="022CD53A" w14:textId="77777777" w:rsidR="00CB6E05" w:rsidRPr="007163D9" w:rsidRDefault="00CB6E05" w:rsidP="008E7405">
            <w:pPr>
              <w:jc w:val="right"/>
              <w:rPr>
                <w:lang w:val="en-GB"/>
              </w:rPr>
            </w:pPr>
            <w:r w:rsidRPr="007163D9">
              <w:rPr>
                <w:lang w:val="en-GB"/>
              </w:rPr>
              <w:t>1 712,2</w:t>
            </w:r>
          </w:p>
        </w:tc>
      </w:tr>
      <w:tr w:rsidR="00CB6E05" w:rsidRPr="0027241E" w14:paraId="051F7B45"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58C8D6CF" w14:textId="77777777" w:rsidR="00CB6E05" w:rsidRPr="007163D9" w:rsidRDefault="00CB6E05" w:rsidP="00C7062A">
            <w:pPr>
              <w:rPr>
                <w:lang w:val="en-GB"/>
              </w:rPr>
            </w:pPr>
            <w:r w:rsidRPr="007163D9">
              <w:rPr>
                <w:lang w:val="en-GB"/>
              </w:rPr>
              <w:tab/>
              <w:t>2.1</w:t>
            </w:r>
            <w:r w:rsidRPr="007163D9">
              <w:rPr>
                <w:lang w:val="en-GB"/>
              </w:rPr>
              <w:tab/>
              <w:t>Taxes from mainland Norway</w:t>
            </w:r>
            <w:r w:rsidRPr="007163D9">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2BE59D1B" w14:textId="77777777" w:rsidR="00CB6E05" w:rsidRPr="007163D9" w:rsidRDefault="00CB6E05" w:rsidP="008E7405">
            <w:pPr>
              <w:jc w:val="right"/>
              <w:rPr>
                <w:lang w:val="en-GB"/>
              </w:rPr>
            </w:pPr>
            <w:r w:rsidRPr="007163D9">
              <w:rPr>
                <w:lang w:val="en-GB"/>
              </w:rPr>
              <w:t>1 397,8</w:t>
            </w:r>
          </w:p>
        </w:tc>
        <w:tc>
          <w:tcPr>
            <w:tcW w:w="1120" w:type="dxa"/>
            <w:tcBorders>
              <w:top w:val="nil"/>
              <w:left w:val="nil"/>
              <w:bottom w:val="nil"/>
              <w:right w:val="nil"/>
            </w:tcBorders>
            <w:tcMar>
              <w:top w:w="110" w:type="dxa"/>
              <w:left w:w="43" w:type="dxa"/>
              <w:bottom w:w="43" w:type="dxa"/>
              <w:right w:w="43" w:type="dxa"/>
            </w:tcMar>
            <w:vAlign w:val="bottom"/>
          </w:tcPr>
          <w:p w14:paraId="22C8DE2A" w14:textId="77777777" w:rsidR="00CB6E05" w:rsidRPr="007163D9" w:rsidRDefault="00CB6E05" w:rsidP="008E7405">
            <w:pPr>
              <w:jc w:val="right"/>
              <w:rPr>
                <w:lang w:val="en-GB"/>
              </w:rPr>
            </w:pPr>
            <w:r w:rsidRPr="007163D9">
              <w:rPr>
                <w:lang w:val="en-GB"/>
              </w:rPr>
              <w:t>1 421,4</w:t>
            </w:r>
          </w:p>
        </w:tc>
        <w:tc>
          <w:tcPr>
            <w:tcW w:w="1120" w:type="dxa"/>
            <w:tcBorders>
              <w:top w:val="nil"/>
              <w:left w:val="nil"/>
              <w:bottom w:val="nil"/>
              <w:right w:val="nil"/>
            </w:tcBorders>
            <w:tcMar>
              <w:top w:w="110" w:type="dxa"/>
              <w:left w:w="43" w:type="dxa"/>
              <w:bottom w:w="43" w:type="dxa"/>
              <w:right w:w="43" w:type="dxa"/>
            </w:tcMar>
            <w:vAlign w:val="bottom"/>
          </w:tcPr>
          <w:p w14:paraId="0EFFC46E" w14:textId="77777777" w:rsidR="00CB6E05" w:rsidRPr="007163D9" w:rsidRDefault="00CB6E05" w:rsidP="008E7405">
            <w:pPr>
              <w:jc w:val="right"/>
              <w:rPr>
                <w:lang w:val="en-GB"/>
              </w:rPr>
            </w:pPr>
            <w:r w:rsidRPr="007163D9">
              <w:rPr>
                <w:lang w:val="en-GB"/>
              </w:rPr>
              <w:t>1 560,2</w:t>
            </w:r>
          </w:p>
        </w:tc>
      </w:tr>
      <w:tr w:rsidR="00CB6E05" w:rsidRPr="0027241E" w14:paraId="1D985FF1" w14:textId="77777777" w:rsidTr="00C7062A">
        <w:trPr>
          <w:trHeight w:val="360"/>
        </w:trPr>
        <w:tc>
          <w:tcPr>
            <w:tcW w:w="6160" w:type="dxa"/>
            <w:tcBorders>
              <w:top w:val="nil"/>
              <w:left w:val="nil"/>
              <w:bottom w:val="single" w:sz="4" w:space="0" w:color="000000"/>
              <w:right w:val="nil"/>
            </w:tcBorders>
            <w:tcMar>
              <w:top w:w="110" w:type="dxa"/>
              <w:left w:w="43" w:type="dxa"/>
              <w:bottom w:w="43" w:type="dxa"/>
              <w:right w:w="43" w:type="dxa"/>
            </w:tcMar>
          </w:tcPr>
          <w:p w14:paraId="23C8A83C" w14:textId="77777777" w:rsidR="00CB6E05" w:rsidRPr="007163D9" w:rsidRDefault="00CB6E05" w:rsidP="00C7062A">
            <w:pPr>
              <w:rPr>
                <w:lang w:val="en-GB"/>
              </w:rPr>
            </w:pPr>
            <w:r w:rsidRPr="007163D9">
              <w:rPr>
                <w:lang w:val="en-GB"/>
              </w:rPr>
              <w:tab/>
              <w:t>2.2</w:t>
            </w:r>
            <w:r w:rsidRPr="007163D9">
              <w:rPr>
                <w:lang w:val="en-GB"/>
              </w:rPr>
              <w:tab/>
              <w:t>Other income</w:t>
            </w:r>
            <w:r w:rsidRPr="007163D9">
              <w:rPr>
                <w:lang w:val="en-GB"/>
              </w:rPr>
              <w:tab/>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63EAD90A" w14:textId="77777777" w:rsidR="00CB6E05" w:rsidRPr="007163D9" w:rsidRDefault="00CB6E05" w:rsidP="008E7405">
            <w:pPr>
              <w:jc w:val="right"/>
              <w:rPr>
                <w:lang w:val="en-GB"/>
              </w:rPr>
            </w:pPr>
            <w:r w:rsidRPr="007163D9">
              <w:rPr>
                <w:lang w:val="en-GB"/>
              </w:rPr>
              <w:t>175,3</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43954D44" w14:textId="77777777" w:rsidR="00CB6E05" w:rsidRPr="007163D9" w:rsidRDefault="00CB6E05" w:rsidP="008E7405">
            <w:pPr>
              <w:jc w:val="right"/>
              <w:rPr>
                <w:lang w:val="en-GB"/>
              </w:rPr>
            </w:pPr>
            <w:r w:rsidRPr="007163D9">
              <w:rPr>
                <w:lang w:val="en-GB"/>
              </w:rPr>
              <w:t>163,7</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51C2147A" w14:textId="77777777" w:rsidR="00CB6E05" w:rsidRPr="007163D9" w:rsidRDefault="00CB6E05" w:rsidP="008E7405">
            <w:pPr>
              <w:jc w:val="right"/>
              <w:rPr>
                <w:lang w:val="en-GB"/>
              </w:rPr>
            </w:pPr>
            <w:r w:rsidRPr="007163D9">
              <w:rPr>
                <w:lang w:val="en-GB"/>
              </w:rPr>
              <w:t>152,0</w:t>
            </w:r>
          </w:p>
        </w:tc>
      </w:tr>
      <w:tr w:rsidR="00CB6E05" w:rsidRPr="0027241E" w14:paraId="6ABBC782" w14:textId="77777777" w:rsidTr="00C7062A">
        <w:trPr>
          <w:trHeight w:val="360"/>
        </w:trPr>
        <w:tc>
          <w:tcPr>
            <w:tcW w:w="6160" w:type="dxa"/>
            <w:tcBorders>
              <w:top w:val="single" w:sz="4" w:space="0" w:color="000000"/>
              <w:left w:val="nil"/>
              <w:bottom w:val="nil"/>
              <w:right w:val="nil"/>
            </w:tcBorders>
            <w:tcMar>
              <w:top w:w="110" w:type="dxa"/>
              <w:left w:w="43" w:type="dxa"/>
              <w:bottom w:w="43" w:type="dxa"/>
              <w:right w:w="43" w:type="dxa"/>
            </w:tcMar>
          </w:tcPr>
          <w:p w14:paraId="79A56F4C" w14:textId="787964E2" w:rsidR="00CB6E05" w:rsidRPr="007163D9" w:rsidRDefault="00CB6E05" w:rsidP="00C7062A">
            <w:pPr>
              <w:rPr>
                <w:lang w:val="en-GB"/>
              </w:rPr>
            </w:pPr>
            <w:r w:rsidRPr="007163D9">
              <w:rPr>
                <w:lang w:val="en-GB"/>
              </w:rPr>
              <w:t>Total expenses</w:t>
            </w:r>
            <w:r w:rsidR="008E7405">
              <w:rPr>
                <w:lang w:val="en-GB"/>
              </w:rPr>
              <w:tab/>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5AABB324" w14:textId="77777777" w:rsidR="00CB6E05" w:rsidRPr="007163D9" w:rsidRDefault="00CB6E05" w:rsidP="008E7405">
            <w:pPr>
              <w:jc w:val="right"/>
              <w:rPr>
                <w:lang w:val="en-GB"/>
              </w:rPr>
            </w:pPr>
            <w:r w:rsidRPr="007163D9">
              <w:rPr>
                <w:lang w:val="en-GB"/>
              </w:rPr>
              <w:t>1 953,3</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080441BA" w14:textId="77777777" w:rsidR="00CB6E05" w:rsidRPr="007163D9" w:rsidRDefault="00CB6E05" w:rsidP="008E7405">
            <w:pPr>
              <w:jc w:val="right"/>
              <w:rPr>
                <w:lang w:val="en-GB"/>
              </w:rPr>
            </w:pPr>
            <w:r w:rsidRPr="007163D9">
              <w:rPr>
                <w:lang w:val="en-GB"/>
              </w:rPr>
              <w:t>2 104,0</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265A2149" w14:textId="77777777" w:rsidR="00CB6E05" w:rsidRPr="007163D9" w:rsidRDefault="00CB6E05" w:rsidP="008E7405">
            <w:pPr>
              <w:jc w:val="right"/>
              <w:rPr>
                <w:lang w:val="en-GB"/>
              </w:rPr>
            </w:pPr>
            <w:r w:rsidRPr="007163D9">
              <w:rPr>
                <w:lang w:val="en-GB"/>
              </w:rPr>
              <w:t>2 200,6</w:t>
            </w:r>
          </w:p>
        </w:tc>
      </w:tr>
      <w:tr w:rsidR="00CB6E05" w:rsidRPr="0027241E" w14:paraId="00EF9AFE"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40E1A5D6" w14:textId="5F6AE857" w:rsidR="00CB6E05" w:rsidRPr="007163D9" w:rsidRDefault="00CB6E05" w:rsidP="00C7062A">
            <w:pPr>
              <w:rPr>
                <w:lang w:val="en-GB"/>
              </w:rPr>
            </w:pPr>
            <w:r w:rsidRPr="007163D9">
              <w:rPr>
                <w:lang w:val="en-GB"/>
              </w:rPr>
              <w:t>1</w:t>
            </w:r>
            <w:r w:rsidRPr="007163D9">
              <w:rPr>
                <w:lang w:val="en-GB"/>
              </w:rPr>
              <w:tab/>
              <w:t>Expenditure on petroleum activities</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2BA3D3E4" w14:textId="77777777" w:rsidR="00CB6E05" w:rsidRPr="007163D9" w:rsidRDefault="00CB6E05" w:rsidP="008E7405">
            <w:pPr>
              <w:jc w:val="right"/>
              <w:rPr>
                <w:lang w:val="en-GB"/>
              </w:rPr>
            </w:pPr>
            <w:r w:rsidRPr="007163D9">
              <w:rPr>
                <w:lang w:val="en-GB"/>
              </w:rPr>
              <w:t>48,5</w:t>
            </w:r>
          </w:p>
        </w:tc>
        <w:tc>
          <w:tcPr>
            <w:tcW w:w="1120" w:type="dxa"/>
            <w:tcBorders>
              <w:top w:val="nil"/>
              <w:left w:val="nil"/>
              <w:bottom w:val="nil"/>
              <w:right w:val="nil"/>
            </w:tcBorders>
            <w:tcMar>
              <w:top w:w="110" w:type="dxa"/>
              <w:left w:w="43" w:type="dxa"/>
              <w:bottom w:w="43" w:type="dxa"/>
              <w:right w:w="43" w:type="dxa"/>
            </w:tcMar>
            <w:vAlign w:val="bottom"/>
          </w:tcPr>
          <w:p w14:paraId="4704A0CD" w14:textId="77777777" w:rsidR="00CB6E05" w:rsidRPr="007163D9" w:rsidRDefault="00CB6E05" w:rsidP="008E7405">
            <w:pPr>
              <w:jc w:val="right"/>
              <w:rPr>
                <w:lang w:val="en-GB"/>
              </w:rPr>
            </w:pPr>
            <w:r w:rsidRPr="007163D9">
              <w:rPr>
                <w:lang w:val="en-GB"/>
              </w:rPr>
              <w:t>31,4</w:t>
            </w:r>
          </w:p>
        </w:tc>
        <w:tc>
          <w:tcPr>
            <w:tcW w:w="1120" w:type="dxa"/>
            <w:tcBorders>
              <w:top w:val="nil"/>
              <w:left w:val="nil"/>
              <w:bottom w:val="nil"/>
              <w:right w:val="nil"/>
            </w:tcBorders>
            <w:tcMar>
              <w:top w:w="110" w:type="dxa"/>
              <w:left w:w="43" w:type="dxa"/>
              <w:bottom w:w="43" w:type="dxa"/>
              <w:right w:w="43" w:type="dxa"/>
            </w:tcMar>
            <w:vAlign w:val="bottom"/>
          </w:tcPr>
          <w:p w14:paraId="1799C38C" w14:textId="77777777" w:rsidR="00CB6E05" w:rsidRPr="007163D9" w:rsidRDefault="00CB6E05" w:rsidP="008E7405">
            <w:pPr>
              <w:jc w:val="right"/>
              <w:rPr>
                <w:lang w:val="en-GB"/>
              </w:rPr>
            </w:pPr>
            <w:r w:rsidRPr="007163D9">
              <w:rPr>
                <w:lang w:val="en-GB"/>
              </w:rPr>
              <w:t>36,1</w:t>
            </w:r>
          </w:p>
        </w:tc>
      </w:tr>
      <w:tr w:rsidR="00CB6E05" w:rsidRPr="0027241E" w14:paraId="6EB11B80" w14:textId="77777777" w:rsidTr="00C7062A">
        <w:trPr>
          <w:trHeight w:val="360"/>
        </w:trPr>
        <w:tc>
          <w:tcPr>
            <w:tcW w:w="6160" w:type="dxa"/>
            <w:tcBorders>
              <w:top w:val="nil"/>
              <w:left w:val="nil"/>
              <w:bottom w:val="single" w:sz="4" w:space="0" w:color="000000"/>
              <w:right w:val="nil"/>
            </w:tcBorders>
            <w:tcMar>
              <w:top w:w="110" w:type="dxa"/>
              <w:left w:w="43" w:type="dxa"/>
              <w:bottom w:w="43" w:type="dxa"/>
              <w:right w:w="43" w:type="dxa"/>
            </w:tcMar>
          </w:tcPr>
          <w:p w14:paraId="0319C08B" w14:textId="3B418828" w:rsidR="00CB6E05" w:rsidRPr="007163D9" w:rsidRDefault="00CB6E05" w:rsidP="00C7062A">
            <w:pPr>
              <w:rPr>
                <w:lang w:val="en-GB"/>
              </w:rPr>
            </w:pPr>
            <w:r w:rsidRPr="007163D9">
              <w:rPr>
                <w:lang w:val="en-GB"/>
              </w:rPr>
              <w:t>2</w:t>
            </w:r>
            <w:r w:rsidRPr="007163D9">
              <w:rPr>
                <w:lang w:val="en-GB"/>
              </w:rPr>
              <w:tab/>
              <w:t>Expenditure excluding petroleum activities</w:t>
            </w:r>
            <w:r w:rsidR="008E7405">
              <w:rPr>
                <w:lang w:val="en-GB"/>
              </w:rPr>
              <w:tab/>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0DFC45CE" w14:textId="77777777" w:rsidR="00CB6E05" w:rsidRPr="007163D9" w:rsidRDefault="00CB6E05" w:rsidP="008E7405">
            <w:pPr>
              <w:jc w:val="right"/>
              <w:rPr>
                <w:lang w:val="en-GB"/>
              </w:rPr>
            </w:pPr>
            <w:r w:rsidRPr="007163D9">
              <w:rPr>
                <w:lang w:val="en-GB"/>
              </w:rPr>
              <w:t>1 904,8</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220E9C61" w14:textId="77777777" w:rsidR="00CB6E05" w:rsidRPr="007163D9" w:rsidRDefault="00CB6E05" w:rsidP="008E7405">
            <w:pPr>
              <w:jc w:val="right"/>
              <w:rPr>
                <w:lang w:val="en-GB"/>
              </w:rPr>
            </w:pPr>
            <w:r w:rsidRPr="007163D9">
              <w:rPr>
                <w:lang w:val="en-GB"/>
              </w:rPr>
              <w:t>2 072,7</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25920AB2" w14:textId="77777777" w:rsidR="00CB6E05" w:rsidRPr="007163D9" w:rsidRDefault="00CB6E05" w:rsidP="008E7405">
            <w:pPr>
              <w:jc w:val="right"/>
              <w:rPr>
                <w:lang w:val="en-GB"/>
              </w:rPr>
            </w:pPr>
            <w:r w:rsidRPr="007163D9">
              <w:rPr>
                <w:lang w:val="en-GB"/>
              </w:rPr>
              <w:t>2 164,5</w:t>
            </w:r>
          </w:p>
        </w:tc>
      </w:tr>
      <w:tr w:rsidR="00CB6E05" w:rsidRPr="0027241E" w14:paraId="6D6F5077" w14:textId="77777777" w:rsidTr="00C7062A">
        <w:trPr>
          <w:trHeight w:val="620"/>
        </w:trPr>
        <w:tc>
          <w:tcPr>
            <w:tcW w:w="6160" w:type="dxa"/>
            <w:tcBorders>
              <w:top w:val="single" w:sz="4" w:space="0" w:color="000000"/>
              <w:left w:val="nil"/>
              <w:bottom w:val="nil"/>
              <w:right w:val="nil"/>
            </w:tcBorders>
            <w:tcMar>
              <w:top w:w="110" w:type="dxa"/>
              <w:left w:w="43" w:type="dxa"/>
              <w:bottom w:w="43" w:type="dxa"/>
              <w:right w:w="43" w:type="dxa"/>
            </w:tcMar>
          </w:tcPr>
          <w:p w14:paraId="1B78F4FA" w14:textId="429E276D" w:rsidR="00CB6E05" w:rsidRPr="007163D9" w:rsidRDefault="00CB6E05" w:rsidP="00C7062A">
            <w:pPr>
              <w:rPr>
                <w:lang w:val="en-GB"/>
              </w:rPr>
            </w:pPr>
            <w:r w:rsidRPr="007163D9">
              <w:rPr>
                <w:lang w:val="en-GB"/>
              </w:rPr>
              <w:t>Fiscal budget surplus before transfer to the Government Pension Fund Global</w:t>
            </w:r>
            <w:r w:rsidR="008E7405">
              <w:rPr>
                <w:lang w:val="en-GB"/>
              </w:rPr>
              <w:tab/>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0A5AD33F" w14:textId="77777777" w:rsidR="00CB6E05" w:rsidRPr="007163D9" w:rsidRDefault="00CB6E05" w:rsidP="008E7405">
            <w:pPr>
              <w:jc w:val="right"/>
              <w:rPr>
                <w:lang w:val="en-GB"/>
              </w:rPr>
            </w:pPr>
            <w:r w:rsidRPr="007163D9">
              <w:rPr>
                <w:lang w:val="en-GB"/>
              </w:rPr>
              <w:t>370,5</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5966C2BF" w14:textId="77777777" w:rsidR="00CB6E05" w:rsidRPr="007163D9" w:rsidRDefault="00CB6E05" w:rsidP="008E7405">
            <w:pPr>
              <w:jc w:val="right"/>
              <w:rPr>
                <w:lang w:val="en-GB"/>
              </w:rPr>
            </w:pPr>
            <w:r w:rsidRPr="007163D9">
              <w:rPr>
                <w:lang w:val="en-GB"/>
              </w:rPr>
              <w:t>176,0</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5649EF54" w14:textId="77777777" w:rsidR="00CB6E05" w:rsidRPr="007163D9" w:rsidRDefault="00CB6E05" w:rsidP="008E7405">
            <w:pPr>
              <w:jc w:val="right"/>
              <w:rPr>
                <w:lang w:val="en-GB"/>
              </w:rPr>
            </w:pPr>
            <w:r w:rsidRPr="007163D9">
              <w:rPr>
                <w:lang w:val="en-GB"/>
              </w:rPr>
              <w:t>69,1</w:t>
            </w:r>
          </w:p>
        </w:tc>
      </w:tr>
      <w:tr w:rsidR="00CB6E05" w:rsidRPr="0027241E" w14:paraId="46E23128" w14:textId="77777777" w:rsidTr="00C7062A">
        <w:trPr>
          <w:trHeight w:val="360"/>
        </w:trPr>
        <w:tc>
          <w:tcPr>
            <w:tcW w:w="6160" w:type="dxa"/>
            <w:tcBorders>
              <w:top w:val="nil"/>
              <w:left w:val="nil"/>
              <w:bottom w:val="single" w:sz="4" w:space="0" w:color="000000"/>
              <w:right w:val="nil"/>
            </w:tcBorders>
            <w:tcMar>
              <w:top w:w="110" w:type="dxa"/>
              <w:left w:w="43" w:type="dxa"/>
              <w:bottom w:w="43" w:type="dxa"/>
              <w:right w:w="43" w:type="dxa"/>
            </w:tcMar>
          </w:tcPr>
          <w:p w14:paraId="626ED519" w14:textId="3063B70B" w:rsidR="00CB6E05" w:rsidRPr="007163D9" w:rsidRDefault="00CB6E05" w:rsidP="00C7062A">
            <w:pPr>
              <w:rPr>
                <w:lang w:val="en-GB"/>
              </w:rPr>
            </w:pPr>
            <w:r w:rsidRPr="007163D9">
              <w:rPr>
                <w:lang w:val="en-GB"/>
              </w:rPr>
              <w:t>-</w:t>
            </w:r>
            <w:r w:rsidRPr="007163D9">
              <w:rPr>
                <w:lang w:val="en-GB"/>
              </w:rPr>
              <w:tab/>
              <w:t>Net cash flow from petroleum activities</w:t>
            </w:r>
            <w:r w:rsidR="008E7405">
              <w:rPr>
                <w:lang w:val="en-GB"/>
              </w:rPr>
              <w:tab/>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50F20143" w14:textId="77777777" w:rsidR="00CB6E05" w:rsidRPr="007163D9" w:rsidRDefault="00CB6E05" w:rsidP="008E7405">
            <w:pPr>
              <w:jc w:val="right"/>
              <w:rPr>
                <w:lang w:val="en-GB"/>
              </w:rPr>
            </w:pPr>
            <w:r w:rsidRPr="007163D9">
              <w:rPr>
                <w:lang w:val="en-GB"/>
              </w:rPr>
              <w:t>702,2</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6F2757BB" w14:textId="77777777" w:rsidR="00CB6E05" w:rsidRPr="007163D9" w:rsidRDefault="00CB6E05" w:rsidP="008E7405">
            <w:pPr>
              <w:jc w:val="right"/>
              <w:rPr>
                <w:lang w:val="en-GB"/>
              </w:rPr>
            </w:pPr>
            <w:r w:rsidRPr="007163D9">
              <w:rPr>
                <w:lang w:val="en-GB"/>
              </w:rPr>
              <w:t>663,6</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535D8C74" w14:textId="77777777" w:rsidR="00CB6E05" w:rsidRPr="007163D9" w:rsidRDefault="00CB6E05" w:rsidP="008E7405">
            <w:pPr>
              <w:jc w:val="right"/>
              <w:rPr>
                <w:lang w:val="en-GB"/>
              </w:rPr>
            </w:pPr>
            <w:r w:rsidRPr="007163D9">
              <w:rPr>
                <w:lang w:val="en-GB"/>
              </w:rPr>
              <w:t>521,3</w:t>
            </w:r>
          </w:p>
        </w:tc>
      </w:tr>
      <w:tr w:rsidR="00CB6E05" w:rsidRPr="0027241E" w14:paraId="026396B5" w14:textId="77777777" w:rsidTr="00C7062A">
        <w:trPr>
          <w:trHeight w:val="360"/>
        </w:trPr>
        <w:tc>
          <w:tcPr>
            <w:tcW w:w="6160" w:type="dxa"/>
            <w:tcBorders>
              <w:top w:val="single" w:sz="4" w:space="0" w:color="000000"/>
              <w:left w:val="nil"/>
              <w:bottom w:val="nil"/>
              <w:right w:val="nil"/>
            </w:tcBorders>
            <w:tcMar>
              <w:top w:w="110" w:type="dxa"/>
              <w:left w:w="43" w:type="dxa"/>
              <w:bottom w:w="43" w:type="dxa"/>
              <w:right w:w="43" w:type="dxa"/>
            </w:tcMar>
          </w:tcPr>
          <w:p w14:paraId="6E849E66" w14:textId="38411CFD" w:rsidR="00CB6E05" w:rsidRPr="007163D9" w:rsidRDefault="00CB6E05" w:rsidP="00C7062A">
            <w:pPr>
              <w:rPr>
                <w:lang w:val="en-GB"/>
              </w:rPr>
            </w:pPr>
            <w:r w:rsidRPr="007163D9">
              <w:rPr>
                <w:lang w:val="en-GB"/>
              </w:rPr>
              <w:t>=</w:t>
            </w:r>
            <w:r w:rsidRPr="007163D9">
              <w:rPr>
                <w:lang w:val="en-GB"/>
              </w:rPr>
              <w:tab/>
              <w:t>Non-oil surplus</w:t>
            </w:r>
            <w:r w:rsidR="008E7405">
              <w:rPr>
                <w:lang w:val="en-GB"/>
              </w:rPr>
              <w:tab/>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70BDAB35" w14:textId="77777777" w:rsidR="00CB6E05" w:rsidRPr="007163D9" w:rsidRDefault="00CB6E05" w:rsidP="008E7405">
            <w:pPr>
              <w:jc w:val="right"/>
              <w:rPr>
                <w:lang w:val="en-GB"/>
              </w:rPr>
            </w:pPr>
            <w:r w:rsidRPr="007163D9">
              <w:rPr>
                <w:lang w:val="en-GB"/>
              </w:rPr>
              <w:t>-331,7</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375E0FB5" w14:textId="77777777" w:rsidR="00CB6E05" w:rsidRPr="007163D9" w:rsidRDefault="00CB6E05" w:rsidP="008E7405">
            <w:pPr>
              <w:jc w:val="right"/>
              <w:rPr>
                <w:lang w:val="en-GB"/>
              </w:rPr>
            </w:pPr>
            <w:r w:rsidRPr="007163D9">
              <w:rPr>
                <w:lang w:val="en-GB"/>
              </w:rPr>
              <w:t>-487,6</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2E8D6B8C" w14:textId="77777777" w:rsidR="00CB6E05" w:rsidRPr="007163D9" w:rsidRDefault="00CB6E05" w:rsidP="008E7405">
            <w:pPr>
              <w:jc w:val="right"/>
              <w:rPr>
                <w:lang w:val="en-GB"/>
              </w:rPr>
            </w:pPr>
            <w:r w:rsidRPr="007163D9">
              <w:rPr>
                <w:lang w:val="en-GB"/>
              </w:rPr>
              <w:t>-452,2</w:t>
            </w:r>
          </w:p>
        </w:tc>
      </w:tr>
      <w:tr w:rsidR="00CB6E05" w:rsidRPr="0027241E" w14:paraId="2E249D5D" w14:textId="77777777" w:rsidTr="00C7062A">
        <w:trPr>
          <w:trHeight w:val="360"/>
        </w:trPr>
        <w:tc>
          <w:tcPr>
            <w:tcW w:w="6160" w:type="dxa"/>
            <w:tcBorders>
              <w:top w:val="nil"/>
              <w:left w:val="nil"/>
              <w:bottom w:val="single" w:sz="4" w:space="0" w:color="000000"/>
              <w:right w:val="nil"/>
            </w:tcBorders>
            <w:tcMar>
              <w:top w:w="110" w:type="dxa"/>
              <w:left w:w="43" w:type="dxa"/>
              <w:bottom w:w="43" w:type="dxa"/>
              <w:right w:w="43" w:type="dxa"/>
            </w:tcMar>
          </w:tcPr>
          <w:p w14:paraId="41993DC0" w14:textId="258873BC" w:rsidR="00CB6E05" w:rsidRPr="007163D9" w:rsidRDefault="00CB6E05" w:rsidP="00C7062A">
            <w:pPr>
              <w:rPr>
                <w:lang w:val="en-GB"/>
              </w:rPr>
            </w:pPr>
            <w:r w:rsidRPr="007163D9">
              <w:rPr>
                <w:lang w:val="en-GB"/>
              </w:rPr>
              <w:lastRenderedPageBreak/>
              <w:t>+</w:t>
            </w:r>
            <w:r w:rsidRPr="007163D9">
              <w:rPr>
                <w:lang w:val="en-GB"/>
              </w:rPr>
              <w:tab/>
              <w:t>Transfer from the Government Pension Fund Global</w:t>
            </w:r>
            <w:r w:rsidR="008E7405">
              <w:rPr>
                <w:lang w:val="en-GB"/>
              </w:rPr>
              <w:tab/>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2EE2B7BC" w14:textId="77777777" w:rsidR="00CB6E05" w:rsidRPr="007163D9" w:rsidRDefault="00CB6E05" w:rsidP="008E7405">
            <w:pPr>
              <w:jc w:val="right"/>
              <w:rPr>
                <w:lang w:val="en-GB"/>
              </w:rPr>
            </w:pPr>
            <w:r w:rsidRPr="007163D9">
              <w:rPr>
                <w:lang w:val="en-GB"/>
              </w:rPr>
              <w:t>346,5</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4AAF6EA1" w14:textId="77777777" w:rsidR="00CB6E05" w:rsidRPr="007163D9" w:rsidRDefault="00CB6E05" w:rsidP="008E7405">
            <w:pPr>
              <w:jc w:val="right"/>
              <w:rPr>
                <w:lang w:val="en-GB"/>
              </w:rPr>
            </w:pPr>
            <w:r w:rsidRPr="007163D9">
              <w:rPr>
                <w:lang w:val="en-GB"/>
              </w:rPr>
              <w:t>487,6</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4733ED54" w14:textId="77777777" w:rsidR="00CB6E05" w:rsidRPr="007163D9" w:rsidRDefault="00CB6E05" w:rsidP="008E7405">
            <w:pPr>
              <w:jc w:val="right"/>
              <w:rPr>
                <w:lang w:val="en-GB"/>
              </w:rPr>
            </w:pPr>
            <w:r w:rsidRPr="007163D9">
              <w:rPr>
                <w:lang w:val="en-GB"/>
              </w:rPr>
              <w:t>452,2</w:t>
            </w:r>
          </w:p>
        </w:tc>
      </w:tr>
      <w:tr w:rsidR="00CB6E05" w:rsidRPr="0027241E" w14:paraId="638FBA45"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4DB5B733" w14:textId="104E5BC1" w:rsidR="00CB6E05" w:rsidRPr="007163D9" w:rsidRDefault="00CB6E05" w:rsidP="00C7062A">
            <w:pPr>
              <w:rPr>
                <w:lang w:val="en-GB"/>
              </w:rPr>
            </w:pPr>
            <w:r w:rsidRPr="007163D9">
              <w:rPr>
                <w:lang w:val="en-GB"/>
              </w:rPr>
              <w:t>=</w:t>
            </w:r>
            <w:r w:rsidRPr="007163D9">
              <w:rPr>
                <w:lang w:val="en-GB"/>
              </w:rPr>
              <w:tab/>
              <w:t>Central government budget surplus</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4F420521" w14:textId="77777777" w:rsidR="00CB6E05" w:rsidRPr="007163D9" w:rsidRDefault="00CB6E05" w:rsidP="008E7405">
            <w:pPr>
              <w:jc w:val="right"/>
              <w:rPr>
                <w:lang w:val="en-GB"/>
              </w:rPr>
            </w:pPr>
            <w:r w:rsidRPr="007163D9">
              <w:rPr>
                <w:lang w:val="en-GB"/>
              </w:rPr>
              <w:t>14,7</w:t>
            </w:r>
          </w:p>
        </w:tc>
        <w:tc>
          <w:tcPr>
            <w:tcW w:w="1120" w:type="dxa"/>
            <w:tcBorders>
              <w:top w:val="nil"/>
              <w:left w:val="nil"/>
              <w:bottom w:val="nil"/>
              <w:right w:val="nil"/>
            </w:tcBorders>
            <w:tcMar>
              <w:top w:w="110" w:type="dxa"/>
              <w:left w:w="43" w:type="dxa"/>
              <w:bottom w:w="43" w:type="dxa"/>
              <w:right w:w="43" w:type="dxa"/>
            </w:tcMar>
            <w:vAlign w:val="bottom"/>
          </w:tcPr>
          <w:p w14:paraId="32CBA884" w14:textId="77777777" w:rsidR="00CB6E05" w:rsidRPr="007163D9" w:rsidRDefault="00CB6E05" w:rsidP="008E7405">
            <w:pPr>
              <w:jc w:val="right"/>
              <w:rPr>
                <w:lang w:val="en-GB"/>
              </w:rPr>
            </w:pPr>
            <w:r w:rsidRPr="007163D9">
              <w:rPr>
                <w:lang w:val="en-GB"/>
              </w:rPr>
              <w:t>0,0</w:t>
            </w:r>
          </w:p>
        </w:tc>
        <w:tc>
          <w:tcPr>
            <w:tcW w:w="1120" w:type="dxa"/>
            <w:tcBorders>
              <w:top w:val="nil"/>
              <w:left w:val="nil"/>
              <w:bottom w:val="nil"/>
              <w:right w:val="nil"/>
            </w:tcBorders>
            <w:tcMar>
              <w:top w:w="110" w:type="dxa"/>
              <w:left w:w="43" w:type="dxa"/>
              <w:bottom w:w="43" w:type="dxa"/>
              <w:right w:w="43" w:type="dxa"/>
            </w:tcMar>
            <w:vAlign w:val="bottom"/>
          </w:tcPr>
          <w:p w14:paraId="4A0CAE83" w14:textId="77777777" w:rsidR="00CB6E05" w:rsidRPr="007163D9" w:rsidRDefault="00CB6E05" w:rsidP="008E7405">
            <w:pPr>
              <w:jc w:val="right"/>
              <w:rPr>
                <w:lang w:val="en-GB"/>
              </w:rPr>
            </w:pPr>
            <w:r w:rsidRPr="007163D9">
              <w:rPr>
                <w:lang w:val="en-GB"/>
              </w:rPr>
              <w:t>0,0</w:t>
            </w:r>
          </w:p>
        </w:tc>
      </w:tr>
      <w:tr w:rsidR="00CB6E05" w:rsidRPr="0027241E" w14:paraId="759C969D"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1BE9CB60" w14:textId="33F5187E" w:rsidR="00CB6E05" w:rsidRPr="007163D9" w:rsidRDefault="00CB6E05" w:rsidP="00C7062A">
            <w:pPr>
              <w:rPr>
                <w:lang w:val="en-GB"/>
              </w:rPr>
            </w:pPr>
            <w:r w:rsidRPr="007163D9">
              <w:rPr>
                <w:lang w:val="en-GB"/>
              </w:rPr>
              <w:t>+</w:t>
            </w:r>
            <w:r w:rsidRPr="007163D9">
              <w:rPr>
                <w:lang w:val="en-GB"/>
              </w:rPr>
              <w:tab/>
              <w:t>Net provision for the Government Pension Fund Global</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732BE156" w14:textId="77777777" w:rsidR="00CB6E05" w:rsidRPr="007163D9" w:rsidRDefault="00CB6E05" w:rsidP="008E7405">
            <w:pPr>
              <w:jc w:val="right"/>
              <w:rPr>
                <w:lang w:val="en-GB"/>
              </w:rPr>
            </w:pPr>
            <w:r w:rsidRPr="007163D9">
              <w:rPr>
                <w:lang w:val="en-GB"/>
              </w:rPr>
              <w:t>355,7</w:t>
            </w:r>
          </w:p>
        </w:tc>
        <w:tc>
          <w:tcPr>
            <w:tcW w:w="1120" w:type="dxa"/>
            <w:tcBorders>
              <w:top w:val="nil"/>
              <w:left w:val="nil"/>
              <w:bottom w:val="nil"/>
              <w:right w:val="nil"/>
            </w:tcBorders>
            <w:tcMar>
              <w:top w:w="110" w:type="dxa"/>
              <w:left w:w="43" w:type="dxa"/>
              <w:bottom w:w="43" w:type="dxa"/>
              <w:right w:w="43" w:type="dxa"/>
            </w:tcMar>
            <w:vAlign w:val="bottom"/>
          </w:tcPr>
          <w:p w14:paraId="75709AAC" w14:textId="77777777" w:rsidR="00CB6E05" w:rsidRPr="007163D9" w:rsidRDefault="00CB6E05" w:rsidP="008E7405">
            <w:pPr>
              <w:jc w:val="right"/>
              <w:rPr>
                <w:lang w:val="en-GB"/>
              </w:rPr>
            </w:pPr>
            <w:r w:rsidRPr="007163D9">
              <w:rPr>
                <w:lang w:val="en-GB"/>
              </w:rPr>
              <w:t>176,0</w:t>
            </w:r>
          </w:p>
        </w:tc>
        <w:tc>
          <w:tcPr>
            <w:tcW w:w="1120" w:type="dxa"/>
            <w:tcBorders>
              <w:top w:val="nil"/>
              <w:left w:val="nil"/>
              <w:bottom w:val="nil"/>
              <w:right w:val="nil"/>
            </w:tcBorders>
            <w:tcMar>
              <w:top w:w="110" w:type="dxa"/>
              <w:left w:w="43" w:type="dxa"/>
              <w:bottom w:w="43" w:type="dxa"/>
              <w:right w:w="43" w:type="dxa"/>
            </w:tcMar>
            <w:vAlign w:val="bottom"/>
          </w:tcPr>
          <w:p w14:paraId="7BEAB131" w14:textId="77777777" w:rsidR="00CB6E05" w:rsidRPr="007163D9" w:rsidRDefault="00CB6E05" w:rsidP="008E7405">
            <w:pPr>
              <w:jc w:val="right"/>
              <w:rPr>
                <w:lang w:val="en-GB"/>
              </w:rPr>
            </w:pPr>
            <w:r w:rsidRPr="007163D9">
              <w:rPr>
                <w:lang w:val="en-GB"/>
              </w:rPr>
              <w:t>69,1</w:t>
            </w:r>
          </w:p>
        </w:tc>
      </w:tr>
      <w:tr w:rsidR="00CB6E05" w:rsidRPr="0027241E" w14:paraId="6D766C77"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134B01F2" w14:textId="4FAC75B1" w:rsidR="00CB6E05" w:rsidRPr="007163D9" w:rsidRDefault="00CB6E05" w:rsidP="00C7062A">
            <w:pPr>
              <w:rPr>
                <w:lang w:val="en-GB"/>
              </w:rPr>
            </w:pPr>
            <w:r w:rsidRPr="007163D9">
              <w:rPr>
                <w:lang w:val="en-GB"/>
              </w:rPr>
              <w:t>+</w:t>
            </w:r>
            <w:r w:rsidRPr="007163D9">
              <w:rPr>
                <w:lang w:val="en-GB"/>
              </w:rPr>
              <w:tab/>
              <w:t>Interest and dividend income, etc., in the Government Pension Fund1</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3F964C99" w14:textId="77777777" w:rsidR="00CB6E05" w:rsidRPr="007163D9" w:rsidRDefault="00CB6E05" w:rsidP="008E7405">
            <w:pPr>
              <w:jc w:val="right"/>
              <w:rPr>
                <w:lang w:val="en-GB"/>
              </w:rPr>
            </w:pPr>
            <w:r w:rsidRPr="007163D9">
              <w:rPr>
                <w:lang w:val="en-GB"/>
              </w:rPr>
              <w:t>422,1</w:t>
            </w:r>
          </w:p>
        </w:tc>
        <w:tc>
          <w:tcPr>
            <w:tcW w:w="1120" w:type="dxa"/>
            <w:tcBorders>
              <w:top w:val="nil"/>
              <w:left w:val="nil"/>
              <w:bottom w:val="nil"/>
              <w:right w:val="nil"/>
            </w:tcBorders>
            <w:tcMar>
              <w:top w:w="110" w:type="dxa"/>
              <w:left w:w="43" w:type="dxa"/>
              <w:bottom w:w="43" w:type="dxa"/>
              <w:right w:w="43" w:type="dxa"/>
            </w:tcMar>
            <w:vAlign w:val="bottom"/>
          </w:tcPr>
          <w:p w14:paraId="04055F74" w14:textId="77777777" w:rsidR="00CB6E05" w:rsidRPr="007163D9" w:rsidRDefault="00CB6E05" w:rsidP="008E7405">
            <w:pPr>
              <w:jc w:val="right"/>
              <w:rPr>
                <w:lang w:val="en-GB"/>
              </w:rPr>
            </w:pPr>
            <w:r w:rsidRPr="007163D9">
              <w:rPr>
                <w:lang w:val="en-GB"/>
              </w:rPr>
              <w:t>446,7</w:t>
            </w:r>
          </w:p>
        </w:tc>
        <w:tc>
          <w:tcPr>
            <w:tcW w:w="1120" w:type="dxa"/>
            <w:tcBorders>
              <w:top w:val="nil"/>
              <w:left w:val="nil"/>
              <w:bottom w:val="nil"/>
              <w:right w:val="nil"/>
            </w:tcBorders>
            <w:tcMar>
              <w:top w:w="110" w:type="dxa"/>
              <w:left w:w="43" w:type="dxa"/>
              <w:bottom w:w="43" w:type="dxa"/>
              <w:right w:w="43" w:type="dxa"/>
            </w:tcMar>
            <w:vAlign w:val="bottom"/>
          </w:tcPr>
          <w:p w14:paraId="5D2B9EC2" w14:textId="77777777" w:rsidR="00CB6E05" w:rsidRPr="007163D9" w:rsidRDefault="00CB6E05" w:rsidP="008E7405">
            <w:pPr>
              <w:jc w:val="right"/>
              <w:rPr>
                <w:lang w:val="en-GB"/>
              </w:rPr>
            </w:pPr>
            <w:r w:rsidRPr="007163D9">
              <w:rPr>
                <w:lang w:val="en-GB"/>
              </w:rPr>
              <w:t>482,5</w:t>
            </w:r>
          </w:p>
        </w:tc>
      </w:tr>
      <w:tr w:rsidR="00CB6E05" w:rsidRPr="0027241E" w14:paraId="4166764E" w14:textId="77777777" w:rsidTr="00C7062A">
        <w:trPr>
          <w:trHeight w:val="360"/>
        </w:trPr>
        <w:tc>
          <w:tcPr>
            <w:tcW w:w="6160" w:type="dxa"/>
            <w:tcBorders>
              <w:top w:val="nil"/>
              <w:left w:val="nil"/>
              <w:bottom w:val="single" w:sz="4" w:space="0" w:color="000000"/>
              <w:right w:val="nil"/>
            </w:tcBorders>
            <w:tcMar>
              <w:top w:w="110" w:type="dxa"/>
              <w:left w:w="43" w:type="dxa"/>
              <w:bottom w:w="43" w:type="dxa"/>
              <w:right w:w="43" w:type="dxa"/>
            </w:tcMar>
          </w:tcPr>
          <w:p w14:paraId="732BF1F6" w14:textId="7DD8E331" w:rsidR="00CB6E05" w:rsidRPr="007163D9" w:rsidRDefault="00CB6E05" w:rsidP="00C7062A">
            <w:pPr>
              <w:rPr>
                <w:lang w:val="en-GB"/>
              </w:rPr>
            </w:pPr>
            <w:r w:rsidRPr="007163D9">
              <w:rPr>
                <w:lang w:val="en-GB"/>
              </w:rPr>
              <w:t>-</w:t>
            </w:r>
            <w:r w:rsidRPr="007163D9">
              <w:rPr>
                <w:lang w:val="en-GB"/>
              </w:rPr>
              <w:tab/>
              <w:t>Transfer from the Government Pension Fund Norway</w:t>
            </w:r>
            <w:r w:rsidR="008E7405">
              <w:rPr>
                <w:lang w:val="en-GB"/>
              </w:rPr>
              <w:tab/>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77EE5763" w14:textId="77777777" w:rsidR="00CB6E05" w:rsidRPr="007163D9" w:rsidRDefault="00CB6E05" w:rsidP="008E7405">
            <w:pPr>
              <w:jc w:val="right"/>
              <w:rPr>
                <w:lang w:val="en-GB"/>
              </w:rPr>
            </w:pPr>
            <w:r w:rsidRPr="007163D9">
              <w:rPr>
                <w:lang w:val="en-GB"/>
              </w:rPr>
              <w:t>0,0</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0D9B55E6" w14:textId="77777777" w:rsidR="00CB6E05" w:rsidRPr="007163D9" w:rsidRDefault="00CB6E05" w:rsidP="008E7405">
            <w:pPr>
              <w:jc w:val="right"/>
              <w:rPr>
                <w:lang w:val="en-GB"/>
              </w:rPr>
            </w:pPr>
            <w:r w:rsidRPr="007163D9">
              <w:rPr>
                <w:lang w:val="en-GB"/>
              </w:rPr>
              <w:t>11,7</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1B3AFF72" w14:textId="77777777" w:rsidR="00CB6E05" w:rsidRPr="007163D9" w:rsidRDefault="00CB6E05" w:rsidP="008E7405">
            <w:pPr>
              <w:jc w:val="right"/>
              <w:rPr>
                <w:lang w:val="en-GB"/>
              </w:rPr>
            </w:pPr>
            <w:r w:rsidRPr="007163D9">
              <w:rPr>
                <w:lang w:val="en-GB"/>
              </w:rPr>
              <w:t>12,3</w:t>
            </w:r>
          </w:p>
        </w:tc>
      </w:tr>
      <w:tr w:rsidR="00CB6E05" w:rsidRPr="0027241E" w14:paraId="28E79B14" w14:textId="77777777" w:rsidTr="00C7062A">
        <w:trPr>
          <w:trHeight w:val="360"/>
        </w:trPr>
        <w:tc>
          <w:tcPr>
            <w:tcW w:w="6160" w:type="dxa"/>
            <w:tcBorders>
              <w:top w:val="single" w:sz="4" w:space="0" w:color="000000"/>
              <w:left w:val="nil"/>
              <w:bottom w:val="single" w:sz="4" w:space="0" w:color="000000"/>
              <w:right w:val="nil"/>
            </w:tcBorders>
            <w:tcMar>
              <w:top w:w="110" w:type="dxa"/>
              <w:left w:w="43" w:type="dxa"/>
              <w:bottom w:w="43" w:type="dxa"/>
              <w:right w:w="43" w:type="dxa"/>
            </w:tcMar>
          </w:tcPr>
          <w:p w14:paraId="12D56987" w14:textId="7566D850" w:rsidR="00CB6E05" w:rsidRPr="007163D9" w:rsidRDefault="00CB6E05" w:rsidP="00C7062A">
            <w:pPr>
              <w:rPr>
                <w:lang w:val="en-GB"/>
              </w:rPr>
            </w:pPr>
            <w:r w:rsidRPr="007163D9">
              <w:rPr>
                <w:lang w:val="en-GB"/>
              </w:rPr>
              <w:t>=</w:t>
            </w:r>
            <w:r w:rsidRPr="007163D9">
              <w:rPr>
                <w:lang w:val="en-GB"/>
              </w:rPr>
              <w:tab/>
              <w:t>Combined surplus in the fiscal budget and the Government Pension Fund</w:t>
            </w:r>
            <w:r w:rsidRPr="007163D9">
              <w:rPr>
                <w:vertAlign w:val="superscript"/>
                <w:lang w:val="en-GB"/>
              </w:rPr>
              <w:t>1</w:t>
            </w:r>
            <w:r w:rsidR="008E7405">
              <w:rPr>
                <w:lang w:val="en-GB"/>
              </w:rPr>
              <w:tab/>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03E15B2" w14:textId="77777777" w:rsidR="00CB6E05" w:rsidRPr="007163D9" w:rsidRDefault="00CB6E05" w:rsidP="008E7405">
            <w:pPr>
              <w:jc w:val="right"/>
              <w:rPr>
                <w:lang w:val="en-GB"/>
              </w:rPr>
            </w:pPr>
            <w:r w:rsidRPr="007163D9">
              <w:rPr>
                <w:lang w:val="en-GB"/>
              </w:rPr>
              <w:t>792,6</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8D3033E" w14:textId="77777777" w:rsidR="00CB6E05" w:rsidRPr="007163D9" w:rsidRDefault="00CB6E05" w:rsidP="008E7405">
            <w:pPr>
              <w:jc w:val="right"/>
              <w:rPr>
                <w:lang w:val="en-GB"/>
              </w:rPr>
            </w:pPr>
            <w:r w:rsidRPr="007163D9">
              <w:rPr>
                <w:lang w:val="en-GB"/>
              </w:rPr>
              <w:t>611,0</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2301022" w14:textId="77777777" w:rsidR="00CB6E05" w:rsidRPr="007163D9" w:rsidRDefault="00CB6E05" w:rsidP="008E7405">
            <w:pPr>
              <w:jc w:val="right"/>
              <w:rPr>
                <w:lang w:val="en-GB"/>
              </w:rPr>
            </w:pPr>
            <w:r w:rsidRPr="007163D9">
              <w:rPr>
                <w:lang w:val="en-GB"/>
              </w:rPr>
              <w:t>539,3</w:t>
            </w:r>
          </w:p>
        </w:tc>
      </w:tr>
      <w:tr w:rsidR="00CB6E05" w:rsidRPr="0027241E" w14:paraId="3C504B35"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583526FB" w14:textId="77777777" w:rsidR="00CB6E05" w:rsidRPr="007163D9" w:rsidRDefault="00CB6E05" w:rsidP="00C7062A">
            <w:pPr>
              <w:rPr>
                <w:lang w:val="en-GB"/>
              </w:rPr>
            </w:pPr>
            <w:r w:rsidRPr="007163D9">
              <w:rPr>
                <w:lang w:val="en-GB"/>
              </w:rPr>
              <w:t>Memo:</w:t>
            </w:r>
          </w:p>
        </w:tc>
        <w:tc>
          <w:tcPr>
            <w:tcW w:w="1120" w:type="dxa"/>
            <w:tcBorders>
              <w:top w:val="nil"/>
              <w:left w:val="nil"/>
              <w:bottom w:val="nil"/>
              <w:right w:val="nil"/>
            </w:tcBorders>
            <w:tcMar>
              <w:top w:w="110" w:type="dxa"/>
              <w:left w:w="43" w:type="dxa"/>
              <w:bottom w:w="43" w:type="dxa"/>
              <w:right w:w="43" w:type="dxa"/>
            </w:tcMar>
            <w:vAlign w:val="bottom"/>
          </w:tcPr>
          <w:p w14:paraId="0A25476D" w14:textId="77777777" w:rsidR="00CB6E05" w:rsidRPr="007163D9" w:rsidRDefault="00CB6E05" w:rsidP="008E7405">
            <w:pPr>
              <w:jc w:val="right"/>
              <w:rPr>
                <w:lang w:val="en-GB"/>
              </w:rPr>
            </w:pPr>
          </w:p>
        </w:tc>
        <w:tc>
          <w:tcPr>
            <w:tcW w:w="1120" w:type="dxa"/>
            <w:tcBorders>
              <w:top w:val="nil"/>
              <w:left w:val="nil"/>
              <w:bottom w:val="nil"/>
              <w:right w:val="nil"/>
            </w:tcBorders>
            <w:tcMar>
              <w:top w:w="110" w:type="dxa"/>
              <w:left w:w="43" w:type="dxa"/>
              <w:bottom w:w="43" w:type="dxa"/>
              <w:right w:w="43" w:type="dxa"/>
            </w:tcMar>
            <w:vAlign w:val="bottom"/>
          </w:tcPr>
          <w:p w14:paraId="5331C4B6" w14:textId="77777777" w:rsidR="00CB6E05" w:rsidRPr="007163D9" w:rsidRDefault="00CB6E05" w:rsidP="008E7405">
            <w:pPr>
              <w:jc w:val="right"/>
              <w:rPr>
                <w:lang w:val="en-GB"/>
              </w:rPr>
            </w:pPr>
          </w:p>
        </w:tc>
        <w:tc>
          <w:tcPr>
            <w:tcW w:w="1120" w:type="dxa"/>
            <w:tcBorders>
              <w:top w:val="nil"/>
              <w:left w:val="nil"/>
              <w:bottom w:val="nil"/>
              <w:right w:val="nil"/>
            </w:tcBorders>
            <w:tcMar>
              <w:top w:w="110" w:type="dxa"/>
              <w:left w:w="43" w:type="dxa"/>
              <w:bottom w:w="43" w:type="dxa"/>
              <w:right w:w="43" w:type="dxa"/>
            </w:tcMar>
            <w:vAlign w:val="bottom"/>
          </w:tcPr>
          <w:p w14:paraId="37546916" w14:textId="77777777" w:rsidR="00CB6E05" w:rsidRPr="007163D9" w:rsidRDefault="00CB6E05" w:rsidP="008E7405">
            <w:pPr>
              <w:jc w:val="right"/>
              <w:rPr>
                <w:lang w:val="en-GB"/>
              </w:rPr>
            </w:pPr>
          </w:p>
        </w:tc>
      </w:tr>
      <w:tr w:rsidR="00CB6E05" w:rsidRPr="0027241E" w14:paraId="62F7CAA8"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6F61FE67" w14:textId="68220F37" w:rsidR="00CB6E05" w:rsidRPr="007163D9" w:rsidRDefault="00CB6E05" w:rsidP="00C7062A">
            <w:pPr>
              <w:rPr>
                <w:lang w:val="en-GB"/>
              </w:rPr>
            </w:pPr>
            <w:r w:rsidRPr="007163D9">
              <w:rPr>
                <w:lang w:val="en-GB"/>
              </w:rPr>
              <w:t>Interest and dividend income, etc., in the Government Pension Fund Global</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1D69A091" w14:textId="77777777" w:rsidR="00CB6E05" w:rsidRPr="007163D9" w:rsidRDefault="00CB6E05" w:rsidP="008E7405">
            <w:pPr>
              <w:jc w:val="right"/>
              <w:rPr>
                <w:lang w:val="en-GB"/>
              </w:rPr>
            </w:pPr>
            <w:r w:rsidRPr="007163D9">
              <w:rPr>
                <w:lang w:val="en-GB"/>
              </w:rPr>
              <w:t>402,8</w:t>
            </w:r>
          </w:p>
        </w:tc>
        <w:tc>
          <w:tcPr>
            <w:tcW w:w="1120" w:type="dxa"/>
            <w:tcBorders>
              <w:top w:val="nil"/>
              <w:left w:val="nil"/>
              <w:bottom w:val="nil"/>
              <w:right w:val="nil"/>
            </w:tcBorders>
            <w:tcMar>
              <w:top w:w="110" w:type="dxa"/>
              <w:left w:w="43" w:type="dxa"/>
              <w:bottom w:w="43" w:type="dxa"/>
              <w:right w:w="43" w:type="dxa"/>
            </w:tcMar>
            <w:vAlign w:val="bottom"/>
          </w:tcPr>
          <w:p w14:paraId="7841AAEC" w14:textId="77777777" w:rsidR="00CB6E05" w:rsidRPr="007163D9" w:rsidRDefault="00CB6E05" w:rsidP="008E7405">
            <w:pPr>
              <w:jc w:val="right"/>
              <w:rPr>
                <w:lang w:val="en-GB"/>
              </w:rPr>
            </w:pPr>
            <w:r w:rsidRPr="007163D9">
              <w:rPr>
                <w:lang w:val="en-GB"/>
              </w:rPr>
              <w:t>428,1</w:t>
            </w:r>
          </w:p>
        </w:tc>
        <w:tc>
          <w:tcPr>
            <w:tcW w:w="1120" w:type="dxa"/>
            <w:tcBorders>
              <w:top w:val="nil"/>
              <w:left w:val="nil"/>
              <w:bottom w:val="nil"/>
              <w:right w:val="nil"/>
            </w:tcBorders>
            <w:tcMar>
              <w:top w:w="110" w:type="dxa"/>
              <w:left w:w="43" w:type="dxa"/>
              <w:bottom w:w="43" w:type="dxa"/>
              <w:right w:w="43" w:type="dxa"/>
            </w:tcMar>
            <w:vAlign w:val="bottom"/>
          </w:tcPr>
          <w:p w14:paraId="0A470E2F" w14:textId="77777777" w:rsidR="00CB6E05" w:rsidRPr="007163D9" w:rsidRDefault="00CB6E05" w:rsidP="008E7405">
            <w:pPr>
              <w:jc w:val="right"/>
              <w:rPr>
                <w:lang w:val="en-GB"/>
              </w:rPr>
            </w:pPr>
            <w:r w:rsidRPr="007163D9">
              <w:rPr>
                <w:lang w:val="en-GB"/>
              </w:rPr>
              <w:t>461,0</w:t>
            </w:r>
          </w:p>
        </w:tc>
      </w:tr>
      <w:tr w:rsidR="00CB6E05" w:rsidRPr="0027241E" w14:paraId="6CFEC7F6"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572687F7" w14:textId="2E637131" w:rsidR="00CB6E05" w:rsidRPr="007163D9" w:rsidRDefault="00CB6E05" w:rsidP="00C7062A">
            <w:pPr>
              <w:rPr>
                <w:lang w:val="en-GB"/>
              </w:rPr>
            </w:pPr>
            <w:r w:rsidRPr="007163D9">
              <w:rPr>
                <w:lang w:val="en-GB"/>
              </w:rPr>
              <w:t>Market value of the Government Pension Fund Global</w:t>
            </w:r>
            <w:r w:rsidRPr="007163D9">
              <w:rPr>
                <w:vertAlign w:val="superscript"/>
                <w:lang w:val="en-GB"/>
              </w:rPr>
              <w:t>2</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7C3AEF03" w14:textId="77777777" w:rsidR="00CB6E05" w:rsidRPr="007163D9" w:rsidRDefault="00CB6E05" w:rsidP="008E7405">
            <w:pPr>
              <w:jc w:val="right"/>
              <w:rPr>
                <w:lang w:val="en-GB"/>
              </w:rPr>
            </w:pPr>
            <w:r w:rsidRPr="007163D9">
              <w:rPr>
                <w:lang w:val="en-GB"/>
              </w:rPr>
              <w:t>15 761</w:t>
            </w:r>
          </w:p>
        </w:tc>
        <w:tc>
          <w:tcPr>
            <w:tcW w:w="1120" w:type="dxa"/>
            <w:tcBorders>
              <w:top w:val="nil"/>
              <w:left w:val="nil"/>
              <w:bottom w:val="nil"/>
              <w:right w:val="nil"/>
            </w:tcBorders>
            <w:tcMar>
              <w:top w:w="110" w:type="dxa"/>
              <w:left w:w="43" w:type="dxa"/>
              <w:bottom w:w="43" w:type="dxa"/>
              <w:right w:w="43" w:type="dxa"/>
            </w:tcMar>
            <w:vAlign w:val="bottom"/>
          </w:tcPr>
          <w:p w14:paraId="7BF02F96" w14:textId="77777777" w:rsidR="00CB6E05" w:rsidRPr="007163D9" w:rsidRDefault="00CB6E05" w:rsidP="008E7405">
            <w:pPr>
              <w:jc w:val="right"/>
              <w:rPr>
                <w:lang w:val="en-GB"/>
              </w:rPr>
            </w:pPr>
            <w:r w:rsidRPr="007163D9">
              <w:rPr>
                <w:lang w:val="en-GB"/>
              </w:rPr>
              <w:t>19 735</w:t>
            </w:r>
          </w:p>
        </w:tc>
        <w:tc>
          <w:tcPr>
            <w:tcW w:w="1120" w:type="dxa"/>
            <w:tcBorders>
              <w:top w:val="nil"/>
              <w:left w:val="nil"/>
              <w:bottom w:val="nil"/>
              <w:right w:val="nil"/>
            </w:tcBorders>
            <w:tcMar>
              <w:top w:w="110" w:type="dxa"/>
              <w:left w:w="43" w:type="dxa"/>
              <w:bottom w:w="43" w:type="dxa"/>
              <w:right w:w="43" w:type="dxa"/>
            </w:tcMar>
            <w:vAlign w:val="bottom"/>
          </w:tcPr>
          <w:p w14:paraId="485E841A" w14:textId="77777777" w:rsidR="00CB6E05" w:rsidRPr="007163D9" w:rsidRDefault="00CB6E05" w:rsidP="008E7405">
            <w:pPr>
              <w:jc w:val="right"/>
              <w:rPr>
                <w:lang w:val="en-GB"/>
              </w:rPr>
            </w:pPr>
            <w:r w:rsidRPr="007163D9">
              <w:rPr>
                <w:lang w:val="en-GB"/>
              </w:rPr>
              <w:t>20 500</w:t>
            </w:r>
          </w:p>
        </w:tc>
      </w:tr>
      <w:tr w:rsidR="00CB6E05" w:rsidRPr="0027241E" w14:paraId="4A484E2B" w14:textId="77777777" w:rsidTr="00C7062A">
        <w:trPr>
          <w:trHeight w:val="360"/>
        </w:trPr>
        <w:tc>
          <w:tcPr>
            <w:tcW w:w="6160" w:type="dxa"/>
            <w:tcBorders>
              <w:top w:val="nil"/>
              <w:left w:val="nil"/>
              <w:bottom w:val="nil"/>
              <w:right w:val="nil"/>
            </w:tcBorders>
            <w:tcMar>
              <w:top w:w="110" w:type="dxa"/>
              <w:left w:w="43" w:type="dxa"/>
              <w:bottom w:w="43" w:type="dxa"/>
              <w:right w:w="43" w:type="dxa"/>
            </w:tcMar>
          </w:tcPr>
          <w:p w14:paraId="054A2580" w14:textId="14D7BB8C" w:rsidR="00CB6E05" w:rsidRPr="007163D9" w:rsidRDefault="00CB6E05" w:rsidP="00C7062A">
            <w:pPr>
              <w:rPr>
                <w:lang w:val="en-GB"/>
              </w:rPr>
            </w:pPr>
            <w:r w:rsidRPr="007163D9">
              <w:rPr>
                <w:lang w:val="en-GB"/>
              </w:rPr>
              <w:t>Market value of the Government Pension Fund</w:t>
            </w:r>
            <w:r w:rsidRPr="007163D9">
              <w:rPr>
                <w:vertAlign w:val="superscript"/>
                <w:lang w:val="en-GB"/>
              </w:rPr>
              <w:t>2</w:t>
            </w:r>
            <w:r w:rsidR="008E7405">
              <w:rPr>
                <w:lang w:val="en-GB"/>
              </w:rPr>
              <w:tab/>
            </w:r>
          </w:p>
        </w:tc>
        <w:tc>
          <w:tcPr>
            <w:tcW w:w="1120" w:type="dxa"/>
            <w:tcBorders>
              <w:top w:val="nil"/>
              <w:left w:val="nil"/>
              <w:bottom w:val="nil"/>
              <w:right w:val="nil"/>
            </w:tcBorders>
            <w:tcMar>
              <w:top w:w="110" w:type="dxa"/>
              <w:left w:w="43" w:type="dxa"/>
              <w:bottom w:w="43" w:type="dxa"/>
              <w:right w:w="43" w:type="dxa"/>
            </w:tcMar>
            <w:vAlign w:val="bottom"/>
          </w:tcPr>
          <w:p w14:paraId="088D602B" w14:textId="77777777" w:rsidR="00CB6E05" w:rsidRPr="007163D9" w:rsidRDefault="00CB6E05" w:rsidP="008E7405">
            <w:pPr>
              <w:jc w:val="right"/>
              <w:rPr>
                <w:lang w:val="en-GB"/>
              </w:rPr>
            </w:pPr>
            <w:r w:rsidRPr="007163D9">
              <w:rPr>
                <w:lang w:val="en-GB"/>
              </w:rPr>
              <w:t>16 115</w:t>
            </w:r>
          </w:p>
        </w:tc>
        <w:tc>
          <w:tcPr>
            <w:tcW w:w="1120" w:type="dxa"/>
            <w:tcBorders>
              <w:top w:val="nil"/>
              <w:left w:val="nil"/>
              <w:bottom w:val="nil"/>
              <w:right w:val="nil"/>
            </w:tcBorders>
            <w:tcMar>
              <w:top w:w="110" w:type="dxa"/>
              <w:left w:w="43" w:type="dxa"/>
              <w:bottom w:w="43" w:type="dxa"/>
              <w:right w:w="43" w:type="dxa"/>
            </w:tcMar>
            <w:vAlign w:val="bottom"/>
          </w:tcPr>
          <w:p w14:paraId="32AEFBBB" w14:textId="77777777" w:rsidR="00CB6E05" w:rsidRPr="007163D9" w:rsidRDefault="00CB6E05" w:rsidP="008E7405">
            <w:pPr>
              <w:jc w:val="right"/>
              <w:rPr>
                <w:lang w:val="en-GB"/>
              </w:rPr>
            </w:pPr>
            <w:r w:rsidRPr="007163D9">
              <w:rPr>
                <w:lang w:val="en-GB"/>
              </w:rPr>
              <w:t>20 116</w:t>
            </w:r>
          </w:p>
        </w:tc>
        <w:tc>
          <w:tcPr>
            <w:tcW w:w="1120" w:type="dxa"/>
            <w:tcBorders>
              <w:top w:val="nil"/>
              <w:left w:val="nil"/>
              <w:bottom w:val="nil"/>
              <w:right w:val="nil"/>
            </w:tcBorders>
            <w:tcMar>
              <w:top w:w="110" w:type="dxa"/>
              <w:left w:w="43" w:type="dxa"/>
              <w:bottom w:w="43" w:type="dxa"/>
              <w:right w:w="43" w:type="dxa"/>
            </w:tcMar>
            <w:vAlign w:val="bottom"/>
          </w:tcPr>
          <w:p w14:paraId="7DFC11EB" w14:textId="77777777" w:rsidR="00CB6E05" w:rsidRPr="007163D9" w:rsidRDefault="00CB6E05" w:rsidP="008E7405">
            <w:pPr>
              <w:jc w:val="right"/>
              <w:rPr>
                <w:lang w:val="en-GB"/>
              </w:rPr>
            </w:pPr>
            <w:r w:rsidRPr="007163D9">
              <w:rPr>
                <w:lang w:val="en-GB"/>
              </w:rPr>
              <w:t>20 910</w:t>
            </w:r>
          </w:p>
        </w:tc>
      </w:tr>
      <w:tr w:rsidR="00CB6E05" w:rsidRPr="0027241E" w14:paraId="6BB6E011" w14:textId="77777777" w:rsidTr="00C7062A">
        <w:trPr>
          <w:trHeight w:val="360"/>
        </w:trPr>
        <w:tc>
          <w:tcPr>
            <w:tcW w:w="6160" w:type="dxa"/>
            <w:tcBorders>
              <w:top w:val="nil"/>
              <w:left w:val="nil"/>
              <w:bottom w:val="single" w:sz="4" w:space="0" w:color="000000"/>
              <w:right w:val="nil"/>
            </w:tcBorders>
            <w:tcMar>
              <w:top w:w="110" w:type="dxa"/>
              <w:left w:w="43" w:type="dxa"/>
              <w:bottom w:w="43" w:type="dxa"/>
              <w:right w:w="43" w:type="dxa"/>
            </w:tcMar>
          </w:tcPr>
          <w:p w14:paraId="52EBB3BE" w14:textId="209D1B42" w:rsidR="00CB6E05" w:rsidRPr="007163D9" w:rsidRDefault="00CB6E05" w:rsidP="00C7062A">
            <w:pPr>
              <w:rPr>
                <w:lang w:val="en-GB"/>
              </w:rPr>
            </w:pPr>
            <w:r w:rsidRPr="007163D9">
              <w:rPr>
                <w:lang w:val="en-GB"/>
              </w:rPr>
              <w:t>Retirement pension commitments under the National Insurance Scheme</w:t>
            </w:r>
            <w:r w:rsidRPr="007163D9">
              <w:rPr>
                <w:vertAlign w:val="superscript"/>
                <w:lang w:val="en-GB"/>
              </w:rPr>
              <w:t>2,3</w:t>
            </w:r>
            <w:r w:rsidR="008E7405">
              <w:rPr>
                <w:lang w:val="en-GB"/>
              </w:rPr>
              <w:tab/>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375B5DFC" w14:textId="77777777" w:rsidR="00CB6E05" w:rsidRPr="007163D9" w:rsidRDefault="00CB6E05" w:rsidP="008E7405">
            <w:pPr>
              <w:jc w:val="right"/>
              <w:rPr>
                <w:lang w:val="en-GB"/>
              </w:rPr>
            </w:pPr>
            <w:r w:rsidRPr="007163D9">
              <w:rPr>
                <w:lang w:val="en-GB"/>
              </w:rPr>
              <w:t>10 765</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47315DD8" w14:textId="77777777" w:rsidR="00CB6E05" w:rsidRPr="007163D9" w:rsidRDefault="00CB6E05" w:rsidP="008E7405">
            <w:pPr>
              <w:jc w:val="right"/>
              <w:rPr>
                <w:lang w:val="en-GB"/>
              </w:rPr>
            </w:pPr>
            <w:r w:rsidRPr="007163D9">
              <w:rPr>
                <w:lang w:val="en-GB"/>
              </w:rPr>
              <w:t>11 423</w:t>
            </w:r>
          </w:p>
        </w:tc>
        <w:tc>
          <w:tcPr>
            <w:tcW w:w="1120" w:type="dxa"/>
            <w:tcBorders>
              <w:top w:val="nil"/>
              <w:left w:val="nil"/>
              <w:bottom w:val="single" w:sz="4" w:space="0" w:color="000000"/>
              <w:right w:val="nil"/>
            </w:tcBorders>
            <w:tcMar>
              <w:top w:w="110" w:type="dxa"/>
              <w:left w:w="43" w:type="dxa"/>
              <w:bottom w:w="43" w:type="dxa"/>
              <w:right w:w="43" w:type="dxa"/>
            </w:tcMar>
            <w:vAlign w:val="bottom"/>
          </w:tcPr>
          <w:p w14:paraId="4BEA0461" w14:textId="77777777" w:rsidR="00CB6E05" w:rsidRPr="007163D9" w:rsidRDefault="00CB6E05" w:rsidP="008E7405">
            <w:pPr>
              <w:jc w:val="right"/>
              <w:rPr>
                <w:lang w:val="en-GB"/>
              </w:rPr>
            </w:pPr>
            <w:r w:rsidRPr="007163D9">
              <w:rPr>
                <w:lang w:val="en-GB"/>
              </w:rPr>
              <w:t>11 496</w:t>
            </w:r>
          </w:p>
        </w:tc>
      </w:tr>
    </w:tbl>
    <w:p w14:paraId="61BEDC6B" w14:textId="77777777" w:rsidR="00CB6E05" w:rsidRPr="007163D9" w:rsidRDefault="00CB6E05" w:rsidP="00EF566B">
      <w:pPr>
        <w:pStyle w:val="Note"/>
        <w:rPr>
          <w:rStyle w:val="skrift-hevet"/>
          <w:lang w:val="en-GB"/>
        </w:rPr>
      </w:pPr>
      <w:r w:rsidRPr="007163D9">
        <w:rPr>
          <w:rStyle w:val="skrift-hevet"/>
          <w:lang w:val="en-GB"/>
        </w:rPr>
        <w:t>1</w:t>
      </w:r>
      <w:r w:rsidRPr="007163D9">
        <w:rPr>
          <w:lang w:val="en-GB"/>
        </w:rPr>
        <w:tab/>
        <w:t>Does not include capital gains or losses.</w:t>
      </w:r>
    </w:p>
    <w:p w14:paraId="721AD29B" w14:textId="77777777" w:rsidR="00CB6E05" w:rsidRPr="007163D9" w:rsidRDefault="00CB6E05" w:rsidP="00EF566B">
      <w:pPr>
        <w:pStyle w:val="Note"/>
        <w:rPr>
          <w:rStyle w:val="skrift-hevet"/>
          <w:lang w:val="en-GB"/>
        </w:rPr>
      </w:pPr>
      <w:r w:rsidRPr="007163D9">
        <w:rPr>
          <w:rStyle w:val="skrift-hevet"/>
          <w:lang w:val="en-GB"/>
        </w:rPr>
        <w:t>2</w:t>
      </w:r>
      <w:r w:rsidRPr="007163D9">
        <w:rPr>
          <w:lang w:val="en-GB"/>
        </w:rPr>
        <w:tab/>
        <w:t>At the beginning of the year.</w:t>
      </w:r>
    </w:p>
    <w:p w14:paraId="0A0E6711" w14:textId="77777777" w:rsidR="00CB6E05" w:rsidRPr="007163D9" w:rsidRDefault="00CB6E05" w:rsidP="00EF566B">
      <w:pPr>
        <w:pStyle w:val="Note"/>
        <w:rPr>
          <w:rStyle w:val="skrift-hevet"/>
          <w:lang w:val="en-GB"/>
        </w:rPr>
      </w:pPr>
      <w:r w:rsidRPr="007163D9">
        <w:rPr>
          <w:rStyle w:val="skrift-hevet"/>
          <w:lang w:val="en-GB"/>
        </w:rPr>
        <w:lastRenderedPageBreak/>
        <w:t>3</w:t>
      </w:r>
      <w:r w:rsidRPr="007163D9">
        <w:rPr>
          <w:lang w:val="en-GB"/>
        </w:rPr>
        <w:tab/>
        <w:t>The net present value of existing accrued rights to future retirement pension payments under the National Insurance Scheme.</w:t>
      </w:r>
    </w:p>
    <w:p w14:paraId="79428C28" w14:textId="66AB3608" w:rsidR="00CB6E05" w:rsidRPr="00EF566B" w:rsidRDefault="00CB6E05" w:rsidP="00EF566B">
      <w:pPr>
        <w:pStyle w:val="Kilde"/>
        <w:rPr>
          <w:lang w:val="en-GB"/>
        </w:rPr>
      </w:pPr>
      <w:r w:rsidRPr="007163D9">
        <w:rPr>
          <w:lang w:val="en-GB"/>
        </w:rPr>
        <w:t>Sources: Ministry of Finance and Statistics Norway.</w:t>
      </w:r>
      <w:bookmarkEnd w:id="0"/>
    </w:p>
    <w:sectPr w:rsidR="00CB6E05" w:rsidRPr="00EF566B" w:rsidSect="004B7C21">
      <w:headerReference w:type="even" r:id="rId24"/>
      <w:headerReference w:type="default" r:id="rId25"/>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20CE" w14:textId="77777777" w:rsidR="008B7B18" w:rsidRDefault="008B7B18" w:rsidP="00AC3E0C">
      <w:pPr>
        <w:spacing w:line="240" w:lineRule="auto"/>
      </w:pPr>
      <w:r>
        <w:separator/>
      </w:r>
    </w:p>
  </w:endnote>
  <w:endnote w:type="continuationSeparator" w:id="0">
    <w:p w14:paraId="0978E3FD" w14:textId="77777777" w:rsidR="008B7B18" w:rsidRDefault="008B7B18" w:rsidP="00AC3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5E32" w14:textId="253945CF" w:rsidR="004B7C21" w:rsidRDefault="008E7405">
    <w:pPr>
      <w:tabs>
        <w:tab w:val="center" w:pos="4535"/>
        <w:tab w:val="right" w:pos="9071"/>
      </w:tabs>
      <w:autoSpaceDE w:val="0"/>
      <w:autoSpaceDN w:val="0"/>
      <w:adjustRightInd w:val="0"/>
      <w:spacing w:before="893" w:line="240" w:lineRule="exact"/>
      <w:rPr>
        <w:noProof/>
        <w:szCs w:val="24"/>
      </w:rPr>
    </w:pPr>
    <w:r>
      <w:rPr>
        <w:noProof/>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767" w14:textId="77777777" w:rsidR="004B7C21" w:rsidRDefault="004B7C21" w:rsidP="00CC0E9A">
    <w:pPr>
      <w:pStyle w:val="Bunntekst"/>
      <w:jc w:val="center"/>
    </w:pPr>
  </w:p>
  <w:p w14:paraId="43309B86" w14:textId="77777777" w:rsidR="004B7C21" w:rsidRDefault="004B7C21">
    <w:pPr>
      <w:tabs>
        <w:tab w:val="center" w:pos="4535"/>
        <w:tab w:val="right" w:pos="9071"/>
      </w:tabs>
      <w:autoSpaceDE w:val="0"/>
      <w:autoSpaceDN w:val="0"/>
      <w:adjustRightInd w:val="0"/>
      <w:spacing w:before="893" w:line="240" w:lineRule="exact"/>
      <w:rPr>
        <w:noProof/>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F2A2" w14:textId="77777777" w:rsidR="008B7B18" w:rsidRDefault="008B7B18" w:rsidP="00AC3E0C">
      <w:pPr>
        <w:spacing w:line="240" w:lineRule="auto"/>
      </w:pPr>
      <w:r>
        <w:separator/>
      </w:r>
    </w:p>
  </w:footnote>
  <w:footnote w:type="continuationSeparator" w:id="0">
    <w:p w14:paraId="7BA2097D" w14:textId="77777777" w:rsidR="008B7B18" w:rsidRDefault="008B7B18" w:rsidP="00AC3E0C">
      <w:pPr>
        <w:spacing w:line="240" w:lineRule="auto"/>
      </w:pPr>
      <w:r>
        <w:continuationSeparator/>
      </w:r>
    </w:p>
  </w:footnote>
  <w:footnote w:id="1">
    <w:p w14:paraId="74772A03" w14:textId="77777777" w:rsidR="00CB6E05" w:rsidRPr="00980DAF" w:rsidRDefault="00CB6E05" w:rsidP="00CB6E05">
      <w:pPr>
        <w:pStyle w:val="Fotnotetekst"/>
        <w:rPr>
          <w:lang w:val="en-US"/>
        </w:rPr>
      </w:pPr>
      <w:r>
        <w:rPr>
          <w:vertAlign w:val="superscript"/>
        </w:rPr>
        <w:footnoteRef/>
      </w:r>
      <w:r w:rsidRPr="00980DAF">
        <w:rPr>
          <w:lang w:val="en-US"/>
        </w:rPr>
        <w:t>The estimate is based on the Fund value in the second half of July this year, projected with expected return, and taking into account expected inflows and withdrawals.</w:t>
      </w:r>
    </w:p>
  </w:footnote>
  <w:footnote w:id="2">
    <w:p w14:paraId="1A93B8F7" w14:textId="77777777" w:rsidR="00CB6E05" w:rsidRPr="00980DAF" w:rsidRDefault="00CB6E05" w:rsidP="00CB6E05">
      <w:pPr>
        <w:pStyle w:val="Fotnotetekst"/>
        <w:rPr>
          <w:lang w:val="en-US"/>
        </w:rPr>
      </w:pPr>
      <w:r>
        <w:rPr>
          <w:vertAlign w:val="superscript"/>
        </w:rPr>
        <w:footnoteRef/>
      </w:r>
      <w:r w:rsidRPr="00980DAF">
        <w:rPr>
          <w:lang w:val="en-US"/>
        </w:rPr>
        <w:t xml:space="preserve">See </w:t>
      </w:r>
      <w:r>
        <w:rPr>
          <w:lang w:val="en-US"/>
        </w:rPr>
        <w:t>Chapter</w:t>
      </w:r>
      <w:r w:rsidRPr="00980DAF">
        <w:rPr>
          <w:lang w:val="en-US"/>
        </w:rPr>
        <w:t xml:space="preserve"> 2 for a description of developments in the Norwegian economy.</w:t>
      </w:r>
    </w:p>
  </w:footnote>
  <w:footnote w:id="3">
    <w:p w14:paraId="302BA995" w14:textId="77777777" w:rsidR="00CB6E05" w:rsidRPr="00980DAF" w:rsidRDefault="00CB6E05" w:rsidP="00CB6E05">
      <w:pPr>
        <w:pStyle w:val="Fotnotetekst"/>
        <w:rPr>
          <w:lang w:val="en-US"/>
        </w:rPr>
      </w:pPr>
      <w:r>
        <w:rPr>
          <w:vertAlign w:val="superscript"/>
        </w:rPr>
        <w:footnoteRef/>
      </w:r>
      <w:r w:rsidRPr="00980DAF">
        <w:rPr>
          <w:lang w:val="en-US"/>
        </w:rPr>
        <w:t>The model calculations take into account the effect of automatic stabilisers, changes in budget items for the public administration as a whole and the fact that different budget items have different effects on the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7B65" w14:textId="09D47C73" w:rsidR="004B7C21" w:rsidRDefault="008E7405">
    <w:pPr>
      <w:tabs>
        <w:tab w:val="center" w:pos="4535"/>
        <w:tab w:val="right" w:pos="9071"/>
      </w:tabs>
      <w:autoSpaceDE w:val="0"/>
      <w:autoSpaceDN w:val="0"/>
      <w:adjustRightInd w:val="0"/>
      <w:spacing w:after="893" w:line="240" w:lineRule="exact"/>
      <w:rPr>
        <w:noProof/>
        <w:szCs w:val="24"/>
      </w:rPr>
    </w:pPr>
    <w:r>
      <w:rPr>
        <w:noProof/>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E22C" w14:textId="025E97F4" w:rsidR="004B7C21" w:rsidRDefault="008E7405">
    <w:pPr>
      <w:tabs>
        <w:tab w:val="center" w:pos="4535"/>
        <w:tab w:val="right" w:pos="9071"/>
      </w:tabs>
      <w:autoSpaceDE w:val="0"/>
      <w:autoSpaceDN w:val="0"/>
      <w:adjustRightInd w:val="0"/>
      <w:spacing w:after="893" w:line="240" w:lineRule="exact"/>
      <w:rPr>
        <w:noProof/>
        <w:szCs w:val="24"/>
      </w:rPr>
    </w:pPr>
    <w:r>
      <w:rPr>
        <w:noProof/>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9186C34"/>
    <w:multiLevelType w:val="multilevel"/>
    <w:tmpl w:val="8CA2BDFE"/>
    <w:styleLink w:val="Stil3"/>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e %1.%6"/>
      <w:lvlJc w:val="left"/>
      <w:pPr>
        <w:ind w:left="0" w:firstLine="0"/>
      </w:pPr>
      <w:rPr>
        <w:rFonts w:hint="default"/>
      </w:rPr>
    </w:lvl>
    <w:lvl w:ilvl="6">
      <w:start w:val="1"/>
      <w:numFmt w:val="decimal"/>
      <w:lvlRestart w:val="1"/>
      <w:suff w:val="space"/>
      <w:lvlText w:val="Tabel %1.%7"/>
      <w:lvlJc w:val="left"/>
      <w:pPr>
        <w:ind w:left="0" w:firstLine="0"/>
      </w:pPr>
      <w:rPr>
        <w:rFonts w:hint="default"/>
      </w:rPr>
    </w:lvl>
    <w:lvl w:ilvl="7">
      <w:start w:val="1"/>
      <w:numFmt w:val="decimal"/>
      <w:lvlRestart w:val="1"/>
      <w:suff w:val="space"/>
      <w:lvlText w:val="Box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6"/>
  </w:num>
  <w:num w:numId="16" w16cid:durableId="443623288">
    <w:abstractNumId w:val="23"/>
  </w:num>
  <w:num w:numId="17" w16cid:durableId="1958560054">
    <w:abstractNumId w:val="1"/>
  </w:num>
  <w:num w:numId="18" w16cid:durableId="1000084717">
    <w:abstractNumId w:val="26"/>
  </w:num>
  <w:num w:numId="19" w16cid:durableId="1881743657">
    <w:abstractNumId w:val="33"/>
  </w:num>
  <w:num w:numId="20" w16cid:durableId="1086027685">
    <w:abstractNumId w:val="37"/>
  </w:num>
  <w:num w:numId="21" w16cid:durableId="1495024277">
    <w:abstractNumId w:val="5"/>
  </w:num>
  <w:num w:numId="22" w16cid:durableId="1004893802">
    <w:abstractNumId w:val="13"/>
  </w:num>
  <w:num w:numId="23" w16cid:durableId="2093314615">
    <w:abstractNumId w:val="28"/>
  </w:num>
  <w:num w:numId="24" w16cid:durableId="2061443347">
    <w:abstractNumId w:val="7"/>
  </w:num>
  <w:num w:numId="25" w16cid:durableId="615912939">
    <w:abstractNumId w:val="27"/>
  </w:num>
  <w:num w:numId="26" w16cid:durableId="116336904">
    <w:abstractNumId w:val="0"/>
  </w:num>
  <w:num w:numId="27" w16cid:durableId="1790126119">
    <w:abstractNumId w:val="20"/>
  </w:num>
  <w:num w:numId="28" w16cid:durableId="2096172467">
    <w:abstractNumId w:val="6"/>
  </w:num>
  <w:num w:numId="29" w16cid:durableId="513425096">
    <w:abstractNumId w:val="11"/>
  </w:num>
  <w:num w:numId="30" w16cid:durableId="1733311814">
    <w:abstractNumId w:val="24"/>
  </w:num>
  <w:num w:numId="31" w16cid:durableId="1792362062">
    <w:abstractNumId w:val="35"/>
  </w:num>
  <w:num w:numId="32" w16cid:durableId="257954137">
    <w:abstractNumId w:val="14"/>
  </w:num>
  <w:num w:numId="33" w16cid:durableId="394938225">
    <w:abstractNumId w:val="17"/>
  </w:num>
  <w:num w:numId="34" w16cid:durableId="1167212603">
    <w:abstractNumId w:val="8"/>
  </w:num>
  <w:num w:numId="35" w16cid:durableId="653216016">
    <w:abstractNumId w:val="18"/>
  </w:num>
  <w:num w:numId="36" w16cid:durableId="413403540">
    <w:abstractNumId w:val="22"/>
  </w:num>
  <w:num w:numId="37" w16cid:durableId="1161383873">
    <w:abstractNumId w:val="21"/>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4503078">
    <w:abstractNumId w:val="39"/>
  </w:num>
  <w:num w:numId="41" w16cid:durableId="2044086332">
    <w:abstractNumId w:val="19"/>
  </w:num>
  <w:num w:numId="42" w16cid:durableId="1873154305">
    <w:abstractNumId w:val="29"/>
  </w:num>
  <w:num w:numId="43"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Encrypted_CloudStatistics_DocumentCreation" w:val="jdVW2FK8uI0YHzTHPTEY1w=="/>
    <w:docVar w:name="Encrypted_CloudStatistics_StoryID" w:val="pqPbTZMFntha50MgOoxhFcbn/LUxK09mjUwRe364zUvlte9LYied8t8xbnPo7wZW"/>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MUP-NOU\DepMedia\STATSBUDSJETTET\2025-2026\ENG Meld. St. 1\media\forside.png"/>
    <w:docVar w:name="W2KpdfPath" w:val="W:\MUP-NOU\DepMedia\STATSBUDSJETTET\2025-2026\ENG Meld. St. 1\Meld_St_1_chapter_2_and_3.pdf"/>
  </w:docVars>
  <w:rsids>
    <w:rsidRoot w:val="00CB6E05"/>
    <w:rsid w:val="00046F61"/>
    <w:rsid w:val="000614C5"/>
    <w:rsid w:val="00061AB2"/>
    <w:rsid w:val="00062870"/>
    <w:rsid w:val="00066C5B"/>
    <w:rsid w:val="00091FB8"/>
    <w:rsid w:val="000B0220"/>
    <w:rsid w:val="00143910"/>
    <w:rsid w:val="00147623"/>
    <w:rsid w:val="00147985"/>
    <w:rsid w:val="00154FAC"/>
    <w:rsid w:val="001971BA"/>
    <w:rsid w:val="0019728F"/>
    <w:rsid w:val="001A4BEB"/>
    <w:rsid w:val="001F11B9"/>
    <w:rsid w:val="001F20CB"/>
    <w:rsid w:val="001F6146"/>
    <w:rsid w:val="002173A3"/>
    <w:rsid w:val="00221D22"/>
    <w:rsid w:val="0022465B"/>
    <w:rsid w:val="0023253B"/>
    <w:rsid w:val="00243C03"/>
    <w:rsid w:val="00254FCC"/>
    <w:rsid w:val="002619AE"/>
    <w:rsid w:val="00281E5B"/>
    <w:rsid w:val="002915E4"/>
    <w:rsid w:val="0029344B"/>
    <w:rsid w:val="002A2825"/>
    <w:rsid w:val="002A4EF2"/>
    <w:rsid w:val="002B44BD"/>
    <w:rsid w:val="002B47A6"/>
    <w:rsid w:val="002B5494"/>
    <w:rsid w:val="002D6E9E"/>
    <w:rsid w:val="00315ABD"/>
    <w:rsid w:val="00315DAF"/>
    <w:rsid w:val="00345C82"/>
    <w:rsid w:val="003465DD"/>
    <w:rsid w:val="00375DDC"/>
    <w:rsid w:val="00387A97"/>
    <w:rsid w:val="003976AD"/>
    <w:rsid w:val="003A0D72"/>
    <w:rsid w:val="003A6BFB"/>
    <w:rsid w:val="003C6B83"/>
    <w:rsid w:val="003D055F"/>
    <w:rsid w:val="003D37CE"/>
    <w:rsid w:val="003F6135"/>
    <w:rsid w:val="00447E08"/>
    <w:rsid w:val="004603F0"/>
    <w:rsid w:val="0046504A"/>
    <w:rsid w:val="00476D07"/>
    <w:rsid w:val="004B352C"/>
    <w:rsid w:val="004B7C21"/>
    <w:rsid w:val="004E33FF"/>
    <w:rsid w:val="004F448C"/>
    <w:rsid w:val="004F5E91"/>
    <w:rsid w:val="004F5F76"/>
    <w:rsid w:val="00504383"/>
    <w:rsid w:val="00512886"/>
    <w:rsid w:val="00533D8F"/>
    <w:rsid w:val="00554488"/>
    <w:rsid w:val="005554DE"/>
    <w:rsid w:val="00562990"/>
    <w:rsid w:val="005B1521"/>
    <w:rsid w:val="005E28FC"/>
    <w:rsid w:val="006038D0"/>
    <w:rsid w:val="00667399"/>
    <w:rsid w:val="00682FAF"/>
    <w:rsid w:val="006845A8"/>
    <w:rsid w:val="00684F9A"/>
    <w:rsid w:val="0069015B"/>
    <w:rsid w:val="006934AF"/>
    <w:rsid w:val="006942C0"/>
    <w:rsid w:val="006E6194"/>
    <w:rsid w:val="007017D9"/>
    <w:rsid w:val="0072171D"/>
    <w:rsid w:val="00734C0D"/>
    <w:rsid w:val="0075366F"/>
    <w:rsid w:val="00756FA6"/>
    <w:rsid w:val="007826AC"/>
    <w:rsid w:val="00791F61"/>
    <w:rsid w:val="007A4E4E"/>
    <w:rsid w:val="007A6A9B"/>
    <w:rsid w:val="007E4489"/>
    <w:rsid w:val="007E7F87"/>
    <w:rsid w:val="0080387D"/>
    <w:rsid w:val="00831EF9"/>
    <w:rsid w:val="0084373A"/>
    <w:rsid w:val="00850AD4"/>
    <w:rsid w:val="008637DF"/>
    <w:rsid w:val="00872420"/>
    <w:rsid w:val="00886D47"/>
    <w:rsid w:val="008B7B18"/>
    <w:rsid w:val="008D206A"/>
    <w:rsid w:val="008D4218"/>
    <w:rsid w:val="008E7405"/>
    <w:rsid w:val="00955B35"/>
    <w:rsid w:val="00973225"/>
    <w:rsid w:val="00977070"/>
    <w:rsid w:val="009770E5"/>
    <w:rsid w:val="009933D7"/>
    <w:rsid w:val="00996A97"/>
    <w:rsid w:val="009D0483"/>
    <w:rsid w:val="009D35C0"/>
    <w:rsid w:val="009E02C8"/>
    <w:rsid w:val="00A02586"/>
    <w:rsid w:val="00A1295B"/>
    <w:rsid w:val="00A15237"/>
    <w:rsid w:val="00A32EBE"/>
    <w:rsid w:val="00A36BEE"/>
    <w:rsid w:val="00A43258"/>
    <w:rsid w:val="00A75F2A"/>
    <w:rsid w:val="00A816E6"/>
    <w:rsid w:val="00AA0935"/>
    <w:rsid w:val="00AC3E0C"/>
    <w:rsid w:val="00AC6368"/>
    <w:rsid w:val="00B22A21"/>
    <w:rsid w:val="00B3093C"/>
    <w:rsid w:val="00B32AE8"/>
    <w:rsid w:val="00B36B7D"/>
    <w:rsid w:val="00B408FB"/>
    <w:rsid w:val="00B43019"/>
    <w:rsid w:val="00B451E7"/>
    <w:rsid w:val="00B61027"/>
    <w:rsid w:val="00B7079C"/>
    <w:rsid w:val="00B759E3"/>
    <w:rsid w:val="00B970AC"/>
    <w:rsid w:val="00BA48B0"/>
    <w:rsid w:val="00BB7567"/>
    <w:rsid w:val="00BC3F00"/>
    <w:rsid w:val="00BC7E83"/>
    <w:rsid w:val="00C3040C"/>
    <w:rsid w:val="00C467FE"/>
    <w:rsid w:val="00C55C7C"/>
    <w:rsid w:val="00CB6E05"/>
    <w:rsid w:val="00CC0E9A"/>
    <w:rsid w:val="00CC26D6"/>
    <w:rsid w:val="00CE12B4"/>
    <w:rsid w:val="00D40F8C"/>
    <w:rsid w:val="00D41110"/>
    <w:rsid w:val="00D62ACF"/>
    <w:rsid w:val="00DA6599"/>
    <w:rsid w:val="00DE717F"/>
    <w:rsid w:val="00DF5807"/>
    <w:rsid w:val="00E1651D"/>
    <w:rsid w:val="00E47697"/>
    <w:rsid w:val="00E760F5"/>
    <w:rsid w:val="00E86C35"/>
    <w:rsid w:val="00E87C82"/>
    <w:rsid w:val="00E92B8F"/>
    <w:rsid w:val="00EA05E5"/>
    <w:rsid w:val="00EB6082"/>
    <w:rsid w:val="00ED33FE"/>
    <w:rsid w:val="00EF566B"/>
    <w:rsid w:val="00F134BA"/>
    <w:rsid w:val="00F30389"/>
    <w:rsid w:val="00F30B67"/>
    <w:rsid w:val="00F518F3"/>
    <w:rsid w:val="00F63DC2"/>
    <w:rsid w:val="00F767FF"/>
    <w:rsid w:val="00FA6993"/>
    <w:rsid w:val="00FC5E77"/>
    <w:rsid w:val="00FE79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0808"/>
  <w15:chartTrackingRefBased/>
  <w15:docId w15:val="{6500D295-1440-44ED-96CE-3E7A826F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90"/>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562990"/>
    <w:pPr>
      <w:keepNext/>
      <w:keepLines/>
      <w:numPr>
        <w:numId w:val="37"/>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562990"/>
    <w:pPr>
      <w:numPr>
        <w:ilvl w:val="1"/>
      </w:numPr>
      <w:spacing w:before="240"/>
      <w:outlineLvl w:val="1"/>
    </w:pPr>
    <w:rPr>
      <w:spacing w:val="4"/>
      <w:sz w:val="28"/>
    </w:rPr>
  </w:style>
  <w:style w:type="paragraph" w:styleId="Overskrift3">
    <w:name w:val="heading 3"/>
    <w:basedOn w:val="Normal"/>
    <w:next w:val="Normal"/>
    <w:link w:val="Overskrift3Tegn"/>
    <w:qFormat/>
    <w:rsid w:val="00562990"/>
    <w:pPr>
      <w:keepNext/>
      <w:keepLines/>
      <w:numPr>
        <w:ilvl w:val="2"/>
        <w:numId w:val="37"/>
      </w:numPr>
      <w:spacing w:before="240" w:after="100"/>
      <w:outlineLvl w:val="2"/>
    </w:pPr>
    <w:rPr>
      <w:b/>
    </w:rPr>
  </w:style>
  <w:style w:type="paragraph" w:styleId="Overskrift4">
    <w:name w:val="heading 4"/>
    <w:basedOn w:val="Overskrift1"/>
    <w:next w:val="Normal"/>
    <w:link w:val="Overskrift4Tegn"/>
    <w:qFormat/>
    <w:rsid w:val="0056299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62990"/>
    <w:pPr>
      <w:numPr>
        <w:ilvl w:val="4"/>
      </w:numPr>
      <w:spacing w:before="200"/>
      <w:outlineLvl w:val="4"/>
    </w:pPr>
    <w:rPr>
      <w:b w:val="0"/>
      <w:sz w:val="22"/>
    </w:rPr>
  </w:style>
  <w:style w:type="paragraph" w:styleId="Overskrift6">
    <w:name w:val="heading 6"/>
    <w:basedOn w:val="Normal"/>
    <w:next w:val="Normal"/>
    <w:link w:val="Overskrift6Tegn"/>
    <w:qFormat/>
    <w:rsid w:val="00562990"/>
    <w:pPr>
      <w:numPr>
        <w:ilvl w:val="5"/>
        <w:numId w:val="1"/>
      </w:numPr>
      <w:spacing w:before="240" w:after="60"/>
      <w:outlineLvl w:val="5"/>
    </w:pPr>
    <w:rPr>
      <w:i/>
    </w:rPr>
  </w:style>
  <w:style w:type="paragraph" w:styleId="Overskrift7">
    <w:name w:val="heading 7"/>
    <w:basedOn w:val="Normal"/>
    <w:next w:val="Normal"/>
    <w:link w:val="Overskrift7Tegn"/>
    <w:qFormat/>
    <w:rsid w:val="00562990"/>
    <w:pPr>
      <w:numPr>
        <w:ilvl w:val="6"/>
        <w:numId w:val="1"/>
      </w:numPr>
      <w:spacing w:before="240" w:after="60"/>
      <w:outlineLvl w:val="6"/>
    </w:pPr>
  </w:style>
  <w:style w:type="paragraph" w:styleId="Overskrift8">
    <w:name w:val="heading 8"/>
    <w:basedOn w:val="Normal"/>
    <w:next w:val="Normal"/>
    <w:link w:val="Overskrift8Tegn"/>
    <w:qFormat/>
    <w:rsid w:val="00562990"/>
    <w:pPr>
      <w:numPr>
        <w:ilvl w:val="7"/>
        <w:numId w:val="1"/>
      </w:numPr>
      <w:spacing w:before="240" w:after="60"/>
      <w:outlineLvl w:val="7"/>
    </w:pPr>
    <w:rPr>
      <w:i/>
    </w:rPr>
  </w:style>
  <w:style w:type="paragraph" w:styleId="Overskrift9">
    <w:name w:val="heading 9"/>
    <w:basedOn w:val="Normal"/>
    <w:next w:val="Normal"/>
    <w:link w:val="Overskrift9Tegn"/>
    <w:qFormat/>
    <w:rsid w:val="00562990"/>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6299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62990"/>
  </w:style>
  <w:style w:type="paragraph" w:customStyle="1" w:styleId="alfaliste">
    <w:name w:val="alfaliste"/>
    <w:basedOn w:val="Nummerertliste"/>
    <w:rsid w:val="00562990"/>
    <w:pPr>
      <w:numPr>
        <w:numId w:val="39"/>
      </w:numPr>
    </w:pPr>
    <w:rPr>
      <w:spacing w:val="4"/>
    </w:rPr>
  </w:style>
  <w:style w:type="paragraph" w:customStyle="1" w:styleId="alfaliste2">
    <w:name w:val="alfaliste 2"/>
    <w:basedOn w:val="alfaliste"/>
    <w:next w:val="alfaliste"/>
    <w:rsid w:val="00562990"/>
    <w:pPr>
      <w:numPr>
        <w:numId w:val="23"/>
      </w:numPr>
    </w:pPr>
  </w:style>
  <w:style w:type="paragraph" w:customStyle="1" w:styleId="alfaliste3">
    <w:name w:val="alfaliste 3"/>
    <w:basedOn w:val="alfaliste"/>
    <w:autoRedefine/>
    <w:qFormat/>
    <w:rsid w:val="00562990"/>
    <w:pPr>
      <w:numPr>
        <w:numId w:val="29"/>
      </w:numPr>
    </w:pPr>
  </w:style>
  <w:style w:type="paragraph" w:customStyle="1" w:styleId="alfaliste4">
    <w:name w:val="alfaliste 4"/>
    <w:basedOn w:val="alfaliste"/>
    <w:qFormat/>
    <w:rsid w:val="00562990"/>
    <w:pPr>
      <w:numPr>
        <w:numId w:val="30"/>
      </w:numPr>
      <w:ind w:left="1588" w:hanging="397"/>
    </w:pPr>
  </w:style>
  <w:style w:type="paragraph" w:customStyle="1" w:styleId="alfaliste5">
    <w:name w:val="alfaliste 5"/>
    <w:basedOn w:val="alfaliste"/>
    <w:qFormat/>
    <w:rsid w:val="00562990"/>
    <w:pPr>
      <w:numPr>
        <w:numId w:val="31"/>
      </w:numPr>
      <w:ind w:left="1985" w:hanging="397"/>
    </w:pPr>
  </w:style>
  <w:style w:type="paragraph" w:customStyle="1" w:styleId="avsnitt-tittel">
    <w:name w:val="avsnitt-tittel"/>
    <w:basedOn w:val="Undertittel"/>
    <w:next w:val="Normal"/>
    <w:rsid w:val="00562990"/>
    <w:rPr>
      <w:b w:val="0"/>
    </w:rPr>
  </w:style>
  <w:style w:type="paragraph" w:customStyle="1" w:styleId="avsnitt-undertittel">
    <w:name w:val="avsnitt-undertittel"/>
    <w:basedOn w:val="Undertittel"/>
    <w:next w:val="Normal"/>
    <w:rsid w:val="00562990"/>
    <w:pPr>
      <w:spacing w:line="240" w:lineRule="auto"/>
    </w:pPr>
    <w:rPr>
      <w:rFonts w:eastAsia="Batang"/>
      <w:b w:val="0"/>
      <w:i/>
      <w:sz w:val="24"/>
      <w:szCs w:val="20"/>
    </w:rPr>
  </w:style>
  <w:style w:type="paragraph" w:customStyle="1" w:styleId="avsnitt-under-undertittel">
    <w:name w:val="avsnitt-under-undertittel"/>
    <w:basedOn w:val="Undertittel"/>
    <w:next w:val="Normal"/>
    <w:rsid w:val="00562990"/>
    <w:pPr>
      <w:spacing w:line="240" w:lineRule="auto"/>
    </w:pPr>
    <w:rPr>
      <w:rFonts w:eastAsia="Batang"/>
      <w:b w:val="0"/>
      <w:i/>
      <w:sz w:val="22"/>
      <w:szCs w:val="20"/>
    </w:rPr>
  </w:style>
  <w:style w:type="paragraph" w:customStyle="1" w:styleId="Def">
    <w:name w:val="Def"/>
    <w:basedOn w:val="Normal"/>
    <w:qFormat/>
    <w:rsid w:val="00562990"/>
  </w:style>
  <w:style w:type="paragraph" w:customStyle="1" w:styleId="figur-beskr">
    <w:name w:val="figur-beskr"/>
    <w:basedOn w:val="Normal"/>
    <w:next w:val="Normal"/>
    <w:rsid w:val="00562990"/>
    <w:rPr>
      <w:spacing w:val="4"/>
    </w:rPr>
  </w:style>
  <w:style w:type="paragraph" w:customStyle="1" w:styleId="figur-tittel">
    <w:name w:val="figur-tittel"/>
    <w:basedOn w:val="Normal"/>
    <w:next w:val="Normal"/>
    <w:rsid w:val="00562990"/>
    <w:pPr>
      <w:numPr>
        <w:ilvl w:val="5"/>
        <w:numId w:val="37"/>
      </w:numPr>
    </w:pPr>
    <w:rPr>
      <w:spacing w:val="4"/>
      <w:sz w:val="28"/>
    </w:rPr>
  </w:style>
  <w:style w:type="character" w:customStyle="1" w:styleId="halvfet">
    <w:name w:val="halvfet"/>
    <w:basedOn w:val="Standardskriftforavsnitt"/>
    <w:rsid w:val="00562990"/>
    <w:rPr>
      <w:b/>
    </w:rPr>
  </w:style>
  <w:style w:type="paragraph" w:customStyle="1" w:styleId="hengende-innrykk">
    <w:name w:val="hengende-innrykk"/>
    <w:basedOn w:val="Normal"/>
    <w:next w:val="Normal"/>
    <w:rsid w:val="00562990"/>
    <w:pPr>
      <w:ind w:left="1418" w:hanging="1418"/>
    </w:pPr>
    <w:rPr>
      <w:spacing w:val="4"/>
    </w:rPr>
  </w:style>
  <w:style w:type="paragraph" w:customStyle="1" w:styleId="Kilde">
    <w:name w:val="Kilde"/>
    <w:basedOn w:val="Normal"/>
    <w:next w:val="Normal"/>
    <w:rsid w:val="00562990"/>
    <w:pPr>
      <w:spacing w:after="240"/>
    </w:pPr>
    <w:rPr>
      <w:spacing w:val="4"/>
    </w:rPr>
  </w:style>
  <w:style w:type="character" w:customStyle="1" w:styleId="kursiv">
    <w:name w:val="kursiv"/>
    <w:basedOn w:val="Standardskriftforavsnitt"/>
    <w:rsid w:val="00562990"/>
    <w:rPr>
      <w:i/>
    </w:rPr>
  </w:style>
  <w:style w:type="character" w:customStyle="1" w:styleId="l-endring">
    <w:name w:val="l-endring"/>
    <w:basedOn w:val="Standardskriftforavsnitt"/>
    <w:rsid w:val="00562990"/>
    <w:rPr>
      <w:i/>
    </w:rPr>
  </w:style>
  <w:style w:type="paragraph" w:customStyle="1" w:styleId="l-lovdeltit">
    <w:name w:val="l-lovdeltit"/>
    <w:basedOn w:val="Normal"/>
    <w:next w:val="Normal"/>
    <w:rsid w:val="00562990"/>
    <w:pPr>
      <w:keepNext/>
      <w:spacing w:before="120" w:after="60"/>
    </w:pPr>
    <w:rPr>
      <w:b/>
    </w:rPr>
  </w:style>
  <w:style w:type="paragraph" w:customStyle="1" w:styleId="l-lovkap">
    <w:name w:val="l-lovkap"/>
    <w:basedOn w:val="Normal"/>
    <w:next w:val="Normal"/>
    <w:rsid w:val="00562990"/>
    <w:pPr>
      <w:keepNext/>
      <w:spacing w:before="240" w:after="40"/>
    </w:pPr>
    <w:rPr>
      <w:b/>
      <w:spacing w:val="4"/>
    </w:rPr>
  </w:style>
  <w:style w:type="paragraph" w:customStyle="1" w:styleId="l-lovtit">
    <w:name w:val="l-lovtit"/>
    <w:basedOn w:val="Normal"/>
    <w:next w:val="Normal"/>
    <w:rsid w:val="00562990"/>
    <w:pPr>
      <w:keepNext/>
      <w:spacing w:before="120" w:after="60"/>
    </w:pPr>
    <w:rPr>
      <w:b/>
      <w:spacing w:val="4"/>
    </w:rPr>
  </w:style>
  <w:style w:type="paragraph" w:customStyle="1" w:styleId="l-paragraf">
    <w:name w:val="l-paragraf"/>
    <w:basedOn w:val="Normal"/>
    <w:next w:val="Normal"/>
    <w:rsid w:val="00562990"/>
    <w:pPr>
      <w:spacing w:before="180" w:after="0"/>
    </w:pPr>
    <w:rPr>
      <w:rFonts w:ascii="Times New Roman" w:hAnsi="Times New Roman"/>
      <w:i/>
      <w:spacing w:val="4"/>
    </w:rPr>
  </w:style>
  <w:style w:type="paragraph" w:customStyle="1" w:styleId="opplisting">
    <w:name w:val="opplisting"/>
    <w:basedOn w:val="Liste"/>
    <w:qFormat/>
    <w:rsid w:val="00562990"/>
    <w:pPr>
      <w:numPr>
        <w:numId w:val="0"/>
      </w:numPr>
      <w:tabs>
        <w:tab w:val="left" w:pos="397"/>
      </w:tabs>
    </w:pPr>
    <w:rPr>
      <w:rFonts w:cs="Times New Roman"/>
    </w:rPr>
  </w:style>
  <w:style w:type="paragraph" w:customStyle="1" w:styleId="Ramme-slutt">
    <w:name w:val="Ramme-slutt"/>
    <w:basedOn w:val="Normal"/>
    <w:qFormat/>
    <w:rsid w:val="00562990"/>
    <w:rPr>
      <w:b/>
      <w:color w:val="C00000"/>
    </w:rPr>
  </w:style>
  <w:style w:type="paragraph" w:customStyle="1" w:styleId="romertallliste">
    <w:name w:val="romertall liste"/>
    <w:basedOn w:val="Nummerertliste"/>
    <w:qFormat/>
    <w:rsid w:val="00562990"/>
    <w:pPr>
      <w:numPr>
        <w:numId w:val="32"/>
      </w:numPr>
      <w:ind w:left="397" w:hanging="397"/>
    </w:pPr>
  </w:style>
  <w:style w:type="paragraph" w:customStyle="1" w:styleId="romertallliste2">
    <w:name w:val="romertall liste 2"/>
    <w:basedOn w:val="romertallliste"/>
    <w:qFormat/>
    <w:rsid w:val="00562990"/>
    <w:pPr>
      <w:numPr>
        <w:numId w:val="33"/>
      </w:numPr>
      <w:ind w:left="794" w:hanging="397"/>
    </w:pPr>
  </w:style>
  <w:style w:type="paragraph" w:customStyle="1" w:styleId="romertallliste3">
    <w:name w:val="romertall liste 3"/>
    <w:basedOn w:val="romertallliste"/>
    <w:qFormat/>
    <w:rsid w:val="00562990"/>
    <w:pPr>
      <w:numPr>
        <w:numId w:val="34"/>
      </w:numPr>
      <w:ind w:left="1191" w:hanging="397"/>
    </w:pPr>
  </w:style>
  <w:style w:type="paragraph" w:customStyle="1" w:styleId="romertallliste4">
    <w:name w:val="romertall liste 4"/>
    <w:basedOn w:val="romertallliste"/>
    <w:qFormat/>
    <w:rsid w:val="00562990"/>
    <w:pPr>
      <w:numPr>
        <w:numId w:val="35"/>
      </w:numPr>
      <w:ind w:left="1588" w:hanging="397"/>
    </w:pPr>
  </w:style>
  <w:style w:type="character" w:customStyle="1" w:styleId="skrift-hevet">
    <w:name w:val="skrift-hevet"/>
    <w:basedOn w:val="Standardskriftforavsnitt"/>
    <w:rsid w:val="00562990"/>
    <w:rPr>
      <w:sz w:val="20"/>
      <w:vertAlign w:val="superscript"/>
    </w:rPr>
  </w:style>
  <w:style w:type="character" w:customStyle="1" w:styleId="skrift-senket">
    <w:name w:val="skrift-senket"/>
    <w:basedOn w:val="Standardskriftforavsnitt"/>
    <w:rsid w:val="00562990"/>
    <w:rPr>
      <w:sz w:val="20"/>
      <w:vertAlign w:val="subscript"/>
    </w:rPr>
  </w:style>
  <w:style w:type="character" w:customStyle="1" w:styleId="sperret">
    <w:name w:val="sperret"/>
    <w:basedOn w:val="Standardskriftforavsnitt"/>
    <w:rsid w:val="00562990"/>
    <w:rPr>
      <w:spacing w:val="30"/>
    </w:rPr>
  </w:style>
  <w:style w:type="character" w:customStyle="1" w:styleId="Stikkord">
    <w:name w:val="Stikkord"/>
    <w:basedOn w:val="Standardskriftforavsnitt"/>
    <w:rsid w:val="00562990"/>
  </w:style>
  <w:style w:type="paragraph" w:customStyle="1" w:styleId="Tabellnavn">
    <w:name w:val="Tabellnavn"/>
    <w:basedOn w:val="Normal"/>
    <w:qFormat/>
    <w:rsid w:val="00562990"/>
    <w:rPr>
      <w:rFonts w:ascii="Times New Roman" w:hAnsi="Times New Roman"/>
      <w:vanish/>
      <w:color w:val="00B050"/>
    </w:rPr>
  </w:style>
  <w:style w:type="paragraph" w:customStyle="1" w:styleId="tabell-tittel">
    <w:name w:val="tabell-tittel"/>
    <w:basedOn w:val="Normal"/>
    <w:next w:val="Normal"/>
    <w:rsid w:val="00562990"/>
    <w:pPr>
      <w:keepNext/>
      <w:keepLines/>
      <w:numPr>
        <w:ilvl w:val="6"/>
        <w:numId w:val="37"/>
      </w:numPr>
      <w:spacing w:before="240"/>
    </w:pPr>
    <w:rPr>
      <w:spacing w:val="4"/>
      <w:sz w:val="28"/>
    </w:rPr>
  </w:style>
  <w:style w:type="paragraph" w:customStyle="1" w:styleId="Term">
    <w:name w:val="Term"/>
    <w:basedOn w:val="Normal"/>
    <w:qFormat/>
    <w:rsid w:val="00562990"/>
  </w:style>
  <w:style w:type="paragraph" w:customStyle="1" w:styleId="tittel-ramme">
    <w:name w:val="tittel-ramme"/>
    <w:basedOn w:val="Normal"/>
    <w:next w:val="Normal"/>
    <w:rsid w:val="00562990"/>
    <w:pPr>
      <w:keepNext/>
      <w:keepLines/>
      <w:numPr>
        <w:ilvl w:val="7"/>
        <w:numId w:val="37"/>
      </w:numPr>
      <w:spacing w:before="360" w:after="80"/>
      <w:jc w:val="center"/>
    </w:pPr>
    <w:rPr>
      <w:b/>
      <w:spacing w:val="4"/>
      <w:sz w:val="24"/>
    </w:rPr>
  </w:style>
  <w:style w:type="table" w:customStyle="1" w:styleId="Tabell-VM">
    <w:name w:val="Tabell-VM"/>
    <w:basedOn w:val="Tabelltemaer"/>
    <w:uiPriority w:val="99"/>
    <w:qFormat/>
    <w:rsid w:val="00562990"/>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562990"/>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62990"/>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562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6299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562990"/>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62990"/>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562990"/>
    <w:pPr>
      <w:numPr>
        <w:numId w:val="17"/>
      </w:numPr>
    </w:pPr>
  </w:style>
  <w:style w:type="paragraph" w:customStyle="1" w:styleId="Figur">
    <w:name w:val="Figur"/>
    <w:basedOn w:val="Normal"/>
    <w:rsid w:val="00562990"/>
    <w:pPr>
      <w:suppressAutoHyphens/>
      <w:spacing w:before="400" w:line="240" w:lineRule="auto"/>
      <w:jc w:val="center"/>
    </w:pPr>
    <w:rPr>
      <w:b/>
      <w:color w:val="FF0000"/>
    </w:rPr>
  </w:style>
  <w:style w:type="paragraph" w:customStyle="1" w:styleId="l-ledd">
    <w:name w:val="l-ledd"/>
    <w:basedOn w:val="Normal"/>
    <w:qFormat/>
    <w:rsid w:val="00562990"/>
    <w:pPr>
      <w:spacing w:after="0"/>
      <w:ind w:firstLine="397"/>
    </w:pPr>
    <w:rPr>
      <w:rFonts w:ascii="Times New Roman" w:hAnsi="Times New Roman"/>
      <w:spacing w:val="4"/>
    </w:rPr>
  </w:style>
  <w:style w:type="paragraph" w:customStyle="1" w:styleId="l-punktum">
    <w:name w:val="l-punktum"/>
    <w:basedOn w:val="Normal"/>
    <w:qFormat/>
    <w:rsid w:val="00562990"/>
    <w:pPr>
      <w:spacing w:after="0"/>
    </w:pPr>
    <w:rPr>
      <w:spacing w:val="4"/>
    </w:rPr>
  </w:style>
  <w:style w:type="paragraph" w:customStyle="1" w:styleId="l-tit-endr-lovkap">
    <w:name w:val="l-tit-endr-lovkap"/>
    <w:basedOn w:val="Normal"/>
    <w:qFormat/>
    <w:rsid w:val="00562990"/>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562990"/>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562990"/>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562990"/>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562990"/>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562990"/>
  </w:style>
  <w:style w:type="paragraph" w:customStyle="1" w:styleId="l-alfaliste">
    <w:name w:val="l-alfaliste"/>
    <w:basedOn w:val="alfaliste"/>
    <w:qFormat/>
    <w:rsid w:val="00562990"/>
    <w:pPr>
      <w:numPr>
        <w:numId w:val="0"/>
      </w:numPr>
    </w:pPr>
    <w:rPr>
      <w:rFonts w:eastAsiaTheme="minorEastAsia"/>
    </w:rPr>
  </w:style>
  <w:style w:type="numbering" w:customStyle="1" w:styleId="AlfaListeStil">
    <w:name w:val="AlfaListeStil"/>
    <w:uiPriority w:val="99"/>
    <w:rsid w:val="00562990"/>
    <w:pPr>
      <w:numPr>
        <w:numId w:val="39"/>
      </w:numPr>
    </w:pPr>
  </w:style>
  <w:style w:type="paragraph" w:customStyle="1" w:styleId="l-alfaliste2">
    <w:name w:val="l-alfaliste 2"/>
    <w:basedOn w:val="alfaliste2"/>
    <w:qFormat/>
    <w:rsid w:val="00562990"/>
    <w:pPr>
      <w:numPr>
        <w:numId w:val="0"/>
      </w:numPr>
    </w:pPr>
  </w:style>
  <w:style w:type="paragraph" w:customStyle="1" w:styleId="l-alfaliste3">
    <w:name w:val="l-alfaliste 3"/>
    <w:basedOn w:val="alfaliste3"/>
    <w:qFormat/>
    <w:rsid w:val="00562990"/>
    <w:pPr>
      <w:numPr>
        <w:numId w:val="0"/>
      </w:numPr>
    </w:pPr>
  </w:style>
  <w:style w:type="paragraph" w:customStyle="1" w:styleId="l-alfaliste4">
    <w:name w:val="l-alfaliste 4"/>
    <w:basedOn w:val="alfaliste4"/>
    <w:qFormat/>
    <w:rsid w:val="00562990"/>
    <w:pPr>
      <w:numPr>
        <w:numId w:val="0"/>
      </w:numPr>
    </w:pPr>
  </w:style>
  <w:style w:type="paragraph" w:customStyle="1" w:styleId="l-alfaliste5">
    <w:name w:val="l-alfaliste 5"/>
    <w:basedOn w:val="alfaliste5"/>
    <w:qFormat/>
    <w:rsid w:val="00562990"/>
    <w:pPr>
      <w:numPr>
        <w:numId w:val="0"/>
      </w:numPr>
    </w:pPr>
  </w:style>
  <w:style w:type="numbering" w:customStyle="1" w:styleId="l-AlfaListeStil">
    <w:name w:val="l-AlfaListeStil"/>
    <w:uiPriority w:val="99"/>
    <w:rsid w:val="00562990"/>
  </w:style>
  <w:style w:type="numbering" w:customStyle="1" w:styleId="l-NummerertListeStil">
    <w:name w:val="l-NummerertListeStil"/>
    <w:uiPriority w:val="99"/>
    <w:rsid w:val="00562990"/>
    <w:pPr>
      <w:numPr>
        <w:numId w:val="7"/>
      </w:numPr>
    </w:pPr>
  </w:style>
  <w:style w:type="numbering" w:customStyle="1" w:styleId="NrListeStil">
    <w:name w:val="NrListeStil"/>
    <w:uiPriority w:val="99"/>
    <w:rsid w:val="00562990"/>
    <w:pPr>
      <w:numPr>
        <w:numId w:val="8"/>
      </w:numPr>
    </w:pPr>
  </w:style>
  <w:style w:type="numbering" w:customStyle="1" w:styleId="OpplistingListeStil">
    <w:name w:val="OpplistingListeStil"/>
    <w:uiPriority w:val="99"/>
    <w:rsid w:val="00562990"/>
    <w:pPr>
      <w:numPr>
        <w:numId w:val="38"/>
      </w:numPr>
    </w:pPr>
  </w:style>
  <w:style w:type="numbering" w:customStyle="1" w:styleId="OverskrifterListeStil">
    <w:name w:val="OverskrifterListeStil"/>
    <w:uiPriority w:val="99"/>
    <w:rsid w:val="00562990"/>
    <w:pPr>
      <w:numPr>
        <w:numId w:val="9"/>
      </w:numPr>
    </w:pPr>
  </w:style>
  <w:style w:type="numbering" w:customStyle="1" w:styleId="RomListeStil">
    <w:name w:val="RomListeStil"/>
    <w:uiPriority w:val="99"/>
    <w:rsid w:val="00562990"/>
    <w:pPr>
      <w:numPr>
        <w:numId w:val="10"/>
      </w:numPr>
    </w:pPr>
  </w:style>
  <w:style w:type="numbering" w:customStyle="1" w:styleId="StrekListeStil">
    <w:name w:val="StrekListeStil"/>
    <w:uiPriority w:val="99"/>
    <w:rsid w:val="00562990"/>
    <w:pPr>
      <w:numPr>
        <w:numId w:val="11"/>
      </w:numPr>
    </w:pPr>
  </w:style>
  <w:style w:type="paragraph" w:customStyle="1" w:styleId="romertallliste5">
    <w:name w:val="romertall liste 5"/>
    <w:basedOn w:val="romertallliste"/>
    <w:qFormat/>
    <w:rsid w:val="00562990"/>
    <w:pPr>
      <w:numPr>
        <w:numId w:val="36"/>
      </w:numPr>
      <w:ind w:left="1985" w:hanging="397"/>
    </w:pPr>
    <w:rPr>
      <w:spacing w:val="4"/>
    </w:rPr>
  </w:style>
  <w:style w:type="paragraph" w:customStyle="1" w:styleId="opplisting2">
    <w:name w:val="opplisting 2"/>
    <w:basedOn w:val="opplisting"/>
    <w:qFormat/>
    <w:rsid w:val="00562990"/>
    <w:pPr>
      <w:ind w:left="397"/>
    </w:pPr>
    <w:rPr>
      <w:lang w:val="en-US"/>
    </w:rPr>
  </w:style>
  <w:style w:type="paragraph" w:customStyle="1" w:styleId="opplisting3">
    <w:name w:val="opplisting 3"/>
    <w:basedOn w:val="opplisting"/>
    <w:qFormat/>
    <w:rsid w:val="00562990"/>
    <w:pPr>
      <w:ind w:left="794"/>
    </w:pPr>
  </w:style>
  <w:style w:type="paragraph" w:customStyle="1" w:styleId="opplisting4">
    <w:name w:val="opplisting 4"/>
    <w:basedOn w:val="opplisting"/>
    <w:qFormat/>
    <w:rsid w:val="00562990"/>
    <w:pPr>
      <w:ind w:left="1191"/>
    </w:pPr>
  </w:style>
  <w:style w:type="paragraph" w:customStyle="1" w:styleId="opplisting5">
    <w:name w:val="opplisting 5"/>
    <w:basedOn w:val="opplisting"/>
    <w:qFormat/>
    <w:rsid w:val="00562990"/>
    <w:pPr>
      <w:ind w:left="1588"/>
    </w:pPr>
  </w:style>
  <w:style w:type="paragraph" w:customStyle="1" w:styleId="friliste">
    <w:name w:val="friliste"/>
    <w:basedOn w:val="Normal"/>
    <w:qFormat/>
    <w:rsid w:val="00562990"/>
    <w:pPr>
      <w:tabs>
        <w:tab w:val="left" w:pos="397"/>
      </w:tabs>
      <w:spacing w:after="0"/>
      <w:ind w:left="397" w:hanging="397"/>
    </w:pPr>
  </w:style>
  <w:style w:type="paragraph" w:customStyle="1" w:styleId="friliste2">
    <w:name w:val="friliste 2"/>
    <w:basedOn w:val="friliste"/>
    <w:qFormat/>
    <w:rsid w:val="00562990"/>
    <w:pPr>
      <w:tabs>
        <w:tab w:val="left" w:pos="794"/>
      </w:tabs>
      <w:spacing w:before="0"/>
      <w:ind w:left="794"/>
    </w:pPr>
  </w:style>
  <w:style w:type="paragraph" w:customStyle="1" w:styleId="friliste3">
    <w:name w:val="friliste 3"/>
    <w:basedOn w:val="friliste"/>
    <w:qFormat/>
    <w:rsid w:val="00562990"/>
    <w:pPr>
      <w:tabs>
        <w:tab w:val="left" w:pos="1191"/>
      </w:tabs>
      <w:spacing w:before="0"/>
      <w:ind w:left="1191"/>
    </w:pPr>
  </w:style>
  <w:style w:type="paragraph" w:customStyle="1" w:styleId="friliste4">
    <w:name w:val="friliste 4"/>
    <w:basedOn w:val="friliste"/>
    <w:qFormat/>
    <w:rsid w:val="00562990"/>
    <w:pPr>
      <w:tabs>
        <w:tab w:val="left" w:pos="1588"/>
      </w:tabs>
      <w:spacing w:before="0"/>
      <w:ind w:left="1588"/>
    </w:pPr>
  </w:style>
  <w:style w:type="paragraph" w:customStyle="1" w:styleId="friliste5">
    <w:name w:val="friliste 5"/>
    <w:basedOn w:val="friliste"/>
    <w:qFormat/>
    <w:rsid w:val="00562990"/>
    <w:pPr>
      <w:tabs>
        <w:tab w:val="left" w:pos="1985"/>
      </w:tabs>
      <w:spacing w:before="0"/>
      <w:ind w:left="1985"/>
    </w:pPr>
  </w:style>
  <w:style w:type="paragraph" w:customStyle="1" w:styleId="blokksit">
    <w:name w:val="blokksit"/>
    <w:basedOn w:val="Normal"/>
    <w:autoRedefine/>
    <w:qFormat/>
    <w:rsid w:val="00562990"/>
    <w:pPr>
      <w:spacing w:line="240" w:lineRule="auto"/>
      <w:ind w:left="397"/>
    </w:pPr>
    <w:rPr>
      <w:spacing w:val="-2"/>
    </w:rPr>
  </w:style>
  <w:style w:type="character" w:customStyle="1" w:styleId="regular">
    <w:name w:val="regular"/>
    <w:basedOn w:val="Standardskriftforavsnitt"/>
    <w:uiPriority w:val="1"/>
    <w:qFormat/>
    <w:rsid w:val="00562990"/>
    <w:rPr>
      <w:i/>
    </w:rPr>
  </w:style>
  <w:style w:type="character" w:customStyle="1" w:styleId="gjennomstreket">
    <w:name w:val="gjennomstreket"/>
    <w:uiPriority w:val="1"/>
    <w:rsid w:val="00562990"/>
    <w:rPr>
      <w:strike/>
      <w:dstrike w:val="0"/>
    </w:rPr>
  </w:style>
  <w:style w:type="paragraph" w:customStyle="1" w:styleId="l-avsnitt">
    <w:name w:val="l-avsnitt"/>
    <w:basedOn w:val="l-lovkap"/>
    <w:qFormat/>
    <w:rsid w:val="00562990"/>
    <w:rPr>
      <w:lang w:val="nn-NO"/>
    </w:rPr>
  </w:style>
  <w:style w:type="paragraph" w:customStyle="1" w:styleId="l-tit-endr-avsnitt">
    <w:name w:val="l-tit-endr-avsnitt"/>
    <w:basedOn w:val="l-tit-endr-lovkap"/>
    <w:qFormat/>
    <w:rsid w:val="00562990"/>
  </w:style>
  <w:style w:type="paragraph" w:customStyle="1" w:styleId="Listebombe">
    <w:name w:val="Liste bombe"/>
    <w:basedOn w:val="Liste"/>
    <w:qFormat/>
    <w:rsid w:val="00562990"/>
    <w:pPr>
      <w:numPr>
        <w:numId w:val="12"/>
      </w:numPr>
      <w:ind w:left="397" w:hanging="397"/>
    </w:pPr>
  </w:style>
  <w:style w:type="paragraph" w:styleId="Liste">
    <w:name w:val="List"/>
    <w:basedOn w:val="Nummerertliste"/>
    <w:qFormat/>
    <w:rsid w:val="00562990"/>
    <w:pPr>
      <w:numPr>
        <w:numId w:val="18"/>
      </w:numPr>
      <w:ind w:left="397" w:hanging="397"/>
      <w:contextualSpacing/>
    </w:pPr>
    <w:rPr>
      <w:spacing w:val="4"/>
    </w:rPr>
  </w:style>
  <w:style w:type="paragraph" w:customStyle="1" w:styleId="Listebombe2">
    <w:name w:val="Liste bombe 2"/>
    <w:basedOn w:val="Liste2"/>
    <w:qFormat/>
    <w:rsid w:val="00562990"/>
    <w:pPr>
      <w:numPr>
        <w:numId w:val="13"/>
      </w:numPr>
      <w:ind w:left="794" w:hanging="397"/>
    </w:pPr>
  </w:style>
  <w:style w:type="paragraph" w:styleId="Liste2">
    <w:name w:val="List 2"/>
    <w:basedOn w:val="Liste"/>
    <w:qFormat/>
    <w:rsid w:val="00562990"/>
    <w:pPr>
      <w:numPr>
        <w:numId w:val="19"/>
      </w:numPr>
      <w:ind w:left="794" w:hanging="397"/>
    </w:pPr>
  </w:style>
  <w:style w:type="paragraph" w:customStyle="1" w:styleId="Listebombe3">
    <w:name w:val="Liste bombe 3"/>
    <w:basedOn w:val="Liste3"/>
    <w:qFormat/>
    <w:rsid w:val="00562990"/>
    <w:pPr>
      <w:numPr>
        <w:numId w:val="14"/>
      </w:numPr>
      <w:ind w:left="1191" w:hanging="397"/>
    </w:pPr>
  </w:style>
  <w:style w:type="paragraph" w:styleId="Liste3">
    <w:name w:val="List 3"/>
    <w:basedOn w:val="Liste"/>
    <w:qFormat/>
    <w:rsid w:val="00562990"/>
    <w:pPr>
      <w:numPr>
        <w:numId w:val="20"/>
      </w:numPr>
      <w:ind w:left="1191" w:hanging="397"/>
    </w:pPr>
  </w:style>
  <w:style w:type="paragraph" w:customStyle="1" w:styleId="Listebombe4">
    <w:name w:val="Liste bombe 4"/>
    <w:basedOn w:val="Liste4"/>
    <w:qFormat/>
    <w:rsid w:val="00562990"/>
    <w:pPr>
      <w:numPr>
        <w:numId w:val="15"/>
      </w:numPr>
      <w:ind w:left="1588" w:hanging="397"/>
    </w:pPr>
  </w:style>
  <w:style w:type="paragraph" w:styleId="Liste4">
    <w:name w:val="List 4"/>
    <w:basedOn w:val="Liste"/>
    <w:qFormat/>
    <w:rsid w:val="00562990"/>
    <w:pPr>
      <w:numPr>
        <w:numId w:val="21"/>
      </w:numPr>
      <w:ind w:left="1588" w:hanging="397"/>
    </w:pPr>
  </w:style>
  <w:style w:type="paragraph" w:customStyle="1" w:styleId="Listebombe5">
    <w:name w:val="Liste bombe 5"/>
    <w:basedOn w:val="Liste5"/>
    <w:qFormat/>
    <w:rsid w:val="00562990"/>
    <w:pPr>
      <w:numPr>
        <w:numId w:val="16"/>
      </w:numPr>
      <w:ind w:left="1985" w:hanging="397"/>
    </w:pPr>
  </w:style>
  <w:style w:type="paragraph" w:styleId="Liste5">
    <w:name w:val="List 5"/>
    <w:basedOn w:val="Liste"/>
    <w:qFormat/>
    <w:rsid w:val="00562990"/>
    <w:pPr>
      <w:numPr>
        <w:numId w:val="22"/>
      </w:numPr>
      <w:ind w:left="1985" w:hanging="397"/>
    </w:pPr>
  </w:style>
  <w:style w:type="paragraph" w:customStyle="1" w:styleId="Listeavsnitt2">
    <w:name w:val="Listeavsnitt 2"/>
    <w:basedOn w:val="Listeavsnitt"/>
    <w:qFormat/>
    <w:rsid w:val="00562990"/>
    <w:pPr>
      <w:ind w:left="794"/>
    </w:pPr>
  </w:style>
  <w:style w:type="paragraph" w:customStyle="1" w:styleId="Listeavsnitt3">
    <w:name w:val="Listeavsnitt 3"/>
    <w:basedOn w:val="Listeavsnitt"/>
    <w:qFormat/>
    <w:rsid w:val="00562990"/>
    <w:pPr>
      <w:ind w:left="1191"/>
    </w:pPr>
  </w:style>
  <w:style w:type="paragraph" w:customStyle="1" w:styleId="Listeavsnitt4">
    <w:name w:val="Listeavsnitt 4"/>
    <w:basedOn w:val="Listeavsnitt"/>
    <w:qFormat/>
    <w:rsid w:val="00562990"/>
    <w:pPr>
      <w:ind w:left="1588"/>
    </w:pPr>
  </w:style>
  <w:style w:type="paragraph" w:customStyle="1" w:styleId="Listeavsnitt5">
    <w:name w:val="Listeavsnitt 5"/>
    <w:basedOn w:val="Listeavsnitt"/>
    <w:qFormat/>
    <w:rsid w:val="00562990"/>
    <w:pPr>
      <w:ind w:left="1985"/>
    </w:pPr>
  </w:style>
  <w:style w:type="paragraph" w:customStyle="1" w:styleId="Petit">
    <w:name w:val="Petit"/>
    <w:basedOn w:val="Normal"/>
    <w:next w:val="Normal"/>
    <w:qFormat/>
    <w:rsid w:val="00562990"/>
    <w:rPr>
      <w:spacing w:val="6"/>
      <w:sz w:val="19"/>
    </w:rPr>
  </w:style>
  <w:style w:type="paragraph" w:customStyle="1" w:styleId="TrykkeriMerknad">
    <w:name w:val="TrykkeriMerknad"/>
    <w:basedOn w:val="Normal"/>
    <w:qFormat/>
    <w:rsid w:val="00562990"/>
    <w:pPr>
      <w:spacing w:before="60"/>
    </w:pPr>
    <w:rPr>
      <w:color w:val="C45911" w:themeColor="accent2" w:themeShade="BF"/>
      <w:spacing w:val="4"/>
      <w:sz w:val="26"/>
    </w:rPr>
  </w:style>
  <w:style w:type="paragraph" w:customStyle="1" w:styleId="ForfatterMerknad">
    <w:name w:val="ForfatterMerknad"/>
    <w:basedOn w:val="TrykkeriMerknad"/>
    <w:qFormat/>
    <w:rsid w:val="00562990"/>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562990"/>
    <w:pPr>
      <w:numPr>
        <w:numId w:val="0"/>
      </w:numPr>
    </w:pPr>
  </w:style>
  <w:style w:type="character" w:customStyle="1" w:styleId="Overskrift1Tegn">
    <w:name w:val="Overskrift 1 Tegn"/>
    <w:basedOn w:val="Standardskriftforavsnitt"/>
    <w:link w:val="Overskrift1"/>
    <w:rsid w:val="00562990"/>
    <w:rPr>
      <w:rFonts w:ascii="Open Sans" w:eastAsia="Times New Roman" w:hAnsi="Open Sans"/>
      <w:b/>
      <w:kern w:val="28"/>
      <w:sz w:val="32"/>
      <w:lang w:eastAsia="nb-NO"/>
    </w:rPr>
  </w:style>
  <w:style w:type="paragraph" w:customStyle="1" w:styleId="UnOverskrift2">
    <w:name w:val="UnOverskrift 2"/>
    <w:basedOn w:val="Overskrift2"/>
    <w:next w:val="Normal"/>
    <w:qFormat/>
    <w:rsid w:val="00562990"/>
    <w:pPr>
      <w:numPr>
        <w:ilvl w:val="0"/>
        <w:numId w:val="0"/>
      </w:numPr>
    </w:pPr>
  </w:style>
  <w:style w:type="character" w:customStyle="1" w:styleId="Overskrift2Tegn">
    <w:name w:val="Overskrift 2 Tegn"/>
    <w:basedOn w:val="Standardskriftforavsnitt"/>
    <w:link w:val="Overskrift2"/>
    <w:rsid w:val="00562990"/>
    <w:rPr>
      <w:rFonts w:ascii="Open Sans" w:eastAsia="Times New Roman" w:hAnsi="Open Sans"/>
      <w:b/>
      <w:spacing w:val="4"/>
      <w:kern w:val="28"/>
      <w:sz w:val="28"/>
      <w:lang w:eastAsia="nb-NO"/>
    </w:rPr>
  </w:style>
  <w:style w:type="paragraph" w:customStyle="1" w:styleId="UnOverskrift3">
    <w:name w:val="UnOverskrift 3"/>
    <w:basedOn w:val="Overskrift3"/>
    <w:next w:val="Normal"/>
    <w:qFormat/>
    <w:rsid w:val="00562990"/>
    <w:pPr>
      <w:numPr>
        <w:ilvl w:val="0"/>
        <w:numId w:val="0"/>
      </w:numPr>
    </w:pPr>
  </w:style>
  <w:style w:type="character" w:customStyle="1" w:styleId="Overskrift3Tegn">
    <w:name w:val="Overskrift 3 Tegn"/>
    <w:basedOn w:val="Standardskriftforavsnitt"/>
    <w:link w:val="Overskrift3"/>
    <w:rsid w:val="00562990"/>
    <w:rPr>
      <w:rFonts w:ascii="Open Sans" w:eastAsia="Times New Roman" w:hAnsi="Open Sans"/>
      <w:b/>
      <w:lang w:eastAsia="nb-NO"/>
    </w:rPr>
  </w:style>
  <w:style w:type="paragraph" w:customStyle="1" w:styleId="UnOverskrift4">
    <w:name w:val="UnOverskrift 4"/>
    <w:basedOn w:val="Overskrift4"/>
    <w:next w:val="Normal"/>
    <w:qFormat/>
    <w:rsid w:val="00562990"/>
    <w:pPr>
      <w:numPr>
        <w:ilvl w:val="0"/>
        <w:numId w:val="0"/>
      </w:numPr>
    </w:pPr>
  </w:style>
  <w:style w:type="character" w:customStyle="1" w:styleId="Overskrift4Tegn">
    <w:name w:val="Overskrift 4 Tegn"/>
    <w:basedOn w:val="Standardskriftforavsnitt"/>
    <w:link w:val="Overskrift4"/>
    <w:rsid w:val="00562990"/>
    <w:rPr>
      <w:rFonts w:ascii="Open Sans" w:eastAsia="Times New Roman" w:hAnsi="Open Sans"/>
      <w:i/>
      <w:spacing w:val="4"/>
      <w:kern w:val="28"/>
      <w:lang w:eastAsia="nb-NO"/>
    </w:rPr>
  </w:style>
  <w:style w:type="paragraph" w:customStyle="1" w:styleId="UnOverskrift5">
    <w:name w:val="UnOverskrift 5"/>
    <w:basedOn w:val="Overskrift5"/>
    <w:next w:val="Normal"/>
    <w:qFormat/>
    <w:rsid w:val="00562990"/>
    <w:pPr>
      <w:numPr>
        <w:ilvl w:val="0"/>
        <w:numId w:val="0"/>
      </w:numPr>
    </w:pPr>
  </w:style>
  <w:style w:type="character" w:customStyle="1" w:styleId="Overskrift5Tegn">
    <w:name w:val="Overskrift 5 Tegn"/>
    <w:basedOn w:val="Standardskriftforavsnitt"/>
    <w:link w:val="Overskrift5"/>
    <w:rsid w:val="00562990"/>
    <w:rPr>
      <w:rFonts w:ascii="Open Sans" w:eastAsia="Times New Roman" w:hAnsi="Open Sans"/>
      <w:kern w:val="28"/>
      <w:lang w:eastAsia="nb-NO"/>
    </w:rPr>
  </w:style>
  <w:style w:type="paragraph" w:customStyle="1" w:styleId="PublTittel">
    <w:name w:val="PublTittel"/>
    <w:basedOn w:val="Normal"/>
    <w:qFormat/>
    <w:rsid w:val="00562990"/>
    <w:pPr>
      <w:spacing w:before="80"/>
    </w:pPr>
    <w:rPr>
      <w:sz w:val="48"/>
      <w:szCs w:val="48"/>
    </w:rPr>
  </w:style>
  <w:style w:type="paragraph" w:customStyle="1" w:styleId="Ingress">
    <w:name w:val="Ingress"/>
    <w:basedOn w:val="Normal"/>
    <w:qFormat/>
    <w:rsid w:val="00562990"/>
    <w:rPr>
      <w:i/>
    </w:rPr>
  </w:style>
  <w:style w:type="paragraph" w:customStyle="1" w:styleId="Note">
    <w:name w:val="Note"/>
    <w:basedOn w:val="Normal"/>
    <w:qFormat/>
    <w:rsid w:val="00562990"/>
  </w:style>
  <w:style w:type="paragraph" w:customStyle="1" w:styleId="FigurAltTekst">
    <w:name w:val="FigurAltTekst"/>
    <w:basedOn w:val="Note"/>
    <w:qFormat/>
    <w:rsid w:val="00562990"/>
    <w:rPr>
      <w:color w:val="7030A0"/>
    </w:rPr>
  </w:style>
  <w:style w:type="paragraph" w:customStyle="1" w:styleId="meta-dep">
    <w:name w:val="meta-dep"/>
    <w:basedOn w:val="Normal"/>
    <w:next w:val="Normal"/>
    <w:qFormat/>
    <w:rsid w:val="00562990"/>
    <w:rPr>
      <w:rFonts w:ascii="Courier New" w:hAnsi="Courier New"/>
      <w:vanish/>
      <w:color w:val="C00000"/>
      <w:sz w:val="28"/>
    </w:rPr>
  </w:style>
  <w:style w:type="paragraph" w:customStyle="1" w:styleId="meta-depavd">
    <w:name w:val="meta-depavd"/>
    <w:basedOn w:val="meta-dep"/>
    <w:next w:val="Normal"/>
    <w:qFormat/>
    <w:rsid w:val="00562990"/>
  </w:style>
  <w:style w:type="paragraph" w:customStyle="1" w:styleId="meta-forf">
    <w:name w:val="meta-forf"/>
    <w:basedOn w:val="meta-dep"/>
    <w:next w:val="Normal"/>
    <w:qFormat/>
    <w:rsid w:val="00562990"/>
  </w:style>
  <w:style w:type="paragraph" w:customStyle="1" w:styleId="meta-spr">
    <w:name w:val="meta-spr"/>
    <w:basedOn w:val="meta-dep"/>
    <w:next w:val="Normal"/>
    <w:qFormat/>
    <w:rsid w:val="00562990"/>
  </w:style>
  <w:style w:type="paragraph" w:customStyle="1" w:styleId="meta-ingress">
    <w:name w:val="meta-ingress"/>
    <w:basedOn w:val="meta-dep"/>
    <w:next w:val="Normal"/>
    <w:qFormat/>
    <w:rsid w:val="00562990"/>
    <w:rPr>
      <w:color w:val="1F4E79" w:themeColor="accent1" w:themeShade="80"/>
      <w:sz w:val="24"/>
    </w:rPr>
  </w:style>
  <w:style w:type="paragraph" w:customStyle="1" w:styleId="meta-sperrefrist">
    <w:name w:val="meta-sperrefrist"/>
    <w:basedOn w:val="meta-dep"/>
    <w:next w:val="Normal"/>
    <w:qFormat/>
    <w:rsid w:val="00562990"/>
  </w:style>
  <w:style w:type="paragraph" w:customStyle="1" w:styleId="meta-objUrl">
    <w:name w:val="meta-objUrl"/>
    <w:basedOn w:val="meta-dep"/>
    <w:next w:val="Normal"/>
    <w:qFormat/>
    <w:rsid w:val="00562990"/>
    <w:rPr>
      <w:color w:val="7030A0"/>
    </w:rPr>
  </w:style>
  <w:style w:type="paragraph" w:customStyle="1" w:styleId="meta-dokFormat">
    <w:name w:val="meta-dokFormat"/>
    <w:basedOn w:val="meta-dep"/>
    <w:next w:val="Normal"/>
    <w:qFormat/>
    <w:rsid w:val="00562990"/>
    <w:rPr>
      <w:color w:val="7030A0"/>
    </w:rPr>
  </w:style>
  <w:style w:type="paragraph" w:customStyle="1" w:styleId="TabellHode-rad">
    <w:name w:val="TabellHode-rad"/>
    <w:basedOn w:val="Normal"/>
    <w:qFormat/>
    <w:rsid w:val="00562990"/>
    <w:pPr>
      <w:shd w:val="clear" w:color="auto" w:fill="E2EFD9" w:themeFill="accent6" w:themeFillTint="33"/>
    </w:pPr>
  </w:style>
  <w:style w:type="paragraph" w:customStyle="1" w:styleId="TabellHode-kolonne">
    <w:name w:val="TabellHode-kolonne"/>
    <w:basedOn w:val="TabellHode-rad"/>
    <w:qFormat/>
    <w:rsid w:val="00562990"/>
    <w:pPr>
      <w:shd w:val="clear" w:color="auto" w:fill="DEEAF6" w:themeFill="accent1" w:themeFillTint="33"/>
    </w:pPr>
  </w:style>
  <w:style w:type="character" w:customStyle="1" w:styleId="Overskrift6Tegn">
    <w:name w:val="Overskrift 6 Tegn"/>
    <w:basedOn w:val="Standardskriftforavsnitt"/>
    <w:link w:val="Overskrift6"/>
    <w:rsid w:val="00562990"/>
    <w:rPr>
      <w:rFonts w:ascii="Open Sans" w:eastAsia="Times New Roman" w:hAnsi="Open Sans"/>
      <w:i/>
      <w:lang w:eastAsia="nb-NO"/>
    </w:rPr>
  </w:style>
  <w:style w:type="character" w:customStyle="1" w:styleId="Overskrift7Tegn">
    <w:name w:val="Overskrift 7 Tegn"/>
    <w:basedOn w:val="Standardskriftforavsnitt"/>
    <w:link w:val="Overskrift7"/>
    <w:rsid w:val="00562990"/>
    <w:rPr>
      <w:rFonts w:ascii="Open Sans" w:eastAsia="Times New Roman" w:hAnsi="Open Sans"/>
      <w:lang w:eastAsia="nb-NO"/>
    </w:rPr>
  </w:style>
  <w:style w:type="character" w:customStyle="1" w:styleId="Overskrift8Tegn">
    <w:name w:val="Overskrift 8 Tegn"/>
    <w:basedOn w:val="Standardskriftforavsnitt"/>
    <w:link w:val="Overskrift8"/>
    <w:rsid w:val="00562990"/>
    <w:rPr>
      <w:rFonts w:ascii="Open Sans" w:eastAsia="Times New Roman" w:hAnsi="Open Sans"/>
      <w:i/>
      <w:lang w:eastAsia="nb-NO"/>
    </w:rPr>
  </w:style>
  <w:style w:type="character" w:customStyle="1" w:styleId="Overskrift9Tegn">
    <w:name w:val="Overskrift 9 Tegn"/>
    <w:basedOn w:val="Standardskriftforavsnitt"/>
    <w:link w:val="Overskrift9"/>
    <w:rsid w:val="00562990"/>
    <w:rPr>
      <w:rFonts w:ascii="Open Sans" w:eastAsia="Times New Roman" w:hAnsi="Open Sans"/>
      <w:b/>
      <w:i/>
      <w:sz w:val="18"/>
      <w:lang w:eastAsia="nb-NO"/>
    </w:rPr>
  </w:style>
  <w:style w:type="paragraph" w:styleId="Indeks1">
    <w:name w:val="index 1"/>
    <w:basedOn w:val="Normal"/>
    <w:next w:val="Normal"/>
    <w:autoRedefine/>
    <w:uiPriority w:val="99"/>
    <w:semiHidden/>
    <w:unhideWhenUsed/>
    <w:rsid w:val="00562990"/>
    <w:pPr>
      <w:spacing w:after="0" w:line="240" w:lineRule="auto"/>
      <w:ind w:left="240" w:hanging="240"/>
    </w:pPr>
  </w:style>
  <w:style w:type="paragraph" w:styleId="Indeks2">
    <w:name w:val="index 2"/>
    <w:basedOn w:val="Normal"/>
    <w:next w:val="Normal"/>
    <w:autoRedefine/>
    <w:uiPriority w:val="99"/>
    <w:semiHidden/>
    <w:unhideWhenUsed/>
    <w:rsid w:val="00562990"/>
    <w:pPr>
      <w:spacing w:after="0" w:line="240" w:lineRule="auto"/>
      <w:ind w:left="480" w:hanging="240"/>
    </w:pPr>
  </w:style>
  <w:style w:type="paragraph" w:styleId="Indeks3">
    <w:name w:val="index 3"/>
    <w:basedOn w:val="Normal"/>
    <w:next w:val="Normal"/>
    <w:autoRedefine/>
    <w:uiPriority w:val="99"/>
    <w:semiHidden/>
    <w:unhideWhenUsed/>
    <w:rsid w:val="00562990"/>
    <w:pPr>
      <w:spacing w:after="0" w:line="240" w:lineRule="auto"/>
      <w:ind w:left="720" w:hanging="240"/>
    </w:pPr>
  </w:style>
  <w:style w:type="paragraph" w:styleId="Indeks4">
    <w:name w:val="index 4"/>
    <w:basedOn w:val="Normal"/>
    <w:next w:val="Normal"/>
    <w:autoRedefine/>
    <w:uiPriority w:val="99"/>
    <w:semiHidden/>
    <w:unhideWhenUsed/>
    <w:rsid w:val="00562990"/>
    <w:pPr>
      <w:spacing w:after="0" w:line="240" w:lineRule="auto"/>
      <w:ind w:left="960" w:hanging="240"/>
    </w:pPr>
  </w:style>
  <w:style w:type="paragraph" w:styleId="Indeks5">
    <w:name w:val="index 5"/>
    <w:basedOn w:val="Normal"/>
    <w:next w:val="Normal"/>
    <w:autoRedefine/>
    <w:uiPriority w:val="99"/>
    <w:semiHidden/>
    <w:unhideWhenUsed/>
    <w:rsid w:val="00562990"/>
    <w:pPr>
      <w:spacing w:after="0" w:line="240" w:lineRule="auto"/>
      <w:ind w:left="1200" w:hanging="240"/>
    </w:pPr>
  </w:style>
  <w:style w:type="paragraph" w:styleId="Indeks6">
    <w:name w:val="index 6"/>
    <w:basedOn w:val="Normal"/>
    <w:next w:val="Normal"/>
    <w:autoRedefine/>
    <w:uiPriority w:val="99"/>
    <w:semiHidden/>
    <w:unhideWhenUsed/>
    <w:rsid w:val="00562990"/>
    <w:pPr>
      <w:spacing w:after="0" w:line="240" w:lineRule="auto"/>
      <w:ind w:left="1440" w:hanging="240"/>
    </w:pPr>
  </w:style>
  <w:style w:type="paragraph" w:styleId="Indeks7">
    <w:name w:val="index 7"/>
    <w:basedOn w:val="Normal"/>
    <w:next w:val="Normal"/>
    <w:autoRedefine/>
    <w:uiPriority w:val="99"/>
    <w:semiHidden/>
    <w:unhideWhenUsed/>
    <w:rsid w:val="00562990"/>
    <w:pPr>
      <w:spacing w:after="0" w:line="240" w:lineRule="auto"/>
      <w:ind w:left="1680" w:hanging="240"/>
    </w:pPr>
  </w:style>
  <w:style w:type="paragraph" w:styleId="Indeks8">
    <w:name w:val="index 8"/>
    <w:basedOn w:val="Normal"/>
    <w:next w:val="Normal"/>
    <w:autoRedefine/>
    <w:uiPriority w:val="99"/>
    <w:semiHidden/>
    <w:unhideWhenUsed/>
    <w:rsid w:val="00562990"/>
    <w:pPr>
      <w:spacing w:after="0" w:line="240" w:lineRule="auto"/>
      <w:ind w:left="1920" w:hanging="240"/>
    </w:pPr>
  </w:style>
  <w:style w:type="paragraph" w:styleId="Indeks9">
    <w:name w:val="index 9"/>
    <w:basedOn w:val="Normal"/>
    <w:next w:val="Normal"/>
    <w:autoRedefine/>
    <w:uiPriority w:val="99"/>
    <w:semiHidden/>
    <w:unhideWhenUsed/>
    <w:rsid w:val="00562990"/>
    <w:pPr>
      <w:spacing w:after="0" w:line="240" w:lineRule="auto"/>
      <w:ind w:left="2160" w:hanging="240"/>
    </w:pPr>
  </w:style>
  <w:style w:type="paragraph" w:styleId="INNH1">
    <w:name w:val="toc 1"/>
    <w:basedOn w:val="Normal"/>
    <w:next w:val="Normal"/>
    <w:uiPriority w:val="39"/>
    <w:rsid w:val="00562990"/>
    <w:pPr>
      <w:tabs>
        <w:tab w:val="right" w:leader="dot" w:pos="8306"/>
      </w:tabs>
      <w:ind w:right="1134"/>
    </w:pPr>
  </w:style>
  <w:style w:type="paragraph" w:styleId="INNH2">
    <w:name w:val="toc 2"/>
    <w:basedOn w:val="Normal"/>
    <w:next w:val="Normal"/>
    <w:uiPriority w:val="39"/>
    <w:rsid w:val="00562990"/>
    <w:pPr>
      <w:tabs>
        <w:tab w:val="right" w:leader="dot" w:pos="8306"/>
      </w:tabs>
      <w:ind w:left="199" w:right="1134"/>
    </w:pPr>
  </w:style>
  <w:style w:type="paragraph" w:styleId="INNH3">
    <w:name w:val="toc 3"/>
    <w:basedOn w:val="Normal"/>
    <w:next w:val="Normal"/>
    <w:uiPriority w:val="39"/>
    <w:rsid w:val="00562990"/>
    <w:pPr>
      <w:tabs>
        <w:tab w:val="right" w:leader="dot" w:pos="8306"/>
      </w:tabs>
      <w:ind w:left="403" w:right="1134"/>
    </w:pPr>
  </w:style>
  <w:style w:type="paragraph" w:styleId="INNH4">
    <w:name w:val="toc 4"/>
    <w:basedOn w:val="Normal"/>
    <w:next w:val="Normal"/>
    <w:semiHidden/>
    <w:rsid w:val="00562990"/>
    <w:pPr>
      <w:tabs>
        <w:tab w:val="right" w:leader="dot" w:pos="8306"/>
      </w:tabs>
      <w:ind w:left="600"/>
    </w:pPr>
  </w:style>
  <w:style w:type="paragraph" w:styleId="INNH5">
    <w:name w:val="toc 5"/>
    <w:basedOn w:val="Normal"/>
    <w:next w:val="Normal"/>
    <w:semiHidden/>
    <w:rsid w:val="00562990"/>
    <w:pPr>
      <w:tabs>
        <w:tab w:val="right" w:leader="dot" w:pos="8306"/>
      </w:tabs>
      <w:ind w:left="800"/>
    </w:pPr>
  </w:style>
  <w:style w:type="paragraph" w:styleId="INNH6">
    <w:name w:val="toc 6"/>
    <w:basedOn w:val="Normal"/>
    <w:next w:val="Normal"/>
    <w:autoRedefine/>
    <w:uiPriority w:val="39"/>
    <w:semiHidden/>
    <w:unhideWhenUsed/>
    <w:rsid w:val="00562990"/>
    <w:pPr>
      <w:spacing w:after="100"/>
      <w:ind w:left="1200"/>
    </w:pPr>
  </w:style>
  <w:style w:type="paragraph" w:styleId="INNH7">
    <w:name w:val="toc 7"/>
    <w:basedOn w:val="Normal"/>
    <w:next w:val="Normal"/>
    <w:autoRedefine/>
    <w:uiPriority w:val="39"/>
    <w:semiHidden/>
    <w:unhideWhenUsed/>
    <w:rsid w:val="00562990"/>
    <w:pPr>
      <w:spacing w:after="100"/>
      <w:ind w:left="1440"/>
    </w:pPr>
  </w:style>
  <w:style w:type="paragraph" w:styleId="INNH8">
    <w:name w:val="toc 8"/>
    <w:basedOn w:val="Normal"/>
    <w:next w:val="Normal"/>
    <w:autoRedefine/>
    <w:uiPriority w:val="39"/>
    <w:semiHidden/>
    <w:unhideWhenUsed/>
    <w:rsid w:val="00562990"/>
    <w:pPr>
      <w:spacing w:after="100"/>
      <w:ind w:left="1680"/>
    </w:pPr>
  </w:style>
  <w:style w:type="paragraph" w:styleId="INNH9">
    <w:name w:val="toc 9"/>
    <w:basedOn w:val="Normal"/>
    <w:next w:val="Normal"/>
    <w:autoRedefine/>
    <w:uiPriority w:val="39"/>
    <w:semiHidden/>
    <w:unhideWhenUsed/>
    <w:rsid w:val="00562990"/>
    <w:pPr>
      <w:spacing w:after="100"/>
      <w:ind w:left="1920"/>
    </w:pPr>
  </w:style>
  <w:style w:type="paragraph" w:styleId="Vanliginnrykk">
    <w:name w:val="Normal Indent"/>
    <w:basedOn w:val="Normal"/>
    <w:uiPriority w:val="99"/>
    <w:semiHidden/>
    <w:unhideWhenUsed/>
    <w:rsid w:val="00562990"/>
    <w:pPr>
      <w:ind w:left="708"/>
    </w:pPr>
  </w:style>
  <w:style w:type="paragraph" w:styleId="Fotnotetekst">
    <w:name w:val="footnote text"/>
    <w:basedOn w:val="Normal"/>
    <w:link w:val="FotnotetekstTegn"/>
    <w:rsid w:val="00562990"/>
    <w:rPr>
      <w:spacing w:val="4"/>
    </w:rPr>
  </w:style>
  <w:style w:type="character" w:customStyle="1" w:styleId="FotnotetekstTegn">
    <w:name w:val="Fotnotetekst Tegn"/>
    <w:basedOn w:val="Standardskriftforavsnitt"/>
    <w:link w:val="Fotnotetekst"/>
    <w:rsid w:val="00562990"/>
    <w:rPr>
      <w:rFonts w:ascii="Open Sans" w:eastAsia="Times New Roman" w:hAnsi="Open Sans"/>
      <w:spacing w:val="4"/>
      <w:lang w:eastAsia="nb-NO"/>
    </w:rPr>
  </w:style>
  <w:style w:type="paragraph" w:styleId="Merknadstekst">
    <w:name w:val="annotation text"/>
    <w:basedOn w:val="Normal"/>
    <w:link w:val="MerknadstekstTegn"/>
    <w:semiHidden/>
    <w:rsid w:val="00562990"/>
  </w:style>
  <w:style w:type="character" w:customStyle="1" w:styleId="MerknadstekstTegn">
    <w:name w:val="Merknadstekst Tegn"/>
    <w:basedOn w:val="Standardskriftforavsnitt"/>
    <w:link w:val="Merknadstekst"/>
    <w:semiHidden/>
    <w:rsid w:val="00562990"/>
    <w:rPr>
      <w:rFonts w:ascii="Open Sans" w:eastAsia="Times New Roman" w:hAnsi="Open Sans"/>
      <w:lang w:eastAsia="nb-NO"/>
    </w:rPr>
  </w:style>
  <w:style w:type="paragraph" w:styleId="Topptekst">
    <w:name w:val="header"/>
    <w:basedOn w:val="Normal"/>
    <w:link w:val="TopptekstTegn"/>
    <w:rsid w:val="00562990"/>
    <w:pPr>
      <w:tabs>
        <w:tab w:val="center" w:pos="4536"/>
        <w:tab w:val="right" w:pos="9072"/>
      </w:tabs>
    </w:pPr>
  </w:style>
  <w:style w:type="character" w:customStyle="1" w:styleId="TopptekstTegn">
    <w:name w:val="Topptekst Tegn"/>
    <w:basedOn w:val="Standardskriftforavsnitt"/>
    <w:link w:val="Topptekst"/>
    <w:rsid w:val="00562990"/>
    <w:rPr>
      <w:rFonts w:ascii="Open Sans" w:eastAsia="Times New Roman" w:hAnsi="Open Sans"/>
      <w:lang w:eastAsia="nb-NO"/>
    </w:rPr>
  </w:style>
  <w:style w:type="paragraph" w:styleId="Bunntekst">
    <w:name w:val="footer"/>
    <w:basedOn w:val="Normal"/>
    <w:link w:val="BunntekstTegn"/>
    <w:uiPriority w:val="99"/>
    <w:rsid w:val="00562990"/>
    <w:pPr>
      <w:tabs>
        <w:tab w:val="center" w:pos="4153"/>
        <w:tab w:val="right" w:pos="8306"/>
      </w:tabs>
    </w:pPr>
    <w:rPr>
      <w:spacing w:val="4"/>
    </w:rPr>
  </w:style>
  <w:style w:type="character" w:customStyle="1" w:styleId="BunntekstTegn">
    <w:name w:val="Bunntekst Tegn"/>
    <w:basedOn w:val="Standardskriftforavsnitt"/>
    <w:link w:val="Bunntekst"/>
    <w:uiPriority w:val="99"/>
    <w:rsid w:val="00562990"/>
    <w:rPr>
      <w:rFonts w:ascii="Open Sans" w:eastAsia="Times New Roman" w:hAnsi="Open Sans"/>
      <w:spacing w:val="4"/>
      <w:lang w:eastAsia="nb-NO"/>
    </w:rPr>
  </w:style>
  <w:style w:type="paragraph" w:styleId="Stikkordregisteroverskrift">
    <w:name w:val="index heading"/>
    <w:basedOn w:val="Normal"/>
    <w:next w:val="Indeks1"/>
    <w:uiPriority w:val="99"/>
    <w:semiHidden/>
    <w:unhideWhenUsed/>
    <w:rsid w:val="00562990"/>
    <w:rPr>
      <w:rFonts w:asciiTheme="majorHAnsi" w:eastAsiaTheme="majorEastAsia" w:hAnsiTheme="majorHAnsi" w:cstheme="majorBidi"/>
      <w:b/>
      <w:bCs/>
    </w:rPr>
  </w:style>
  <w:style w:type="paragraph" w:styleId="Bildetekst">
    <w:name w:val="caption"/>
    <w:basedOn w:val="Normal"/>
    <w:next w:val="Normal"/>
    <w:uiPriority w:val="35"/>
    <w:unhideWhenUsed/>
    <w:qFormat/>
    <w:rsid w:val="00562990"/>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562990"/>
    <w:pPr>
      <w:spacing w:after="0"/>
    </w:pPr>
  </w:style>
  <w:style w:type="paragraph" w:styleId="Konvoluttadresse">
    <w:name w:val="envelope address"/>
    <w:basedOn w:val="Normal"/>
    <w:uiPriority w:val="99"/>
    <w:semiHidden/>
    <w:unhideWhenUsed/>
    <w:rsid w:val="0056299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62990"/>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rsid w:val="00562990"/>
    <w:rPr>
      <w:vertAlign w:val="superscript"/>
    </w:rPr>
  </w:style>
  <w:style w:type="character" w:styleId="Merknadsreferanse">
    <w:name w:val="annotation reference"/>
    <w:basedOn w:val="Standardskriftforavsnitt"/>
    <w:semiHidden/>
    <w:rsid w:val="00562990"/>
    <w:rPr>
      <w:sz w:val="16"/>
    </w:rPr>
  </w:style>
  <w:style w:type="character" w:styleId="Linjenummer">
    <w:name w:val="line number"/>
    <w:basedOn w:val="Standardskriftforavsnitt"/>
    <w:uiPriority w:val="99"/>
    <w:semiHidden/>
    <w:unhideWhenUsed/>
    <w:rsid w:val="00562990"/>
  </w:style>
  <w:style w:type="character" w:styleId="Sidetall">
    <w:name w:val="page number"/>
    <w:basedOn w:val="Standardskriftforavsnitt"/>
    <w:rsid w:val="00562990"/>
  </w:style>
  <w:style w:type="character" w:styleId="Sluttnotereferanse">
    <w:name w:val="endnote reference"/>
    <w:basedOn w:val="Standardskriftforavsnitt"/>
    <w:uiPriority w:val="99"/>
    <w:semiHidden/>
    <w:unhideWhenUsed/>
    <w:rsid w:val="00562990"/>
    <w:rPr>
      <w:vertAlign w:val="superscript"/>
    </w:rPr>
  </w:style>
  <w:style w:type="paragraph" w:styleId="Sluttnotetekst">
    <w:name w:val="endnote text"/>
    <w:basedOn w:val="Normal"/>
    <w:link w:val="SluttnotetekstTegn"/>
    <w:uiPriority w:val="99"/>
    <w:semiHidden/>
    <w:unhideWhenUsed/>
    <w:rsid w:val="0056299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62990"/>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562990"/>
    <w:pPr>
      <w:spacing w:after="0"/>
      <w:ind w:left="240" w:hanging="240"/>
    </w:pPr>
  </w:style>
  <w:style w:type="paragraph" w:styleId="Makrotekst">
    <w:name w:val="macro"/>
    <w:link w:val="MakrotekstTegn"/>
    <w:uiPriority w:val="99"/>
    <w:semiHidden/>
    <w:unhideWhenUsed/>
    <w:rsid w:val="0056299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562990"/>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562990"/>
    <w:pPr>
      <w:spacing w:before="120"/>
    </w:pPr>
    <w:rPr>
      <w:rFonts w:asciiTheme="majorHAnsi" w:eastAsiaTheme="majorEastAsia" w:hAnsiTheme="majorHAnsi" w:cstheme="majorBidi"/>
      <w:b/>
      <w:bCs/>
      <w:szCs w:val="24"/>
    </w:rPr>
  </w:style>
  <w:style w:type="paragraph" w:styleId="Punktliste">
    <w:name w:val="List Bullet"/>
    <w:basedOn w:val="Normal"/>
    <w:rsid w:val="00562990"/>
    <w:pPr>
      <w:numPr>
        <w:numId w:val="2"/>
      </w:numPr>
      <w:spacing w:after="0"/>
    </w:pPr>
    <w:rPr>
      <w:spacing w:val="4"/>
    </w:rPr>
  </w:style>
  <w:style w:type="paragraph" w:styleId="Nummerertliste">
    <w:name w:val="List Number"/>
    <w:qFormat/>
    <w:rsid w:val="00562990"/>
    <w:pPr>
      <w:keepLines/>
      <w:numPr>
        <w:numId w:val="24"/>
      </w:numPr>
      <w:tabs>
        <w:tab w:val="num" w:pos="397"/>
      </w:tabs>
      <w:spacing w:after="0" w:line="288" w:lineRule="auto"/>
      <w:ind w:left="397" w:hanging="397"/>
    </w:pPr>
    <w:rPr>
      <w:rFonts w:ascii="Open Sans" w:eastAsia="Batang" w:hAnsi="Open Sans"/>
      <w:szCs w:val="20"/>
      <w:lang w:eastAsia="nb-NO"/>
    </w:rPr>
  </w:style>
  <w:style w:type="paragraph" w:styleId="Punktliste2">
    <w:name w:val="List Bullet 2"/>
    <w:basedOn w:val="Normal"/>
    <w:rsid w:val="00562990"/>
    <w:pPr>
      <w:numPr>
        <w:numId w:val="3"/>
      </w:numPr>
      <w:spacing w:after="0"/>
    </w:pPr>
    <w:rPr>
      <w:spacing w:val="4"/>
    </w:rPr>
  </w:style>
  <w:style w:type="paragraph" w:styleId="Punktliste3">
    <w:name w:val="List Bullet 3"/>
    <w:basedOn w:val="Normal"/>
    <w:rsid w:val="00562990"/>
    <w:pPr>
      <w:numPr>
        <w:numId w:val="4"/>
      </w:numPr>
      <w:spacing w:after="0"/>
    </w:pPr>
    <w:rPr>
      <w:spacing w:val="4"/>
    </w:rPr>
  </w:style>
  <w:style w:type="paragraph" w:styleId="Punktliste4">
    <w:name w:val="List Bullet 4"/>
    <w:basedOn w:val="Normal"/>
    <w:rsid w:val="00562990"/>
    <w:pPr>
      <w:numPr>
        <w:numId w:val="5"/>
      </w:numPr>
      <w:spacing w:after="0"/>
    </w:pPr>
  </w:style>
  <w:style w:type="paragraph" w:styleId="Punktliste5">
    <w:name w:val="List Bullet 5"/>
    <w:basedOn w:val="Normal"/>
    <w:rsid w:val="00562990"/>
    <w:pPr>
      <w:numPr>
        <w:numId w:val="6"/>
      </w:numPr>
      <w:spacing w:after="0"/>
    </w:pPr>
  </w:style>
  <w:style w:type="paragraph" w:styleId="Nummerertliste2">
    <w:name w:val="List Number 2"/>
    <w:basedOn w:val="Nummerertliste"/>
    <w:qFormat/>
    <w:rsid w:val="00562990"/>
    <w:pPr>
      <w:numPr>
        <w:numId w:val="25"/>
      </w:numPr>
      <w:ind w:left="794" w:hanging="397"/>
    </w:pPr>
  </w:style>
  <w:style w:type="paragraph" w:styleId="Nummerertliste3">
    <w:name w:val="List Number 3"/>
    <w:basedOn w:val="Nummerertliste"/>
    <w:qFormat/>
    <w:rsid w:val="00562990"/>
    <w:pPr>
      <w:numPr>
        <w:numId w:val="26"/>
      </w:numPr>
      <w:tabs>
        <w:tab w:val="num" w:pos="397"/>
      </w:tabs>
      <w:ind w:left="1191" w:hanging="397"/>
    </w:pPr>
  </w:style>
  <w:style w:type="paragraph" w:styleId="Nummerertliste4">
    <w:name w:val="List Number 4"/>
    <w:basedOn w:val="Nummerertliste"/>
    <w:rsid w:val="00562990"/>
    <w:pPr>
      <w:numPr>
        <w:numId w:val="27"/>
      </w:numPr>
      <w:tabs>
        <w:tab w:val="num" w:pos="397"/>
      </w:tabs>
      <w:ind w:left="1588" w:hanging="397"/>
    </w:pPr>
  </w:style>
  <w:style w:type="paragraph" w:styleId="Nummerertliste5">
    <w:name w:val="List Number 5"/>
    <w:basedOn w:val="Nummerertliste"/>
    <w:qFormat/>
    <w:rsid w:val="00562990"/>
    <w:pPr>
      <w:numPr>
        <w:numId w:val="28"/>
      </w:numPr>
      <w:tabs>
        <w:tab w:val="num" w:pos="397"/>
      </w:tabs>
      <w:ind w:left="1985" w:hanging="397"/>
    </w:pPr>
  </w:style>
  <w:style w:type="paragraph" w:styleId="Tittel">
    <w:name w:val="Title"/>
    <w:basedOn w:val="Normal"/>
    <w:next w:val="Normal"/>
    <w:link w:val="TittelTegn"/>
    <w:uiPriority w:val="10"/>
    <w:qFormat/>
    <w:rsid w:val="0056299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62990"/>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562990"/>
    <w:pPr>
      <w:spacing w:after="0" w:line="240" w:lineRule="auto"/>
      <w:ind w:left="4252"/>
    </w:pPr>
  </w:style>
  <w:style w:type="character" w:customStyle="1" w:styleId="HilsenTegn">
    <w:name w:val="Hilsen Tegn"/>
    <w:basedOn w:val="Standardskriftforavsnitt"/>
    <w:link w:val="Hilsen"/>
    <w:uiPriority w:val="99"/>
    <w:semiHidden/>
    <w:rsid w:val="00562990"/>
    <w:rPr>
      <w:rFonts w:ascii="Open Sans" w:eastAsia="Times New Roman" w:hAnsi="Open Sans"/>
      <w:lang w:eastAsia="nb-NO"/>
    </w:rPr>
  </w:style>
  <w:style w:type="paragraph" w:styleId="Underskrift">
    <w:name w:val="Signature"/>
    <w:basedOn w:val="Normal"/>
    <w:link w:val="UnderskriftTegn"/>
    <w:uiPriority w:val="99"/>
    <w:semiHidden/>
    <w:unhideWhenUsed/>
    <w:rsid w:val="00562990"/>
    <w:pPr>
      <w:spacing w:after="0" w:line="240" w:lineRule="auto"/>
      <w:ind w:left="4252"/>
    </w:pPr>
  </w:style>
  <w:style w:type="character" w:customStyle="1" w:styleId="UnderskriftTegn">
    <w:name w:val="Underskrift Tegn"/>
    <w:basedOn w:val="Standardskriftforavsnitt"/>
    <w:link w:val="Underskrift"/>
    <w:uiPriority w:val="99"/>
    <w:semiHidden/>
    <w:rsid w:val="00562990"/>
    <w:rPr>
      <w:rFonts w:ascii="Open Sans" w:eastAsia="Times New Roman" w:hAnsi="Open Sans"/>
      <w:lang w:eastAsia="nb-NO"/>
    </w:rPr>
  </w:style>
  <w:style w:type="paragraph" w:styleId="Brdtekst">
    <w:name w:val="Body Text"/>
    <w:basedOn w:val="Normal"/>
    <w:link w:val="BrdtekstTegn"/>
    <w:uiPriority w:val="99"/>
    <w:semiHidden/>
    <w:unhideWhenUsed/>
    <w:rsid w:val="00562990"/>
  </w:style>
  <w:style w:type="character" w:customStyle="1" w:styleId="BrdtekstTegn">
    <w:name w:val="Brødtekst Tegn"/>
    <w:basedOn w:val="Standardskriftforavsnitt"/>
    <w:link w:val="Brdtekst"/>
    <w:uiPriority w:val="99"/>
    <w:semiHidden/>
    <w:rsid w:val="00562990"/>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562990"/>
    <w:pPr>
      <w:ind w:left="283"/>
    </w:pPr>
  </w:style>
  <w:style w:type="character" w:customStyle="1" w:styleId="BrdtekstinnrykkTegn">
    <w:name w:val="Brødtekstinnrykk Tegn"/>
    <w:basedOn w:val="Standardskriftforavsnitt"/>
    <w:link w:val="Brdtekstinnrykk"/>
    <w:uiPriority w:val="99"/>
    <w:semiHidden/>
    <w:rsid w:val="00562990"/>
    <w:rPr>
      <w:rFonts w:ascii="Open Sans" w:eastAsia="Times New Roman" w:hAnsi="Open Sans"/>
      <w:lang w:eastAsia="nb-NO"/>
    </w:rPr>
  </w:style>
  <w:style w:type="paragraph" w:styleId="Liste-forts">
    <w:name w:val="List Continue"/>
    <w:basedOn w:val="Normal"/>
    <w:uiPriority w:val="99"/>
    <w:semiHidden/>
    <w:unhideWhenUsed/>
    <w:rsid w:val="00562990"/>
    <w:pPr>
      <w:ind w:left="283"/>
      <w:contextualSpacing/>
    </w:pPr>
  </w:style>
  <w:style w:type="paragraph" w:styleId="Liste-forts2">
    <w:name w:val="List Continue 2"/>
    <w:basedOn w:val="Normal"/>
    <w:uiPriority w:val="99"/>
    <w:semiHidden/>
    <w:unhideWhenUsed/>
    <w:rsid w:val="00562990"/>
    <w:pPr>
      <w:ind w:left="566"/>
      <w:contextualSpacing/>
    </w:pPr>
  </w:style>
  <w:style w:type="paragraph" w:styleId="Liste-forts3">
    <w:name w:val="List Continue 3"/>
    <w:basedOn w:val="Normal"/>
    <w:uiPriority w:val="99"/>
    <w:semiHidden/>
    <w:unhideWhenUsed/>
    <w:rsid w:val="00562990"/>
    <w:pPr>
      <w:ind w:left="849"/>
      <w:contextualSpacing/>
    </w:pPr>
  </w:style>
  <w:style w:type="paragraph" w:styleId="Liste-forts4">
    <w:name w:val="List Continue 4"/>
    <w:basedOn w:val="Normal"/>
    <w:uiPriority w:val="99"/>
    <w:semiHidden/>
    <w:unhideWhenUsed/>
    <w:rsid w:val="00562990"/>
    <w:pPr>
      <w:ind w:left="1132"/>
      <w:contextualSpacing/>
    </w:pPr>
  </w:style>
  <w:style w:type="paragraph" w:styleId="Liste-forts5">
    <w:name w:val="List Continue 5"/>
    <w:basedOn w:val="Normal"/>
    <w:uiPriority w:val="99"/>
    <w:semiHidden/>
    <w:unhideWhenUsed/>
    <w:rsid w:val="00562990"/>
    <w:pPr>
      <w:ind w:left="1415"/>
      <w:contextualSpacing/>
    </w:pPr>
  </w:style>
  <w:style w:type="paragraph" w:styleId="Meldingshode">
    <w:name w:val="Message Header"/>
    <w:basedOn w:val="Normal"/>
    <w:link w:val="MeldingshodeTegn"/>
    <w:uiPriority w:val="99"/>
    <w:semiHidden/>
    <w:unhideWhenUsed/>
    <w:rsid w:val="005629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62990"/>
    <w:rPr>
      <w:rFonts w:asciiTheme="majorHAnsi" w:eastAsiaTheme="majorEastAsia" w:hAnsiTheme="majorHAnsi" w:cstheme="majorBidi"/>
      <w:szCs w:val="24"/>
      <w:shd w:val="pct20" w:color="auto" w:fill="auto"/>
      <w:lang w:eastAsia="nb-NO"/>
    </w:rPr>
  </w:style>
  <w:style w:type="paragraph" w:styleId="Undertittel">
    <w:name w:val="Subtitle"/>
    <w:basedOn w:val="Overskrift1"/>
    <w:next w:val="Normal"/>
    <w:link w:val="UndertittelTegn"/>
    <w:qFormat/>
    <w:rsid w:val="00562990"/>
    <w:pPr>
      <w:numPr>
        <w:numId w:val="0"/>
      </w:numPr>
      <w:spacing w:before="240"/>
      <w:outlineLvl w:val="9"/>
    </w:pPr>
    <w:rPr>
      <w:spacing w:val="4"/>
      <w:sz w:val="28"/>
    </w:rPr>
  </w:style>
  <w:style w:type="character" w:customStyle="1" w:styleId="UndertittelTegn">
    <w:name w:val="Undertittel Tegn"/>
    <w:basedOn w:val="Standardskriftforavsnitt"/>
    <w:link w:val="Undertittel"/>
    <w:rsid w:val="00562990"/>
    <w:rPr>
      <w:rFonts w:ascii="Open Sans" w:eastAsia="Times New Roman" w:hAnsi="Open Sans"/>
      <w:b/>
      <w:spacing w:val="4"/>
      <w:kern w:val="28"/>
      <w:sz w:val="28"/>
      <w:lang w:eastAsia="nb-NO"/>
    </w:rPr>
  </w:style>
  <w:style w:type="paragraph" w:styleId="Innledendehilsen">
    <w:name w:val="Salutation"/>
    <w:basedOn w:val="Normal"/>
    <w:next w:val="Normal"/>
    <w:link w:val="InnledendehilsenTegn"/>
    <w:uiPriority w:val="99"/>
    <w:semiHidden/>
    <w:unhideWhenUsed/>
    <w:rsid w:val="00562990"/>
  </w:style>
  <w:style w:type="character" w:customStyle="1" w:styleId="InnledendehilsenTegn">
    <w:name w:val="Innledende hilsen Tegn"/>
    <w:basedOn w:val="Standardskriftforavsnitt"/>
    <w:link w:val="Innledendehilsen"/>
    <w:uiPriority w:val="99"/>
    <w:semiHidden/>
    <w:rsid w:val="00562990"/>
    <w:rPr>
      <w:rFonts w:ascii="Open Sans" w:eastAsia="Times New Roman" w:hAnsi="Open Sans"/>
      <w:lang w:eastAsia="nb-NO"/>
    </w:rPr>
  </w:style>
  <w:style w:type="paragraph" w:styleId="Brdtekst-frsteinnrykk">
    <w:name w:val="Body Text First Indent"/>
    <w:basedOn w:val="Brdtekst"/>
    <w:link w:val="Brdtekst-frsteinnrykkTegn"/>
    <w:uiPriority w:val="99"/>
    <w:semiHidden/>
    <w:unhideWhenUsed/>
    <w:rsid w:val="00562990"/>
    <w:pPr>
      <w:ind w:firstLine="360"/>
    </w:pPr>
  </w:style>
  <w:style w:type="character" w:customStyle="1" w:styleId="Brdtekst-frsteinnrykkTegn">
    <w:name w:val="Brødtekst - første innrykk Tegn"/>
    <w:basedOn w:val="BrdtekstTegn"/>
    <w:link w:val="Brdtekst-frsteinnrykk"/>
    <w:uiPriority w:val="99"/>
    <w:semiHidden/>
    <w:rsid w:val="00562990"/>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562990"/>
    <w:pPr>
      <w:ind w:left="360" w:firstLine="360"/>
    </w:pPr>
  </w:style>
  <w:style w:type="character" w:customStyle="1" w:styleId="Brdtekst-frsteinnrykk2Tegn">
    <w:name w:val="Brødtekst - første innrykk 2 Tegn"/>
    <w:basedOn w:val="BrdtekstinnrykkTegn"/>
    <w:link w:val="Brdtekst-frsteinnrykk2"/>
    <w:uiPriority w:val="99"/>
    <w:semiHidden/>
    <w:rsid w:val="00562990"/>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562990"/>
    <w:pPr>
      <w:spacing w:after="0" w:line="240" w:lineRule="auto"/>
    </w:pPr>
  </w:style>
  <w:style w:type="character" w:customStyle="1" w:styleId="NotatoverskriftTegn">
    <w:name w:val="Notatoverskrift Tegn"/>
    <w:basedOn w:val="Standardskriftforavsnitt"/>
    <w:link w:val="Notatoverskrift"/>
    <w:uiPriority w:val="99"/>
    <w:semiHidden/>
    <w:rsid w:val="00562990"/>
    <w:rPr>
      <w:rFonts w:ascii="Open Sans" w:eastAsia="Times New Roman" w:hAnsi="Open Sans"/>
      <w:lang w:eastAsia="nb-NO"/>
    </w:rPr>
  </w:style>
  <w:style w:type="paragraph" w:styleId="Brdtekst2">
    <w:name w:val="Body Text 2"/>
    <w:basedOn w:val="Normal"/>
    <w:link w:val="Brdtekst2Tegn"/>
    <w:uiPriority w:val="99"/>
    <w:semiHidden/>
    <w:unhideWhenUsed/>
    <w:rsid w:val="00562990"/>
    <w:pPr>
      <w:spacing w:line="480" w:lineRule="auto"/>
    </w:pPr>
  </w:style>
  <w:style w:type="character" w:customStyle="1" w:styleId="Brdtekst2Tegn">
    <w:name w:val="Brødtekst 2 Tegn"/>
    <w:basedOn w:val="Standardskriftforavsnitt"/>
    <w:link w:val="Brdtekst2"/>
    <w:uiPriority w:val="99"/>
    <w:semiHidden/>
    <w:rsid w:val="00562990"/>
    <w:rPr>
      <w:rFonts w:ascii="Open Sans" w:eastAsia="Times New Roman" w:hAnsi="Open Sans"/>
      <w:lang w:eastAsia="nb-NO"/>
    </w:rPr>
  </w:style>
  <w:style w:type="paragraph" w:styleId="Brdtekst3">
    <w:name w:val="Body Text 3"/>
    <w:basedOn w:val="Normal"/>
    <w:link w:val="Brdtekst3Tegn"/>
    <w:uiPriority w:val="99"/>
    <w:semiHidden/>
    <w:unhideWhenUsed/>
    <w:rsid w:val="00562990"/>
    <w:rPr>
      <w:sz w:val="16"/>
      <w:szCs w:val="16"/>
    </w:rPr>
  </w:style>
  <w:style w:type="character" w:customStyle="1" w:styleId="Brdtekst3Tegn">
    <w:name w:val="Brødtekst 3 Tegn"/>
    <w:basedOn w:val="Standardskriftforavsnitt"/>
    <w:link w:val="Brdtekst3"/>
    <w:uiPriority w:val="99"/>
    <w:semiHidden/>
    <w:rsid w:val="00562990"/>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562990"/>
    <w:pPr>
      <w:spacing w:line="480" w:lineRule="auto"/>
      <w:ind w:left="283"/>
    </w:pPr>
  </w:style>
  <w:style w:type="character" w:customStyle="1" w:styleId="Brdtekstinnrykk2Tegn">
    <w:name w:val="Brødtekstinnrykk 2 Tegn"/>
    <w:basedOn w:val="Standardskriftforavsnitt"/>
    <w:link w:val="Brdtekstinnrykk2"/>
    <w:uiPriority w:val="99"/>
    <w:semiHidden/>
    <w:rsid w:val="00562990"/>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562990"/>
    <w:pPr>
      <w:ind w:left="283"/>
    </w:pPr>
    <w:rPr>
      <w:sz w:val="16"/>
      <w:szCs w:val="16"/>
    </w:rPr>
  </w:style>
  <w:style w:type="character" w:customStyle="1" w:styleId="Brdtekstinnrykk3Tegn">
    <w:name w:val="Brødtekstinnrykk 3 Tegn"/>
    <w:basedOn w:val="Standardskriftforavsnitt"/>
    <w:link w:val="Brdtekstinnrykk3"/>
    <w:uiPriority w:val="99"/>
    <w:semiHidden/>
    <w:rsid w:val="00562990"/>
    <w:rPr>
      <w:rFonts w:ascii="Open Sans" w:eastAsia="Times New Roman" w:hAnsi="Open Sans"/>
      <w:sz w:val="16"/>
      <w:szCs w:val="16"/>
      <w:lang w:eastAsia="nb-NO"/>
    </w:rPr>
  </w:style>
  <w:style w:type="paragraph" w:styleId="Blokktekst">
    <w:name w:val="Block Text"/>
    <w:basedOn w:val="Normal"/>
    <w:uiPriority w:val="99"/>
    <w:semiHidden/>
    <w:unhideWhenUsed/>
    <w:rsid w:val="0056299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562990"/>
    <w:rPr>
      <w:color w:val="0563C1" w:themeColor="hyperlink"/>
      <w:u w:val="single"/>
    </w:rPr>
  </w:style>
  <w:style w:type="character" w:styleId="Fulgthyperkobling">
    <w:name w:val="FollowedHyperlink"/>
    <w:basedOn w:val="Standardskriftforavsnitt"/>
    <w:uiPriority w:val="99"/>
    <w:semiHidden/>
    <w:unhideWhenUsed/>
    <w:rsid w:val="00562990"/>
    <w:rPr>
      <w:color w:val="954F72" w:themeColor="followedHyperlink"/>
      <w:u w:val="single"/>
    </w:rPr>
  </w:style>
  <w:style w:type="character" w:styleId="Sterk">
    <w:name w:val="Strong"/>
    <w:basedOn w:val="Standardskriftforavsnitt"/>
    <w:uiPriority w:val="22"/>
    <w:qFormat/>
    <w:rsid w:val="00562990"/>
    <w:rPr>
      <w:b/>
      <w:bCs/>
    </w:rPr>
  </w:style>
  <w:style w:type="character" w:styleId="Utheving">
    <w:name w:val="Emphasis"/>
    <w:basedOn w:val="Standardskriftforavsnitt"/>
    <w:uiPriority w:val="20"/>
    <w:qFormat/>
    <w:rsid w:val="00562990"/>
    <w:rPr>
      <w:i/>
      <w:iCs/>
    </w:rPr>
  </w:style>
  <w:style w:type="paragraph" w:styleId="Dokumentkart">
    <w:name w:val="Document Map"/>
    <w:basedOn w:val="Normal"/>
    <w:link w:val="DokumentkartTegn"/>
    <w:uiPriority w:val="99"/>
    <w:semiHidden/>
    <w:unhideWhenUsed/>
    <w:rsid w:val="0056299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62990"/>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56299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62990"/>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562990"/>
    <w:pPr>
      <w:spacing w:after="0" w:line="240" w:lineRule="auto"/>
    </w:pPr>
  </w:style>
  <w:style w:type="character" w:customStyle="1" w:styleId="E-postsignaturTegn">
    <w:name w:val="E-postsignatur Tegn"/>
    <w:basedOn w:val="Standardskriftforavsnitt"/>
    <w:link w:val="E-postsignatur"/>
    <w:uiPriority w:val="99"/>
    <w:semiHidden/>
    <w:rsid w:val="00562990"/>
    <w:rPr>
      <w:rFonts w:ascii="Open Sans" w:eastAsia="Times New Roman" w:hAnsi="Open Sans"/>
      <w:lang w:eastAsia="nb-NO"/>
    </w:rPr>
  </w:style>
  <w:style w:type="paragraph" w:styleId="NormalWeb">
    <w:name w:val="Normal (Web)"/>
    <w:basedOn w:val="Normal"/>
    <w:uiPriority w:val="99"/>
    <w:semiHidden/>
    <w:unhideWhenUsed/>
    <w:rsid w:val="00562990"/>
    <w:rPr>
      <w:rFonts w:cs="Times New Roman"/>
      <w:szCs w:val="24"/>
    </w:rPr>
  </w:style>
  <w:style w:type="character" w:styleId="HTML-akronym">
    <w:name w:val="HTML Acronym"/>
    <w:basedOn w:val="Standardskriftforavsnitt"/>
    <w:uiPriority w:val="99"/>
    <w:semiHidden/>
    <w:unhideWhenUsed/>
    <w:rsid w:val="00562990"/>
  </w:style>
  <w:style w:type="paragraph" w:styleId="HTML-adresse">
    <w:name w:val="HTML Address"/>
    <w:basedOn w:val="Normal"/>
    <w:link w:val="HTML-adresseTegn"/>
    <w:uiPriority w:val="99"/>
    <w:semiHidden/>
    <w:unhideWhenUsed/>
    <w:rsid w:val="00562990"/>
    <w:pPr>
      <w:spacing w:after="0" w:line="240" w:lineRule="auto"/>
    </w:pPr>
    <w:rPr>
      <w:i/>
      <w:iCs/>
    </w:rPr>
  </w:style>
  <w:style w:type="character" w:customStyle="1" w:styleId="HTML-adresseTegn">
    <w:name w:val="HTML-adresse Tegn"/>
    <w:basedOn w:val="Standardskriftforavsnitt"/>
    <w:link w:val="HTML-adresse"/>
    <w:uiPriority w:val="99"/>
    <w:semiHidden/>
    <w:rsid w:val="00562990"/>
    <w:rPr>
      <w:rFonts w:ascii="Open Sans" w:eastAsia="Times New Roman" w:hAnsi="Open Sans"/>
      <w:i/>
      <w:iCs/>
      <w:lang w:eastAsia="nb-NO"/>
    </w:rPr>
  </w:style>
  <w:style w:type="character" w:styleId="HTML-sitat">
    <w:name w:val="HTML Cite"/>
    <w:basedOn w:val="Standardskriftforavsnitt"/>
    <w:uiPriority w:val="99"/>
    <w:semiHidden/>
    <w:unhideWhenUsed/>
    <w:rsid w:val="00562990"/>
    <w:rPr>
      <w:i/>
      <w:iCs/>
    </w:rPr>
  </w:style>
  <w:style w:type="character" w:styleId="HTML-kode">
    <w:name w:val="HTML Code"/>
    <w:basedOn w:val="Standardskriftforavsnitt"/>
    <w:uiPriority w:val="99"/>
    <w:semiHidden/>
    <w:unhideWhenUsed/>
    <w:rsid w:val="00562990"/>
    <w:rPr>
      <w:rFonts w:ascii="Consolas" w:hAnsi="Consolas"/>
      <w:sz w:val="20"/>
      <w:szCs w:val="20"/>
    </w:rPr>
  </w:style>
  <w:style w:type="character" w:styleId="HTML-definisjon">
    <w:name w:val="HTML Definition"/>
    <w:basedOn w:val="Standardskriftforavsnitt"/>
    <w:uiPriority w:val="99"/>
    <w:semiHidden/>
    <w:unhideWhenUsed/>
    <w:rsid w:val="00562990"/>
    <w:rPr>
      <w:i/>
      <w:iCs/>
    </w:rPr>
  </w:style>
  <w:style w:type="character" w:styleId="HTML-tastatur">
    <w:name w:val="HTML Keyboard"/>
    <w:basedOn w:val="Standardskriftforavsnitt"/>
    <w:uiPriority w:val="99"/>
    <w:semiHidden/>
    <w:unhideWhenUsed/>
    <w:rsid w:val="00562990"/>
    <w:rPr>
      <w:rFonts w:ascii="Consolas" w:hAnsi="Consolas"/>
      <w:sz w:val="20"/>
      <w:szCs w:val="20"/>
    </w:rPr>
  </w:style>
  <w:style w:type="paragraph" w:styleId="HTML-forhndsformatert">
    <w:name w:val="HTML Preformatted"/>
    <w:basedOn w:val="Normal"/>
    <w:link w:val="HTML-forhndsformatertTegn"/>
    <w:uiPriority w:val="99"/>
    <w:semiHidden/>
    <w:unhideWhenUsed/>
    <w:rsid w:val="0056299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62990"/>
    <w:rPr>
      <w:rFonts w:ascii="Consolas" w:eastAsia="Times New Roman" w:hAnsi="Consolas"/>
      <w:szCs w:val="20"/>
      <w:lang w:eastAsia="nb-NO"/>
    </w:rPr>
  </w:style>
  <w:style w:type="character" w:styleId="HTML-eksempel">
    <w:name w:val="HTML Sample"/>
    <w:basedOn w:val="Standardskriftforavsnitt"/>
    <w:uiPriority w:val="99"/>
    <w:semiHidden/>
    <w:unhideWhenUsed/>
    <w:rsid w:val="00562990"/>
    <w:rPr>
      <w:rFonts w:ascii="Consolas" w:hAnsi="Consolas"/>
      <w:sz w:val="24"/>
      <w:szCs w:val="24"/>
    </w:rPr>
  </w:style>
  <w:style w:type="character" w:styleId="HTML-skrivemaskin">
    <w:name w:val="HTML Typewriter"/>
    <w:basedOn w:val="Standardskriftforavsnitt"/>
    <w:uiPriority w:val="99"/>
    <w:semiHidden/>
    <w:unhideWhenUsed/>
    <w:rsid w:val="00562990"/>
    <w:rPr>
      <w:rFonts w:ascii="Consolas" w:hAnsi="Consolas"/>
      <w:sz w:val="20"/>
      <w:szCs w:val="20"/>
    </w:rPr>
  </w:style>
  <w:style w:type="character" w:styleId="HTML-variabel">
    <w:name w:val="HTML Variable"/>
    <w:basedOn w:val="Standardskriftforavsnitt"/>
    <w:uiPriority w:val="99"/>
    <w:semiHidden/>
    <w:unhideWhenUsed/>
    <w:rsid w:val="00562990"/>
    <w:rPr>
      <w:i/>
      <w:iCs/>
    </w:rPr>
  </w:style>
  <w:style w:type="paragraph" w:styleId="Kommentaremne">
    <w:name w:val="annotation subject"/>
    <w:basedOn w:val="Merknadstekst"/>
    <w:next w:val="Merknadstekst"/>
    <w:link w:val="KommentaremneTegn"/>
    <w:uiPriority w:val="99"/>
    <w:semiHidden/>
    <w:unhideWhenUsed/>
    <w:rsid w:val="00562990"/>
    <w:pPr>
      <w:spacing w:line="240" w:lineRule="auto"/>
    </w:pPr>
    <w:rPr>
      <w:b/>
      <w:bCs/>
      <w:szCs w:val="20"/>
    </w:rPr>
  </w:style>
  <w:style w:type="character" w:customStyle="1" w:styleId="KommentaremneTegn">
    <w:name w:val="Kommentaremne Tegn"/>
    <w:basedOn w:val="MerknadstekstTegn"/>
    <w:link w:val="Kommentaremne"/>
    <w:uiPriority w:val="99"/>
    <w:semiHidden/>
    <w:rsid w:val="00562990"/>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56299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2990"/>
    <w:rPr>
      <w:rFonts w:ascii="Tahoma" w:eastAsia="Times New Roman" w:hAnsi="Tahoma" w:cs="Tahoma"/>
      <w:sz w:val="16"/>
      <w:szCs w:val="16"/>
      <w:lang w:eastAsia="nb-NO"/>
    </w:rPr>
  </w:style>
  <w:style w:type="table" w:styleId="Tabellrutenett">
    <w:name w:val="Table Grid"/>
    <w:basedOn w:val="Vanligtabell"/>
    <w:uiPriority w:val="59"/>
    <w:rsid w:val="005629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62990"/>
    <w:rPr>
      <w:color w:val="808080"/>
    </w:rPr>
  </w:style>
  <w:style w:type="paragraph" w:styleId="Ingenmellomrom">
    <w:name w:val="No Spacing"/>
    <w:uiPriority w:val="1"/>
    <w:qFormat/>
    <w:rsid w:val="00562990"/>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562990"/>
    <w:pPr>
      <w:spacing w:before="0"/>
      <w:ind w:firstLine="0"/>
    </w:pPr>
  </w:style>
  <w:style w:type="paragraph" w:styleId="Sitat">
    <w:name w:val="Quote"/>
    <w:basedOn w:val="Normal"/>
    <w:next w:val="Normal"/>
    <w:link w:val="SitatTegn"/>
    <w:uiPriority w:val="29"/>
    <w:qFormat/>
    <w:rsid w:val="0056299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62990"/>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562990"/>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562990"/>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562990"/>
    <w:rPr>
      <w:i/>
      <w:iCs/>
      <w:color w:val="808080" w:themeColor="text1" w:themeTint="7F"/>
    </w:rPr>
  </w:style>
  <w:style w:type="character" w:styleId="Sterkutheving">
    <w:name w:val="Intense Emphasis"/>
    <w:basedOn w:val="Standardskriftforavsnitt"/>
    <w:uiPriority w:val="21"/>
    <w:qFormat/>
    <w:rsid w:val="00562990"/>
    <w:rPr>
      <w:b/>
      <w:bCs/>
      <w:i/>
      <w:iCs/>
      <w:color w:val="5B9BD5" w:themeColor="accent1"/>
    </w:rPr>
  </w:style>
  <w:style w:type="character" w:styleId="Svakreferanse">
    <w:name w:val="Subtle Reference"/>
    <w:basedOn w:val="Standardskriftforavsnitt"/>
    <w:uiPriority w:val="31"/>
    <w:qFormat/>
    <w:rsid w:val="00562990"/>
    <w:rPr>
      <w:smallCaps/>
      <w:color w:val="ED7D31" w:themeColor="accent2"/>
      <w:u w:val="single"/>
    </w:rPr>
  </w:style>
  <w:style w:type="character" w:styleId="Sterkreferanse">
    <w:name w:val="Intense Reference"/>
    <w:basedOn w:val="Standardskriftforavsnitt"/>
    <w:uiPriority w:val="32"/>
    <w:qFormat/>
    <w:rsid w:val="00562990"/>
    <w:rPr>
      <w:b/>
      <w:bCs/>
      <w:smallCaps/>
      <w:color w:val="ED7D31" w:themeColor="accent2"/>
      <w:spacing w:val="5"/>
      <w:u w:val="single"/>
    </w:rPr>
  </w:style>
  <w:style w:type="character" w:styleId="Boktittel">
    <w:name w:val="Book Title"/>
    <w:basedOn w:val="Standardskriftforavsnitt"/>
    <w:uiPriority w:val="33"/>
    <w:qFormat/>
    <w:rsid w:val="00562990"/>
    <w:rPr>
      <w:b/>
      <w:bCs/>
      <w:smallCaps/>
      <w:spacing w:val="5"/>
    </w:rPr>
  </w:style>
  <w:style w:type="paragraph" w:styleId="Bibliografi">
    <w:name w:val="Bibliography"/>
    <w:basedOn w:val="Normal"/>
    <w:next w:val="Normal"/>
    <w:uiPriority w:val="37"/>
    <w:semiHidden/>
    <w:unhideWhenUsed/>
    <w:rsid w:val="00562990"/>
  </w:style>
  <w:style w:type="paragraph" w:styleId="Overskriftforinnholdsfortegnelse">
    <w:name w:val="TOC Heading"/>
    <w:basedOn w:val="Overskrift1"/>
    <w:next w:val="Normal"/>
    <w:uiPriority w:val="39"/>
    <w:unhideWhenUsed/>
    <w:qFormat/>
    <w:rsid w:val="00562990"/>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56299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62990"/>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6299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62990"/>
    <w:tblPr/>
    <w:tcPr>
      <w:shd w:val="clear" w:color="auto" w:fill="BDD6EE" w:themeFill="accent1" w:themeFillTint="66"/>
    </w:tcPr>
  </w:style>
  <w:style w:type="table" w:customStyle="1" w:styleId="GronnBoks">
    <w:name w:val="GronnBoks"/>
    <w:basedOn w:val="StandardBoks"/>
    <w:uiPriority w:val="99"/>
    <w:rsid w:val="00562990"/>
    <w:tblPr/>
    <w:tcPr>
      <w:shd w:val="clear" w:color="auto" w:fill="C5E0B3" w:themeFill="accent6" w:themeFillTint="66"/>
    </w:tcPr>
  </w:style>
  <w:style w:type="table" w:customStyle="1" w:styleId="RodBoks">
    <w:name w:val="RodBoks"/>
    <w:basedOn w:val="StandardBoks"/>
    <w:uiPriority w:val="99"/>
    <w:rsid w:val="00562990"/>
    <w:tblPr/>
    <w:tcPr>
      <w:shd w:val="clear" w:color="auto" w:fill="FFB3B3"/>
    </w:tcPr>
  </w:style>
  <w:style w:type="paragraph" w:customStyle="1" w:styleId="BoksGraaTittel">
    <w:name w:val="BoksGraaTittel"/>
    <w:basedOn w:val="Normal"/>
    <w:next w:val="Normal"/>
    <w:qFormat/>
    <w:rsid w:val="0056299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62990"/>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56299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6299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562990"/>
    <w:rPr>
      <w:u w:val="single"/>
    </w:rPr>
  </w:style>
  <w:style w:type="paragraph" w:customStyle="1" w:styleId="del-nr">
    <w:name w:val="del-nr"/>
    <w:basedOn w:val="Normal"/>
    <w:qFormat/>
    <w:rsid w:val="0056299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62990"/>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56299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562990"/>
  </w:style>
  <w:style w:type="paragraph" w:customStyle="1" w:styleId="tbl2LinjeSumBold">
    <w:name w:val="tbl2LinjeSumBold"/>
    <w:basedOn w:val="tblRad"/>
    <w:rsid w:val="00562990"/>
    <w:rPr>
      <w:b/>
    </w:rPr>
  </w:style>
  <w:style w:type="paragraph" w:customStyle="1" w:styleId="tblDelsum1">
    <w:name w:val="tblDelsum1"/>
    <w:basedOn w:val="tblRad"/>
    <w:rsid w:val="00562990"/>
    <w:rPr>
      <w:i/>
    </w:rPr>
  </w:style>
  <w:style w:type="paragraph" w:customStyle="1" w:styleId="tblDelsum1-Kapittel">
    <w:name w:val="tblDelsum1 - Kapittel"/>
    <w:basedOn w:val="tblDelsum1"/>
    <w:rsid w:val="00562990"/>
    <w:pPr>
      <w:keepNext w:val="0"/>
    </w:pPr>
  </w:style>
  <w:style w:type="paragraph" w:customStyle="1" w:styleId="tblDelsum2">
    <w:name w:val="tblDelsum2"/>
    <w:basedOn w:val="tblRad"/>
    <w:rsid w:val="00562990"/>
    <w:rPr>
      <w:b/>
      <w:i/>
    </w:rPr>
  </w:style>
  <w:style w:type="paragraph" w:customStyle="1" w:styleId="tblDelsum2-Kapittel">
    <w:name w:val="tblDelsum2 - Kapittel"/>
    <w:basedOn w:val="tblDelsum2"/>
    <w:rsid w:val="00562990"/>
    <w:pPr>
      <w:keepNext w:val="0"/>
    </w:pPr>
  </w:style>
  <w:style w:type="paragraph" w:customStyle="1" w:styleId="tblTabelloverskrift">
    <w:name w:val="tblTabelloverskrift"/>
    <w:rsid w:val="0056299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562990"/>
    <w:pPr>
      <w:spacing w:after="0"/>
      <w:jc w:val="right"/>
    </w:pPr>
    <w:rPr>
      <w:b w:val="0"/>
      <w:caps w:val="0"/>
      <w:sz w:val="16"/>
    </w:rPr>
  </w:style>
  <w:style w:type="paragraph" w:customStyle="1" w:styleId="tblKategoriOverskrift">
    <w:name w:val="tblKategoriOverskrift"/>
    <w:basedOn w:val="tblRad"/>
    <w:rsid w:val="00562990"/>
    <w:pPr>
      <w:spacing w:before="120"/>
    </w:pPr>
    <w:rPr>
      <w:b/>
    </w:rPr>
  </w:style>
  <w:style w:type="paragraph" w:customStyle="1" w:styleId="tblKolonneoverskrift">
    <w:name w:val="tblKolonneoverskrift"/>
    <w:basedOn w:val="Normal"/>
    <w:rsid w:val="0056299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62990"/>
    <w:pPr>
      <w:spacing w:after="360"/>
      <w:jc w:val="center"/>
    </w:pPr>
    <w:rPr>
      <w:b w:val="0"/>
      <w:caps w:val="0"/>
    </w:rPr>
  </w:style>
  <w:style w:type="paragraph" w:customStyle="1" w:styleId="tblKolonneoverskrift-Vedtak">
    <w:name w:val="tblKolonneoverskrift - Vedtak"/>
    <w:basedOn w:val="tblTabelloverskrift-Vedtak"/>
    <w:rsid w:val="00562990"/>
    <w:pPr>
      <w:spacing w:after="0"/>
    </w:pPr>
  </w:style>
  <w:style w:type="paragraph" w:customStyle="1" w:styleId="tblOverskrift-Vedtak">
    <w:name w:val="tblOverskrift - Vedtak"/>
    <w:basedOn w:val="tblRad"/>
    <w:rsid w:val="00562990"/>
    <w:pPr>
      <w:spacing w:before="360"/>
      <w:jc w:val="center"/>
    </w:pPr>
  </w:style>
  <w:style w:type="paragraph" w:customStyle="1" w:styleId="tblRadBold">
    <w:name w:val="tblRadBold"/>
    <w:basedOn w:val="tblRad"/>
    <w:rsid w:val="00562990"/>
    <w:rPr>
      <w:b/>
    </w:rPr>
  </w:style>
  <w:style w:type="paragraph" w:customStyle="1" w:styleId="tblRadItalic">
    <w:name w:val="tblRadItalic"/>
    <w:basedOn w:val="tblRad"/>
    <w:rsid w:val="00562990"/>
    <w:rPr>
      <w:i/>
    </w:rPr>
  </w:style>
  <w:style w:type="paragraph" w:customStyle="1" w:styleId="tblRadItalicSiste">
    <w:name w:val="tblRadItalicSiste"/>
    <w:basedOn w:val="tblRadItalic"/>
    <w:rsid w:val="00562990"/>
  </w:style>
  <w:style w:type="paragraph" w:customStyle="1" w:styleId="tblRadMedLuft">
    <w:name w:val="tblRadMedLuft"/>
    <w:basedOn w:val="tblRad"/>
    <w:rsid w:val="00562990"/>
    <w:pPr>
      <w:spacing w:before="120"/>
    </w:pPr>
  </w:style>
  <w:style w:type="paragraph" w:customStyle="1" w:styleId="tblRadMedLuftSiste">
    <w:name w:val="tblRadMedLuftSiste"/>
    <w:basedOn w:val="tblRadMedLuft"/>
    <w:rsid w:val="00562990"/>
    <w:pPr>
      <w:spacing w:after="120"/>
    </w:pPr>
  </w:style>
  <w:style w:type="paragraph" w:customStyle="1" w:styleId="tblRadMedLuftSiste-Vedtak">
    <w:name w:val="tblRadMedLuftSiste - Vedtak"/>
    <w:basedOn w:val="tblRadMedLuftSiste"/>
    <w:rsid w:val="00562990"/>
    <w:pPr>
      <w:keepNext w:val="0"/>
    </w:pPr>
  </w:style>
  <w:style w:type="paragraph" w:customStyle="1" w:styleId="tblRadSiste">
    <w:name w:val="tblRadSiste"/>
    <w:basedOn w:val="tblRad"/>
    <w:rsid w:val="00562990"/>
  </w:style>
  <w:style w:type="paragraph" w:customStyle="1" w:styleId="tblSluttsum">
    <w:name w:val="tblSluttsum"/>
    <w:basedOn w:val="tblRad"/>
    <w:rsid w:val="00562990"/>
    <w:pPr>
      <w:spacing w:before="120"/>
    </w:pPr>
    <w:rPr>
      <w:b/>
      <w:i/>
    </w:rPr>
  </w:style>
  <w:style w:type="paragraph" w:customStyle="1" w:styleId="Stil1">
    <w:name w:val="Stil1"/>
    <w:basedOn w:val="Normal"/>
    <w:qFormat/>
    <w:rsid w:val="00562990"/>
    <w:pPr>
      <w:spacing w:after="100"/>
    </w:pPr>
  </w:style>
  <w:style w:type="paragraph" w:customStyle="1" w:styleId="Stil2">
    <w:name w:val="Stil2"/>
    <w:basedOn w:val="Normal"/>
    <w:autoRedefine/>
    <w:qFormat/>
    <w:rsid w:val="00562990"/>
    <w:pPr>
      <w:spacing w:after="100"/>
    </w:pPr>
  </w:style>
  <w:style w:type="paragraph" w:customStyle="1" w:styleId="Forside-departement">
    <w:name w:val="Forside-departement"/>
    <w:qFormat/>
    <w:rsid w:val="00562990"/>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562990"/>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562990"/>
    <w:pPr>
      <w:spacing w:after="0" w:line="240" w:lineRule="auto"/>
    </w:pPr>
    <w:rPr>
      <w:rFonts w:ascii="Open Sans" w:eastAsia="Times New Roman" w:hAnsi="Open Sans" w:cs="Open Sans"/>
      <w:color w:val="000000"/>
      <w:sz w:val="66"/>
      <w:szCs w:val="66"/>
    </w:rPr>
  </w:style>
  <w:style w:type="paragraph" w:customStyle="1" w:styleId="0NOUTittelside-1">
    <w:name w:val="0_NOU_Tittelside-1"/>
    <w:rsid w:val="00CB6E05"/>
    <w:pPr>
      <w:autoSpaceDE w:val="0"/>
      <w:autoSpaceDN w:val="0"/>
      <w:adjustRightInd w:val="0"/>
      <w:spacing w:after="0" w:line="980" w:lineRule="atLeast"/>
      <w:jc w:val="both"/>
    </w:pPr>
    <w:rPr>
      <w:rFonts w:ascii="UniCentury Old Style" w:eastAsiaTheme="minorEastAsia" w:hAnsi="UniCentury Old Style" w:cs="UniCentury Old Style"/>
      <w:b/>
      <w:bCs/>
      <w:color w:val="FF0000"/>
      <w:w w:val="0"/>
      <w:sz w:val="82"/>
      <w:szCs w:val="82"/>
      <w:lang w:eastAsia="nb-NO"/>
      <w14:ligatures w14:val="standardContextual"/>
    </w:rPr>
  </w:style>
  <w:style w:type="paragraph" w:customStyle="1" w:styleId="figur-noter">
    <w:name w:val="figur-noter"/>
    <w:basedOn w:val="Normal"/>
    <w:next w:val="Normal"/>
    <w:rsid w:val="00CB6E05"/>
    <w:pPr>
      <w:tabs>
        <w:tab w:val="left" w:pos="284"/>
      </w:tabs>
      <w:spacing w:before="120" w:after="120" w:line="240" w:lineRule="auto"/>
      <w:contextualSpacing/>
    </w:pPr>
    <w:rPr>
      <w:rFonts w:ascii="Times New Roman" w:eastAsia="Batang" w:hAnsi="Times New Roman"/>
      <w:sz w:val="20"/>
      <w:szCs w:val="20"/>
    </w:rPr>
  </w:style>
  <w:style w:type="paragraph" w:customStyle="1" w:styleId="tabell-noter">
    <w:name w:val="tabell-noter"/>
    <w:basedOn w:val="Normal"/>
    <w:next w:val="Normal"/>
    <w:rsid w:val="00CB6E05"/>
    <w:pPr>
      <w:tabs>
        <w:tab w:val="left" w:pos="284"/>
      </w:tabs>
      <w:spacing w:before="120" w:after="120" w:line="240" w:lineRule="auto"/>
      <w:contextualSpacing/>
    </w:pPr>
    <w:rPr>
      <w:rFonts w:ascii="Times New Roman" w:eastAsia="Batang" w:hAnsi="Times New Roman"/>
      <w:sz w:val="20"/>
      <w:szCs w:val="20"/>
    </w:rPr>
  </w:style>
  <w:style w:type="numbering" w:customStyle="1" w:styleId="Stil3">
    <w:name w:val="Stil3"/>
    <w:uiPriority w:val="99"/>
    <w:rsid w:val="00C3040C"/>
    <w:pPr>
      <w:numPr>
        <w:numId w:val="40"/>
      </w:numPr>
    </w:pPr>
  </w:style>
  <w:style w:type="character" w:styleId="Emneknagg">
    <w:name w:val="Hashtag"/>
    <w:basedOn w:val="Standardskriftforavsnitt"/>
    <w:uiPriority w:val="99"/>
    <w:semiHidden/>
    <w:unhideWhenUsed/>
    <w:rsid w:val="00E86C35"/>
    <w:rPr>
      <w:color w:val="2B579A"/>
      <w:shd w:val="clear" w:color="auto" w:fill="E1DFDD"/>
    </w:rPr>
  </w:style>
  <w:style w:type="character" w:styleId="Omtale">
    <w:name w:val="Mention"/>
    <w:basedOn w:val="Standardskriftforavsnitt"/>
    <w:uiPriority w:val="99"/>
    <w:semiHidden/>
    <w:unhideWhenUsed/>
    <w:rsid w:val="00E86C35"/>
    <w:rPr>
      <w:color w:val="2B579A"/>
      <w:shd w:val="clear" w:color="auto" w:fill="E1DFDD"/>
    </w:rPr>
  </w:style>
  <w:style w:type="character" w:styleId="Smarthyperkobling">
    <w:name w:val="Smart Hyperlink"/>
    <w:basedOn w:val="Standardskriftforavsnitt"/>
    <w:uiPriority w:val="99"/>
    <w:semiHidden/>
    <w:unhideWhenUsed/>
    <w:rsid w:val="00E86C35"/>
    <w:rPr>
      <w:u w:val="dotted"/>
    </w:rPr>
  </w:style>
  <w:style w:type="character" w:styleId="Smartkobling">
    <w:name w:val="Smart Link"/>
    <w:basedOn w:val="Standardskriftforavsnitt"/>
    <w:uiPriority w:val="99"/>
    <w:semiHidden/>
    <w:unhideWhenUsed/>
    <w:rsid w:val="00E86C35"/>
    <w:rPr>
      <w:color w:val="0000FF"/>
      <w:u w:val="single"/>
      <w:shd w:val="clear" w:color="auto" w:fill="F3F2F1"/>
    </w:rPr>
  </w:style>
  <w:style w:type="character" w:styleId="Ulstomtale">
    <w:name w:val="Unresolved Mention"/>
    <w:basedOn w:val="Standardskriftforavsnitt"/>
    <w:uiPriority w:val="99"/>
    <w:semiHidden/>
    <w:unhideWhenUsed/>
    <w:rsid w:val="00E86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204</TotalTime>
  <Pages>31</Pages>
  <Words>6340</Words>
  <Characters>32845</Characters>
  <Application>Microsoft Office Word</Application>
  <DocSecurity>0</DocSecurity>
  <Lines>966</Lines>
  <Paragraphs>593</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Vatnedal</dc:creator>
  <cp:keywords/>
  <dc:description/>
  <cp:lastModifiedBy>Jonas Madsen Rogne</cp:lastModifiedBy>
  <cp:revision>12</cp:revision>
  <cp:lastPrinted>2025-10-16T13:39:00Z</cp:lastPrinted>
  <dcterms:created xsi:type="dcterms:W3CDTF">2025-10-16T10:18:00Z</dcterms:created>
  <dcterms:modified xsi:type="dcterms:W3CDTF">2025-10-20T14:25:00Z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2023-08-15T12:05:27Z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3bfbee0c-a3e8-4b17-8af1-187db2eb6706</vt:lpwstr>
  </property>
  <property fmtid="{D5CDD505-2E9C-101B-9397-08002B2CF9AE}" pid="8" name="MSIP_Label_b22f7043-6caf-4431-9109-8eff758a1d8b_ContentBits">
    <vt:lpwstr>0</vt:lpwstr>
  </property>
</Properties>
</file>