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A2" w:rsidRDefault="007D3CA2" w:rsidP="007D3CA2">
      <w:pPr>
        <w:pStyle w:val="i-dep"/>
      </w:pPr>
      <w:r>
        <w:t xml:space="preserve">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</w:t>
      </w:r>
    </w:p>
    <w:p w:rsidR="007D3CA2" w:rsidRDefault="007D3CA2" w:rsidP="007D3CA2">
      <w:pPr>
        <w:pStyle w:val="i-tit"/>
      </w:pPr>
      <w:r>
        <w:t>Long-term plan for research and higher education 2019–2028</w:t>
      </w:r>
    </w:p>
    <w:p w:rsidR="007D3CA2" w:rsidRDefault="007D3CA2" w:rsidP="007D3CA2">
      <w:pPr>
        <w:pStyle w:val="i-undertit"/>
      </w:pPr>
      <w:r>
        <w:t>Meld. St. 4 (2018–2019) Report to the Storting (white paper)</w:t>
      </w:r>
    </w:p>
    <w:p w:rsidR="007D3CA2" w:rsidRDefault="007D3CA2" w:rsidP="007D3CA2">
      <w:pPr>
        <w:pStyle w:val="i-statsrdato"/>
      </w:pPr>
      <w:r>
        <w:t xml:space="preserve">Recommendation of 5 October 2018 from the Ministry of Education and Research, </w:t>
      </w:r>
      <w:r>
        <w:br/>
        <w:t xml:space="preserve">approved in the Council of State on the same day. </w:t>
      </w:r>
      <w:r>
        <w:br/>
        <w:t>(Solberg Government)</w:t>
      </w:r>
    </w:p>
    <w:p w:rsidR="007D3CA2" w:rsidRDefault="007D3CA2" w:rsidP="006E6F2E">
      <w:pPr>
        <w:pStyle w:val="Overskrift1"/>
      </w:pPr>
      <w:proofErr w:type="spellStart"/>
      <w:r>
        <w:t>Government</w:t>
      </w:r>
      <w:proofErr w:type="spellEnd"/>
      <w:r>
        <w:t xml:space="preserve"> policy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7D3CA2" w:rsidRDefault="007D3CA2" w:rsidP="007D3CA2">
      <w:pPr>
        <w:pStyle w:val="Overskrift2"/>
      </w:pPr>
      <w:proofErr w:type="spellStart"/>
      <w:r>
        <w:t>Ambition</w:t>
      </w:r>
      <w:proofErr w:type="spellEnd"/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is </w:t>
      </w:r>
      <w:proofErr w:type="spellStart"/>
      <w:r>
        <w:t>working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in overall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,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profitable </w:t>
      </w:r>
      <w:proofErr w:type="spellStart"/>
      <w:r>
        <w:t>jobs</w:t>
      </w:r>
      <w:proofErr w:type="spellEnd"/>
      <w:r>
        <w:t xml:space="preserve">, </w:t>
      </w:r>
      <w:proofErr w:type="spellStart"/>
      <w:r>
        <w:t>restructure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greener </w:t>
      </w:r>
      <w:proofErr w:type="spellStart"/>
      <w:r>
        <w:t>society</w:t>
      </w:r>
      <w:proofErr w:type="spellEnd"/>
      <w:r>
        <w:t xml:space="preserve">. It is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part in </w:t>
      </w:r>
      <w:proofErr w:type="spellStart"/>
      <w:r>
        <w:t>the</w:t>
      </w:r>
      <w:proofErr w:type="spellEnd"/>
      <w:r>
        <w:t xml:space="preserve"> joint global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widespread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. As </w:t>
      </w:r>
      <w:proofErr w:type="spellStart"/>
      <w:r>
        <w:t>the</w:t>
      </w:r>
      <w:proofErr w:type="spellEnd"/>
      <w:r>
        <w:t xml:space="preserve"> digital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gains</w:t>
      </w:r>
      <w:proofErr w:type="spellEnd"/>
      <w:r>
        <w:t xml:space="preserve"> </w:t>
      </w:r>
      <w:proofErr w:type="spellStart"/>
      <w:r>
        <w:t>momentum</w:t>
      </w:r>
      <w:proofErr w:type="spellEnd"/>
      <w:r>
        <w:t xml:space="preserve">, it is </w:t>
      </w:r>
      <w:proofErr w:type="spellStart"/>
      <w:r>
        <w:t>essential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an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all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play a part.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to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and </w:t>
      </w:r>
      <w:proofErr w:type="spellStart"/>
      <w:r>
        <w:t>boost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, to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and to </w:t>
      </w:r>
      <w:proofErr w:type="spellStart"/>
      <w:r>
        <w:t>build</w:t>
      </w:r>
      <w:proofErr w:type="spellEnd"/>
      <w:r>
        <w:t xml:space="preserve"> an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:rsidR="007D3CA2" w:rsidRDefault="007D3CA2" w:rsidP="007D3CA2">
      <w:r>
        <w:t xml:space="preserve">Research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play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environmentally</w:t>
      </w:r>
      <w:proofErr w:type="spellEnd"/>
      <w:r>
        <w:t xml:space="preserve">, </w:t>
      </w:r>
      <w:proofErr w:type="spellStart"/>
      <w:r>
        <w:t>socially</w:t>
      </w:r>
      <w:proofErr w:type="spellEnd"/>
      <w:r>
        <w:t xml:space="preserve">, </w:t>
      </w:r>
      <w:proofErr w:type="spellStart"/>
      <w:r>
        <w:t>culturally</w:t>
      </w:r>
      <w:proofErr w:type="spellEnd"/>
      <w:r>
        <w:t xml:space="preserve">, </w:t>
      </w:r>
      <w:proofErr w:type="spellStart"/>
      <w:r>
        <w:t>economically</w:t>
      </w:r>
      <w:proofErr w:type="spellEnd"/>
      <w:r>
        <w:t xml:space="preserve"> and </w:t>
      </w:r>
      <w:proofErr w:type="spellStart"/>
      <w:r>
        <w:t>politically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.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is a </w:t>
      </w:r>
      <w:proofErr w:type="spellStart"/>
      <w:r>
        <w:t>prerequisite</w:t>
      </w:r>
      <w:proofErr w:type="spellEnd"/>
      <w:r>
        <w:t xml:space="preserve"> for taking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make it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sustain</w:t>
      </w:r>
      <w:proofErr w:type="spellEnd"/>
      <w:r>
        <w:t xml:space="preserve"> </w:t>
      </w:r>
      <w:proofErr w:type="spellStart"/>
      <w:r>
        <w:t>prosperity</w:t>
      </w:r>
      <w:proofErr w:type="spellEnd"/>
      <w:r>
        <w:t xml:space="preserve"> and </w:t>
      </w:r>
      <w:proofErr w:type="spellStart"/>
      <w:r>
        <w:t>welfare</w:t>
      </w:r>
      <w:proofErr w:type="spellEnd"/>
      <w:r>
        <w:t xml:space="preserve">, preserve a planet at risk </w:t>
      </w:r>
      <w:proofErr w:type="spellStart"/>
      <w:r>
        <w:t>of</w:t>
      </w:r>
      <w:proofErr w:type="spellEnd"/>
      <w:r>
        <w:t xml:space="preserve"> </w:t>
      </w:r>
      <w:proofErr w:type="spellStart"/>
      <w:r>
        <w:t>overload</w:t>
      </w:r>
      <w:proofErr w:type="spellEnd"/>
      <w:r>
        <w:t xml:space="preserve"> and </w:t>
      </w:r>
      <w:proofErr w:type="spellStart"/>
      <w:r>
        <w:t>protect</w:t>
      </w:r>
      <w:proofErr w:type="spellEnd"/>
      <w:r>
        <w:t xml:space="preserve"> fundamental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freedom</w:t>
      </w:r>
      <w:proofErr w:type="spellEnd"/>
      <w:r>
        <w:t xml:space="preserve"> and </w:t>
      </w:r>
      <w:proofErr w:type="spellStart"/>
      <w:r>
        <w:t>democracy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ambitions</w:t>
      </w:r>
      <w:proofErr w:type="spellEnd"/>
      <w:r>
        <w:t xml:space="preserve"> for Norwegian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Norway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invest</w:t>
      </w:r>
      <w:proofErr w:type="spellEnd"/>
      <w:r>
        <w:t xml:space="preserve"> in </w:t>
      </w:r>
      <w:proofErr w:type="spellStart"/>
      <w:r>
        <w:t>knowledge</w:t>
      </w:r>
      <w:proofErr w:type="spellEnd"/>
      <w:r>
        <w:t xml:space="preserve"> as a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preparing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; </w:t>
      </w:r>
      <w:proofErr w:type="spellStart"/>
      <w:r>
        <w:t>establishing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, green and profitable </w:t>
      </w:r>
      <w:proofErr w:type="spellStart"/>
      <w:r>
        <w:t>jobs</w:t>
      </w:r>
      <w:proofErr w:type="spellEnd"/>
      <w:r>
        <w:t xml:space="preserve">; and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better</w:t>
      </w:r>
      <w:proofErr w:type="spellEnd"/>
      <w:r>
        <w:t xml:space="preserve">, more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. High-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must </w:t>
      </w:r>
      <w:proofErr w:type="spellStart"/>
      <w:r>
        <w:t>therefore</w:t>
      </w:r>
      <w:proofErr w:type="spellEnd"/>
      <w:r>
        <w:t xml:space="preserve"> be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to all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it. High-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to </w:t>
      </w:r>
      <w:proofErr w:type="spellStart"/>
      <w:r>
        <w:t>ensuring</w:t>
      </w:r>
      <w:proofErr w:type="spellEnd"/>
      <w:r>
        <w:t xml:space="preserve"> a </w:t>
      </w:r>
      <w:proofErr w:type="spellStart"/>
      <w:r>
        <w:t>viable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and business </w:t>
      </w:r>
      <w:proofErr w:type="spellStart"/>
      <w:r>
        <w:t>sector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, stable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:rsidR="007D3CA2" w:rsidRDefault="007D3CA2" w:rsidP="007D3CA2">
      <w:proofErr w:type="spellStart"/>
      <w:r>
        <w:t>But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is driven by more </w:t>
      </w:r>
      <w:proofErr w:type="spellStart"/>
      <w:r>
        <w:t>than</w:t>
      </w:r>
      <w:proofErr w:type="spellEnd"/>
      <w:r>
        <w:t xml:space="preserve"> goals and targets; in </w:t>
      </w:r>
      <w:proofErr w:type="spellStart"/>
      <w:r>
        <w:t>many</w:t>
      </w:r>
      <w:proofErr w:type="spellEnd"/>
      <w:r>
        <w:t xml:space="preserve"> cases, it is </w:t>
      </w:r>
      <w:proofErr w:type="spellStart"/>
      <w:r>
        <w:t>curiosity</w:t>
      </w:r>
      <w:proofErr w:type="spellEnd"/>
      <w:r>
        <w:t xml:space="preserve">-driven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led to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extraordinary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. It </w:t>
      </w:r>
      <w:proofErr w:type="spellStart"/>
      <w:r>
        <w:t>takes</w:t>
      </w:r>
      <w:proofErr w:type="spellEnd"/>
      <w:r>
        <w:t xml:space="preserve"> time to </w:t>
      </w:r>
      <w:proofErr w:type="spellStart"/>
      <w:r>
        <w:t>accumulate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why</w:t>
      </w:r>
      <w:proofErr w:type="spellEnd"/>
      <w:r>
        <w:t xml:space="preserve"> it is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employ</w:t>
      </w:r>
      <w:proofErr w:type="spellEnd"/>
      <w:r>
        <w:t xml:space="preserve"> a long-term </w:t>
      </w:r>
      <w:proofErr w:type="spellStart"/>
      <w:r>
        <w:t>perspective</w:t>
      </w:r>
      <w:proofErr w:type="spellEnd"/>
      <w:r>
        <w:t xml:space="preserve"> and be </w:t>
      </w:r>
      <w:proofErr w:type="spellStart"/>
      <w:r>
        <w:t>willing</w:t>
      </w:r>
      <w:proofErr w:type="spellEnd"/>
      <w:r>
        <w:t xml:space="preserve"> to </w:t>
      </w:r>
      <w:proofErr w:type="spellStart"/>
      <w:r>
        <w:t>allocate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Norway </w:t>
      </w:r>
      <w:proofErr w:type="spellStart"/>
      <w:r>
        <w:t>needs</w:t>
      </w:r>
      <w:proofErr w:type="spellEnd"/>
      <w:r>
        <w:t xml:space="preserve"> </w:t>
      </w:r>
      <w:proofErr w:type="gramStart"/>
      <w:r>
        <w:t>to have</w:t>
      </w:r>
      <w:proofErr w:type="gramEnd"/>
      <w:r>
        <w:t xml:space="preserve"> a </w:t>
      </w:r>
      <w:proofErr w:type="spellStart"/>
      <w:r>
        <w:t>world-leading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to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, </w:t>
      </w:r>
      <w:proofErr w:type="spellStart"/>
      <w:r>
        <w:t>richer</w:t>
      </w:r>
      <w:proofErr w:type="spellEnd"/>
      <w:r>
        <w:t xml:space="preserve"> lives.</w:t>
      </w:r>
    </w:p>
    <w:p w:rsidR="007D3CA2" w:rsidRDefault="007D3CA2" w:rsidP="007D3CA2"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defining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and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reflected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long-term plan. This is an area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goals. The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adopted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UN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2015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direction</w:t>
      </w:r>
      <w:proofErr w:type="spellEnd"/>
      <w:r>
        <w:t xml:space="preserve"> for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and </w:t>
      </w:r>
      <w:proofErr w:type="spellStart"/>
      <w:r>
        <w:t>constitute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long-term plan.</w:t>
      </w:r>
    </w:p>
    <w:p w:rsidR="007D3CA2" w:rsidRDefault="007D3CA2" w:rsidP="007D3CA2">
      <w:r>
        <w:t xml:space="preserve">In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mechanisms</w:t>
      </w:r>
      <w:proofErr w:type="spellEnd"/>
      <w:r>
        <w:t xml:space="preserve"> for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is </w:t>
      </w:r>
      <w:proofErr w:type="spellStart"/>
      <w:r>
        <w:t>put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lastRenderedPageBreak/>
        <w:t>entire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and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and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and private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. A combination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for: </w:t>
      </w:r>
      <w:proofErr w:type="spellStart"/>
      <w:r>
        <w:t>While</w:t>
      </w:r>
      <w:proofErr w:type="spellEnd"/>
      <w:r>
        <w:t xml:space="preserve"> different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gramStart"/>
      <w:r>
        <w:t>to have</w:t>
      </w:r>
      <w:proofErr w:type="gramEnd"/>
      <w:r>
        <w:t xml:space="preserve"> different </w:t>
      </w:r>
      <w:proofErr w:type="spellStart"/>
      <w:r>
        <w:t>capabilities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must all </w:t>
      </w:r>
      <w:proofErr w:type="spellStart"/>
      <w:r>
        <w:t>aspire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. The </w:t>
      </w:r>
      <w:proofErr w:type="spellStart"/>
      <w:r>
        <w:t>Government’s</w:t>
      </w:r>
      <w:proofErr w:type="spellEnd"/>
      <w:r>
        <w:t xml:space="preserve"> long-term plan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priorities</w:t>
      </w:r>
      <w:proofErr w:type="spellEnd"/>
      <w:r>
        <w:t xml:space="preserve"> </w:t>
      </w:r>
      <w:proofErr w:type="gramStart"/>
      <w:r>
        <w:t>to support</w:t>
      </w:r>
      <w:proofErr w:type="gram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>.</w:t>
      </w:r>
    </w:p>
    <w:p w:rsidR="007D3CA2" w:rsidRDefault="007D3CA2" w:rsidP="007D3CA2">
      <w:pPr>
        <w:pStyle w:val="Overskrift2"/>
      </w:pPr>
      <w:proofErr w:type="spellStart"/>
      <w:r>
        <w:t>Further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efforts</w:t>
      </w:r>
      <w:proofErr w:type="spellEnd"/>
    </w:p>
    <w:p w:rsidR="007D3CA2" w:rsidRDefault="007D3CA2" w:rsidP="007D3CA2">
      <w:r>
        <w:t xml:space="preserve">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upcoming</w:t>
      </w:r>
      <w:proofErr w:type="spellEnd"/>
      <w:r>
        <w:t xml:space="preserve"> long-term plan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is </w:t>
      </w:r>
      <w:proofErr w:type="spellStart"/>
      <w:r>
        <w:t>launching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plans for </w:t>
      </w:r>
      <w:proofErr w:type="spellStart"/>
      <w:r>
        <w:t>escalating</w:t>
      </w:r>
      <w:proofErr w:type="spellEnd"/>
      <w:r>
        <w:t xml:space="preserve"> </w:t>
      </w:r>
      <w:proofErr w:type="spellStart"/>
      <w:r>
        <w:t>appropriations</w:t>
      </w:r>
      <w:proofErr w:type="spellEnd"/>
      <w:r>
        <w:t>:</w:t>
      </w:r>
    </w:p>
    <w:p w:rsidR="007D3CA2" w:rsidRDefault="007D3CA2" w:rsidP="007D3CA2">
      <w:pPr>
        <w:pStyle w:val="Liste"/>
      </w:pPr>
      <w:r>
        <w:t xml:space="preserve">NOK 800 million for an </w:t>
      </w:r>
      <w:proofErr w:type="spellStart"/>
      <w:r>
        <w:t>initiative</w:t>
      </w:r>
      <w:proofErr w:type="spellEnd"/>
      <w:r>
        <w:t xml:space="preserve"> to </w:t>
      </w:r>
      <w:proofErr w:type="spellStart"/>
      <w:r>
        <w:t>boost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; </w:t>
      </w:r>
    </w:p>
    <w:p w:rsidR="007D3CA2" w:rsidRDefault="007D3CA2" w:rsidP="007D3CA2">
      <w:pPr>
        <w:pStyle w:val="Liste"/>
      </w:pPr>
      <w:r>
        <w:t xml:space="preserve">NOK 450 million for R&amp;D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restructuring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r>
        <w:t xml:space="preserve">NOK 250 million for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</w:p>
    <w:p w:rsidR="007D3CA2" w:rsidRDefault="007D3CA2" w:rsidP="007D3CA2">
      <w:r>
        <w:t xml:space="preserve">The </w:t>
      </w:r>
      <w:proofErr w:type="spellStart"/>
      <w:r>
        <w:t>escalation</w:t>
      </w:r>
      <w:proofErr w:type="spellEnd"/>
      <w:r>
        <w:t xml:space="preserve"> plans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multiple </w:t>
      </w:r>
      <w:proofErr w:type="spellStart"/>
      <w:r>
        <w:t>ministries</w:t>
      </w:r>
      <w:proofErr w:type="spellEnd"/>
      <w:r>
        <w:t>.</w:t>
      </w:r>
    </w:p>
    <w:p w:rsidR="007D3CA2" w:rsidRDefault="007D3CA2" w:rsidP="007D3CA2">
      <w:pPr>
        <w:pStyle w:val="avsnitt-undertittel"/>
      </w:pPr>
      <w:r>
        <w:t xml:space="preserve">Technology </w:t>
      </w:r>
      <w:proofErr w:type="spellStart"/>
      <w:r>
        <w:t>initiative</w:t>
      </w:r>
      <w:proofErr w:type="spellEnd"/>
    </w:p>
    <w:p w:rsidR="007D3CA2" w:rsidRDefault="007D3CA2" w:rsidP="007D3CA2">
      <w:r>
        <w:t xml:space="preserve">Focus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ICT </w:t>
      </w:r>
      <w:proofErr w:type="spellStart"/>
      <w:r>
        <w:t>research</w:t>
      </w:r>
      <w:proofErr w:type="spellEnd"/>
      <w:r>
        <w:t xml:space="preserve"> and ICT </w:t>
      </w:r>
      <w:proofErr w:type="spellStart"/>
      <w:r>
        <w:t>security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increased</w:t>
      </w:r>
      <w:proofErr w:type="spellEnd"/>
      <w:r>
        <w:t xml:space="preserve"> </w:t>
      </w:r>
      <w:proofErr w:type="spellStart"/>
      <w:r>
        <w:t>admission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for students in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technologies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green </w:t>
      </w:r>
      <w:proofErr w:type="spellStart"/>
      <w:r>
        <w:t>shift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technologies</w:t>
      </w:r>
      <w:proofErr w:type="spellEnd"/>
      <w:r>
        <w:t xml:space="preserve"> for a </w:t>
      </w:r>
      <w:proofErr w:type="spellStart"/>
      <w:r>
        <w:t>better</w:t>
      </w:r>
      <w:proofErr w:type="spellEnd"/>
      <w:r>
        <w:t xml:space="preserve"> and more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r>
        <w:t>e-</w:t>
      </w:r>
      <w:proofErr w:type="spellStart"/>
      <w:r>
        <w:t>infrastructure</w:t>
      </w:r>
      <w:proofErr w:type="spellEnd"/>
      <w:r>
        <w:t xml:space="preserve"> for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:rsidR="007D3CA2" w:rsidRDefault="007D3CA2" w:rsidP="007D3CA2">
      <w:r>
        <w:t xml:space="preserve">In 2019,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is proposing a total </w:t>
      </w:r>
      <w:proofErr w:type="spellStart"/>
      <w:r>
        <w:t>of</w:t>
      </w:r>
      <w:proofErr w:type="spellEnd"/>
      <w:r>
        <w:t xml:space="preserve"> NOK 260 million for </w:t>
      </w:r>
      <w:proofErr w:type="spellStart"/>
      <w:r>
        <w:t>follow</w:t>
      </w:r>
      <w:proofErr w:type="spellEnd"/>
      <w:r>
        <w:t xml:space="preserve">-up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plan.</w:t>
      </w:r>
    </w:p>
    <w:p w:rsidR="007D3CA2" w:rsidRDefault="007D3CA2" w:rsidP="007D3CA2">
      <w:pPr>
        <w:pStyle w:val="avsnitt-undertittel"/>
      </w:pPr>
      <w:r>
        <w:t xml:space="preserve">R&amp;D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restructuring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 xml:space="preserve"> </w:t>
      </w:r>
    </w:p>
    <w:p w:rsidR="007D3CA2" w:rsidRDefault="007D3CA2" w:rsidP="007D3CA2">
      <w:r>
        <w:t xml:space="preserve">Focus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</w:t>
      </w:r>
    </w:p>
    <w:p w:rsidR="007D3CA2" w:rsidRDefault="007D3CA2" w:rsidP="007D3CA2">
      <w:pPr>
        <w:pStyle w:val="Liste"/>
      </w:pPr>
      <w:proofErr w:type="spellStart"/>
      <w:r>
        <w:t>basic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technical-industrial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research</w:t>
      </w:r>
      <w:proofErr w:type="spellEnd"/>
      <w:r>
        <w:t xml:space="preserve"> training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measures</w:t>
      </w:r>
      <w:proofErr w:type="spellEnd"/>
      <w:r>
        <w:t xml:space="preserve"> for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commercialisation</w:t>
      </w:r>
      <w:proofErr w:type="spellEnd"/>
      <w:r>
        <w:t>, research-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industry-oriented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:rsidR="007D3CA2" w:rsidRDefault="007D3CA2" w:rsidP="007D3CA2">
      <w:r>
        <w:t xml:space="preserve">In 2019,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is proposing a total </w:t>
      </w:r>
      <w:proofErr w:type="spellStart"/>
      <w:r>
        <w:t>of</w:t>
      </w:r>
      <w:proofErr w:type="spellEnd"/>
      <w:r>
        <w:t xml:space="preserve"> NOK 136 million for </w:t>
      </w:r>
      <w:proofErr w:type="spellStart"/>
      <w:r>
        <w:t>follow</w:t>
      </w:r>
      <w:proofErr w:type="spellEnd"/>
      <w:r>
        <w:t xml:space="preserve">-up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plan.</w:t>
      </w:r>
    </w:p>
    <w:p w:rsidR="007D3CA2" w:rsidRDefault="007D3CA2" w:rsidP="007D3CA2">
      <w:pPr>
        <w:pStyle w:val="avsnitt-undertittel"/>
      </w:pPr>
      <w:proofErr w:type="spellStart"/>
      <w:r>
        <w:t>Enhanced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7D3CA2" w:rsidRDefault="007D3CA2" w:rsidP="007D3CA2">
      <w:r>
        <w:t xml:space="preserve">Focus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: </w:t>
      </w:r>
    </w:p>
    <w:p w:rsidR="007D3CA2" w:rsidRDefault="007D3CA2" w:rsidP="007D3CA2">
      <w:pPr>
        <w:pStyle w:val="Liste"/>
      </w:pPr>
      <w:proofErr w:type="spellStart"/>
      <w:r>
        <w:t>strengthening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for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Agency</w:t>
      </w:r>
      <w:proofErr w:type="spellEnd"/>
      <w:r>
        <w:t xml:space="preserve"> for International Cooperation and </w:t>
      </w:r>
      <w:proofErr w:type="spellStart"/>
      <w:r>
        <w:t>Quality</w:t>
      </w:r>
      <w:proofErr w:type="spellEnd"/>
      <w:r>
        <w:t xml:space="preserve"> Enhancement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(</w:t>
      </w:r>
      <w:proofErr w:type="spellStart"/>
      <w:r>
        <w:t>Diku</w:t>
      </w:r>
      <w:proofErr w:type="spellEnd"/>
      <w:r>
        <w:t>);</w:t>
      </w:r>
    </w:p>
    <w:p w:rsidR="007D3CA2" w:rsidRDefault="007D3CA2" w:rsidP="007D3CA2">
      <w:pPr>
        <w:pStyle w:val="Liste"/>
      </w:pPr>
      <w:proofErr w:type="spellStart"/>
      <w:r>
        <w:t>measures</w:t>
      </w:r>
      <w:proofErr w:type="spellEnd"/>
      <w:r>
        <w:t xml:space="preserve">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and more </w:t>
      </w:r>
      <w:proofErr w:type="spellStart"/>
      <w:r>
        <w:t>workplace</w:t>
      </w:r>
      <w:proofErr w:type="spellEnd"/>
      <w:r>
        <w:t xml:space="preserve"> training, </w:t>
      </w:r>
      <w:proofErr w:type="spellStart"/>
      <w:r>
        <w:t>primarily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for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students;</w:t>
      </w:r>
    </w:p>
    <w:p w:rsidR="007D3CA2" w:rsidRDefault="007D3CA2" w:rsidP="007D3CA2">
      <w:pPr>
        <w:pStyle w:val="Liste"/>
      </w:pPr>
      <w:proofErr w:type="spellStart"/>
      <w:r>
        <w:t>teaching</w:t>
      </w:r>
      <w:proofErr w:type="spellEnd"/>
      <w:r>
        <w:t xml:space="preserve"> and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venues</w:t>
      </w:r>
      <w:proofErr w:type="spellEnd"/>
      <w:r>
        <w:t>.</w:t>
      </w:r>
    </w:p>
    <w:p w:rsidR="007D3CA2" w:rsidRDefault="007D3CA2" w:rsidP="007D3CA2">
      <w:r>
        <w:t xml:space="preserve">In 2019,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is proposing a total </w:t>
      </w:r>
      <w:proofErr w:type="spellStart"/>
      <w:r>
        <w:t>of</w:t>
      </w:r>
      <w:proofErr w:type="spellEnd"/>
      <w:r>
        <w:t xml:space="preserve"> NOK 85 million for </w:t>
      </w:r>
      <w:proofErr w:type="spellStart"/>
      <w:r>
        <w:t>follow</w:t>
      </w:r>
      <w:proofErr w:type="spellEnd"/>
      <w:r>
        <w:t xml:space="preserve">-up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plan. </w:t>
      </w:r>
    </w:p>
    <w:p w:rsidR="007D3CA2" w:rsidRDefault="007D3CA2" w:rsidP="007D3CA2">
      <w:r>
        <w:t xml:space="preserve">In </w:t>
      </w:r>
      <w:proofErr w:type="spellStart"/>
      <w:r>
        <w:t>this</w:t>
      </w:r>
      <w:proofErr w:type="spellEnd"/>
      <w:r>
        <w:t xml:space="preserve"> long-term plan,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a </w:t>
      </w:r>
      <w:proofErr w:type="spellStart"/>
      <w:r>
        <w:t>comprehensive</w:t>
      </w:r>
      <w:proofErr w:type="spellEnd"/>
      <w:r>
        <w:t xml:space="preserve"> policy for </w:t>
      </w:r>
      <w:proofErr w:type="spellStart"/>
      <w:r>
        <w:t>development</w:t>
      </w:r>
      <w:proofErr w:type="spellEnd"/>
      <w:r>
        <w:t xml:space="preserve">, management and </w:t>
      </w:r>
      <w:proofErr w:type="spellStart"/>
      <w:r>
        <w:t>priorities</w:t>
      </w:r>
      <w:proofErr w:type="spellEnd"/>
      <w:r>
        <w:t xml:space="preserve"> for planning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and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sector</w:t>
      </w:r>
      <w:proofErr w:type="spellEnd"/>
      <w:r>
        <w:t xml:space="preserve"> to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as an input </w:t>
      </w:r>
      <w:proofErr w:type="spellStart"/>
      <w:r>
        <w:t>factor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way</w:t>
      </w:r>
      <w:proofErr w:type="spellEnd"/>
      <w:r>
        <w:t xml:space="preserve"> as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and to </w:t>
      </w:r>
      <w:proofErr w:type="spellStart"/>
      <w:r>
        <w:t>continuously</w:t>
      </w:r>
      <w:proofErr w:type="spellEnd"/>
      <w:r>
        <w:t xml:space="preserve">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maintenance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to be </w:t>
      </w:r>
      <w:proofErr w:type="spellStart"/>
      <w:r>
        <w:t>cost-effective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same time to play a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museums,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for Norwegian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and </w:t>
      </w:r>
      <w:proofErr w:type="spellStart"/>
      <w:r>
        <w:t>identity</w:t>
      </w:r>
      <w:proofErr w:type="spellEnd"/>
      <w:r>
        <w:t xml:space="preserve">, to be </w:t>
      </w:r>
      <w:proofErr w:type="spellStart"/>
      <w:r>
        <w:t>safeguarded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proposes to </w:t>
      </w:r>
      <w:proofErr w:type="spellStart"/>
      <w:r>
        <w:t>allocate</w:t>
      </w:r>
      <w:proofErr w:type="spellEnd"/>
      <w:r>
        <w:t xml:space="preserve"> NOK 161 </w:t>
      </w:r>
      <w:r>
        <w:lastRenderedPageBreak/>
        <w:t xml:space="preserve">million for </w:t>
      </w:r>
      <w:proofErr w:type="spellStart"/>
      <w:r>
        <w:t>adaptation</w:t>
      </w:r>
      <w:proofErr w:type="spellEnd"/>
      <w:r>
        <w:t xml:space="preserve"> and </w:t>
      </w:r>
      <w:proofErr w:type="spellStart"/>
      <w:r>
        <w:t>upgrades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venues</w:t>
      </w:r>
      <w:proofErr w:type="spellEnd"/>
      <w:r>
        <w:t xml:space="preserve"> at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in 2019. This is an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NOK 86 million,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NOK 50 million is </w:t>
      </w:r>
      <w:proofErr w:type="spellStart"/>
      <w:r>
        <w:t>included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 for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See Chapter 8 for a more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>.</w:t>
      </w:r>
    </w:p>
    <w:p w:rsidR="007D3CA2" w:rsidRDefault="007D3CA2" w:rsidP="007D3CA2">
      <w:pPr>
        <w:pStyle w:val="Overskrift2"/>
      </w:pP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</w:t>
      </w:r>
    </w:p>
    <w:p w:rsidR="007D3CA2" w:rsidRDefault="007D3CA2" w:rsidP="007D3CA2">
      <w:r>
        <w:t xml:space="preserve">The </w:t>
      </w:r>
      <w:proofErr w:type="spellStart"/>
      <w:r>
        <w:t>Government’s</w:t>
      </w:r>
      <w:proofErr w:type="spellEnd"/>
      <w:r>
        <w:t xml:space="preserve"> first </w:t>
      </w:r>
      <w:r>
        <w:rPr>
          <w:rStyle w:val="kursiv"/>
          <w:sz w:val="21"/>
          <w:szCs w:val="21"/>
        </w:rPr>
        <w:t xml:space="preserve">Long-term plan for </w:t>
      </w:r>
      <w:proofErr w:type="spellStart"/>
      <w:r>
        <w:rPr>
          <w:rStyle w:val="kursiv"/>
          <w:sz w:val="21"/>
          <w:szCs w:val="21"/>
        </w:rPr>
        <w:t>research</w:t>
      </w:r>
      <w:proofErr w:type="spellEnd"/>
      <w:r>
        <w:rPr>
          <w:rStyle w:val="kursiv"/>
          <w:sz w:val="21"/>
          <w:szCs w:val="21"/>
        </w:rPr>
        <w:t xml:space="preserve"> and </w:t>
      </w:r>
      <w:proofErr w:type="spellStart"/>
      <w:r>
        <w:rPr>
          <w:rStyle w:val="kursiv"/>
          <w:sz w:val="21"/>
          <w:szCs w:val="21"/>
        </w:rPr>
        <w:t>higher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education</w:t>
      </w:r>
      <w:proofErr w:type="spellEnd"/>
      <w:r>
        <w:rPr>
          <w:rStyle w:val="kursiv"/>
          <w:sz w:val="21"/>
          <w:szCs w:val="21"/>
        </w:rPr>
        <w:t xml:space="preserve"> 2015–2024</w:t>
      </w:r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2015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. The long-term plan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ten-year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priorities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more </w:t>
      </w:r>
      <w:proofErr w:type="spellStart"/>
      <w:r>
        <w:t>concrete</w:t>
      </w:r>
      <w:proofErr w:type="spellEnd"/>
      <w:r>
        <w:t xml:space="preserve"> goals for </w:t>
      </w:r>
      <w:proofErr w:type="spellStart"/>
      <w:r>
        <w:t>efforts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The plan is </w:t>
      </w:r>
      <w:proofErr w:type="spellStart"/>
      <w:r>
        <w:t>revised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to </w:t>
      </w:r>
      <w:proofErr w:type="spellStart"/>
      <w:r>
        <w:t>accommodate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and </w:t>
      </w:r>
      <w:proofErr w:type="spellStart"/>
      <w:r>
        <w:t>societal</w:t>
      </w:r>
      <w:proofErr w:type="spellEnd"/>
      <w:r>
        <w:t xml:space="preserve"> landscape. The </w:t>
      </w:r>
      <w:proofErr w:type="spellStart"/>
      <w:r>
        <w:t>revised</w:t>
      </w:r>
      <w:proofErr w:type="spellEnd"/>
      <w:r>
        <w:t xml:space="preserve"> long-term plan still has </w:t>
      </w:r>
      <w:proofErr w:type="spellStart"/>
      <w:r>
        <w:t>a</w:t>
      </w:r>
      <w:proofErr w:type="spellEnd"/>
      <w:r>
        <w:t xml:space="preserve"> </w:t>
      </w:r>
      <w:proofErr w:type="spellStart"/>
      <w:r>
        <w:t>ten-year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(2019–2028),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specification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goals and </w:t>
      </w:r>
      <w:proofErr w:type="spellStart"/>
      <w:r>
        <w:t>priority</w:t>
      </w:r>
      <w:proofErr w:type="spellEnd"/>
      <w:r>
        <w:t xml:space="preserve"> areas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upcoming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:rsidR="007D3CA2" w:rsidRDefault="007D3CA2" w:rsidP="007D3CA2">
      <w:r>
        <w:t xml:space="preserve">The long-term plan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for policy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Long-term, </w:t>
      </w:r>
      <w:proofErr w:type="spellStart"/>
      <w:r>
        <w:t>prioritised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predictable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and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coordination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policy. In </w:t>
      </w:r>
      <w:proofErr w:type="spellStart"/>
      <w:r>
        <w:t>this</w:t>
      </w:r>
      <w:proofErr w:type="spellEnd"/>
      <w:r>
        <w:t xml:space="preserve"> long-term plan,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areas it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budgets</w:t>
      </w:r>
      <w:proofErr w:type="spellEnd"/>
      <w:r>
        <w:t xml:space="preserve"> in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and </w:t>
      </w:r>
      <w:proofErr w:type="spellStart"/>
      <w:r>
        <w:t>this</w:t>
      </w:r>
      <w:proofErr w:type="spellEnd"/>
      <w:r>
        <w:t xml:space="preserve"> plan is to serve as a </w:t>
      </w:r>
      <w:proofErr w:type="spellStart"/>
      <w:r>
        <w:t>tool</w:t>
      </w:r>
      <w:proofErr w:type="spellEnd"/>
      <w:r>
        <w:t xml:space="preserve"> for setting </w:t>
      </w:r>
      <w:proofErr w:type="spellStart"/>
      <w:r>
        <w:t>priorities</w:t>
      </w:r>
      <w:proofErr w:type="spellEnd"/>
      <w:r>
        <w:t xml:space="preserve"> in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weaker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colleges, </w:t>
      </w:r>
      <w:proofErr w:type="spellStart"/>
      <w:r>
        <w:t>health</w:t>
      </w:r>
      <w:proofErr w:type="spellEnd"/>
      <w:r>
        <w:t xml:space="preserve"> trusts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to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 as a basis for </w:t>
      </w:r>
      <w:proofErr w:type="spellStart"/>
      <w:r>
        <w:t>formulating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as far as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authority</w:t>
      </w:r>
      <w:proofErr w:type="spellEnd"/>
      <w:r>
        <w:t xml:space="preserve"> </w:t>
      </w:r>
      <w:proofErr w:type="spellStart"/>
      <w:r>
        <w:t>extends</w:t>
      </w:r>
      <w:proofErr w:type="spellEnd"/>
      <w:r>
        <w:t xml:space="preserve">. The same </w:t>
      </w:r>
      <w:proofErr w:type="spellStart"/>
      <w:r>
        <w:t>applies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Research Council </w:t>
      </w:r>
      <w:proofErr w:type="spellStart"/>
      <w:r>
        <w:t>of</w:t>
      </w:r>
      <w:proofErr w:type="spellEnd"/>
      <w:r>
        <w:t xml:space="preserve"> Norway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system.</w:t>
      </w:r>
    </w:p>
    <w:p w:rsidR="007D3CA2" w:rsidRDefault="007D3CA2" w:rsidP="007D3CA2">
      <w:pPr>
        <w:pStyle w:val="Overskrift2"/>
      </w:pP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</w:t>
      </w:r>
    </w:p>
    <w:p w:rsidR="007D3CA2" w:rsidRDefault="007D3CA2" w:rsidP="007D3CA2">
      <w:proofErr w:type="spellStart"/>
      <w:r>
        <w:t>Some</w:t>
      </w:r>
      <w:proofErr w:type="spellEnd"/>
      <w:r>
        <w:t xml:space="preserve"> 130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from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policy </w:t>
      </w:r>
      <w:proofErr w:type="spellStart"/>
      <w:r>
        <w:t>agencies</w:t>
      </w:r>
      <w:proofErr w:type="spellEnd"/>
      <w:r>
        <w:t xml:space="preserve">,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private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plan. This input shows </w:t>
      </w:r>
      <w:proofErr w:type="spellStart"/>
      <w:r>
        <w:t>broad</w:t>
      </w:r>
      <w:proofErr w:type="spellEnd"/>
      <w:r>
        <w:t xml:space="preserve"> support for </w:t>
      </w:r>
      <w:proofErr w:type="spellStart"/>
      <w:r>
        <w:t>the</w:t>
      </w:r>
      <w:proofErr w:type="spellEnd"/>
      <w:r>
        <w:t xml:space="preserve"> long-term plan as a </w:t>
      </w:r>
      <w:proofErr w:type="spellStart"/>
      <w:r>
        <w:t>tool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priorities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initial plan.</w:t>
      </w:r>
    </w:p>
    <w:p w:rsidR="007D3CA2" w:rsidRDefault="007D3CA2" w:rsidP="007D3CA2">
      <w:r>
        <w:t xml:space="preserve">The </w:t>
      </w:r>
      <w:proofErr w:type="spellStart"/>
      <w:r>
        <w:t>objectives</w:t>
      </w:r>
      <w:proofErr w:type="spellEnd"/>
      <w:r>
        <w:t xml:space="preserve"> and long-term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unchanged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long-term plan. The </w:t>
      </w:r>
      <w:proofErr w:type="spellStart"/>
      <w:r>
        <w:t>three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are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enhancing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tackling</w:t>
      </w:r>
      <w:proofErr w:type="spellEnd"/>
      <w:r>
        <w:t xml:space="preserve"> major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developing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>.</w:t>
      </w:r>
    </w:p>
    <w:p w:rsidR="007D3CA2" w:rsidRDefault="007D3CA2" w:rsidP="007D3CA2">
      <w:proofErr w:type="spellStart"/>
      <w:r>
        <w:t>Buildings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vital input </w:t>
      </w:r>
      <w:proofErr w:type="spellStart"/>
      <w:r>
        <w:t>factor</w:t>
      </w:r>
      <w:proofErr w:type="spellEnd"/>
      <w:r>
        <w:t xml:space="preserve"> for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policy.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Storting </w:t>
      </w:r>
      <w:proofErr w:type="spellStart"/>
      <w:r>
        <w:t>reviewed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long-term plan, it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: «In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 in 2018, </w:t>
      </w:r>
      <w:proofErr w:type="spellStart"/>
      <w:r>
        <w:t>the</w:t>
      </w:r>
      <w:proofErr w:type="spellEnd"/>
      <w:r>
        <w:t xml:space="preserve"> Storting asks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an </w:t>
      </w:r>
      <w:proofErr w:type="spellStart"/>
      <w:r>
        <w:t>investment</w:t>
      </w:r>
      <w:proofErr w:type="spellEnd"/>
      <w:r>
        <w:t xml:space="preserve"> plan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queue</w:t>
      </w:r>
      <w:proofErr w:type="spellEnd"/>
      <w:r>
        <w:t xml:space="preserve"> system for </w:t>
      </w:r>
      <w:proofErr w:type="spellStart"/>
      <w:r>
        <w:t>investments</w:t>
      </w:r>
      <w:proofErr w:type="spellEnd"/>
      <w:r>
        <w:t xml:space="preserve"> and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for </w:t>
      </w:r>
      <w:proofErr w:type="spellStart"/>
      <w:r>
        <w:t>buildings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sector</w:t>
      </w:r>
      <w:proofErr w:type="spellEnd"/>
      <w:r>
        <w:t xml:space="preserve">.» The </w:t>
      </w:r>
      <w:proofErr w:type="spellStart"/>
      <w:r>
        <w:t>Government’s</w:t>
      </w:r>
      <w:proofErr w:type="spellEnd"/>
      <w:r>
        <w:t xml:space="preserve"> policy for </w:t>
      </w:r>
      <w:proofErr w:type="spellStart"/>
      <w:r>
        <w:t>development</w:t>
      </w:r>
      <w:proofErr w:type="spellEnd"/>
      <w:r>
        <w:t xml:space="preserve">, management and </w:t>
      </w:r>
      <w:proofErr w:type="spellStart"/>
      <w:r>
        <w:t>priorities</w:t>
      </w:r>
      <w:proofErr w:type="spellEnd"/>
      <w:r>
        <w:t xml:space="preserve"> for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and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is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long-term plan, cf. Chapter 8.</w:t>
      </w:r>
    </w:p>
    <w:p w:rsidR="007D3CA2" w:rsidRDefault="007D3CA2" w:rsidP="007D3CA2">
      <w:r>
        <w:t xml:space="preserve">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basis for </w:t>
      </w:r>
      <w:proofErr w:type="spellStart"/>
      <w:r>
        <w:t>revising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plan,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</w:t>
      </w:r>
      <w:proofErr w:type="spellStart"/>
      <w:r>
        <w:t>commissioned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OECD to </w:t>
      </w:r>
      <w:proofErr w:type="spellStart"/>
      <w:r>
        <w:t>conduct</w:t>
      </w:r>
      <w:proofErr w:type="spellEnd"/>
      <w:r>
        <w:t xml:space="preserve"> a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Norwegian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. The report from </w:t>
      </w:r>
      <w:proofErr w:type="spellStart"/>
      <w:r>
        <w:t>the</w:t>
      </w:r>
      <w:proofErr w:type="spellEnd"/>
      <w:r>
        <w:t xml:space="preserve"> OECD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June 2017.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OECD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plan.</w:t>
      </w:r>
      <w:r>
        <w:rPr>
          <w:vertAlign w:val="superscript"/>
        </w:rPr>
        <w:footnoteReference w:id="1"/>
      </w:r>
      <w:r>
        <w:t xml:space="preserve"> </w:t>
      </w:r>
    </w:p>
    <w:p w:rsidR="007D3CA2" w:rsidRDefault="007D3CA2" w:rsidP="007D3CA2">
      <w:r>
        <w:lastRenderedPageBreak/>
        <w:t xml:space="preserve">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chosen</w:t>
      </w:r>
      <w:proofErr w:type="spellEnd"/>
      <w:r>
        <w:t xml:space="preserve"> to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OECD. The first long-term plan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long-term </w:t>
      </w:r>
      <w:proofErr w:type="spellStart"/>
      <w:r>
        <w:t>priority</w:t>
      </w:r>
      <w:proofErr w:type="spellEnd"/>
      <w:r>
        <w:t xml:space="preserve"> areas.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, «Innovative and </w:t>
      </w:r>
      <w:proofErr w:type="spellStart"/>
      <w:r>
        <w:t>adaptable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>» and «World-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», </w:t>
      </w:r>
      <w:proofErr w:type="spellStart"/>
      <w:r>
        <w:t>overlap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>, «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>» and «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», </w:t>
      </w:r>
      <w:proofErr w:type="spellStart"/>
      <w:r>
        <w:t>respectively</w:t>
      </w:r>
      <w:proofErr w:type="spellEnd"/>
      <w:r>
        <w:t xml:space="preserve">.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clarity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plan,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long-term </w:t>
      </w:r>
      <w:proofErr w:type="spellStart"/>
      <w:r>
        <w:t>priorities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incorporated</w:t>
      </w:r>
      <w:proofErr w:type="spellEnd"/>
      <w:r>
        <w:t xml:space="preserve"> more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longer </w:t>
      </w:r>
      <w:proofErr w:type="spellStart"/>
      <w:r>
        <w:t>represented</w:t>
      </w:r>
      <w:proofErr w:type="spellEnd"/>
      <w:r>
        <w:t xml:space="preserve"> as separate </w:t>
      </w:r>
      <w:proofErr w:type="spellStart"/>
      <w:r>
        <w:t>priorities</w:t>
      </w:r>
      <w:proofErr w:type="spellEnd"/>
      <w:r>
        <w:t xml:space="preserve">. This is </w:t>
      </w:r>
      <w:proofErr w:type="spellStart"/>
      <w:r>
        <w:t>partly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objectives</w:t>
      </w:r>
      <w:proofErr w:type="spellEnd"/>
      <w:r>
        <w:t xml:space="preserve"> a </w:t>
      </w:r>
      <w:proofErr w:type="spellStart"/>
      <w:r>
        <w:t>clearer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and </w:t>
      </w:r>
      <w:proofErr w:type="spellStart"/>
      <w:r>
        <w:t>partly</w:t>
      </w:r>
      <w:proofErr w:type="spellEnd"/>
      <w:r>
        <w:t xml:space="preserve"> to make it </w:t>
      </w:r>
      <w:proofErr w:type="spellStart"/>
      <w:r>
        <w:t>easier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versus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for Norway.</w:t>
      </w:r>
    </w:p>
    <w:p w:rsidR="007D3CA2" w:rsidRDefault="007D3CA2" w:rsidP="007D3CA2">
      <w:r>
        <w:t xml:space="preserve">The overall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concern</w:t>
      </w:r>
      <w:proofErr w:type="spellEnd"/>
      <w:r>
        <w:t xml:space="preserve"> Norwegian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as a </w:t>
      </w:r>
      <w:proofErr w:type="spellStart"/>
      <w:r>
        <w:t>whole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areas </w:t>
      </w:r>
      <w:proofErr w:type="spellStart"/>
      <w:r>
        <w:t>where</w:t>
      </w:r>
      <w:proofErr w:type="spellEnd"/>
      <w:r>
        <w:t xml:space="preserve"> Norway has a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or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knowledge</w:t>
      </w:r>
      <w:proofErr w:type="spellEnd"/>
      <w:r>
        <w:t xml:space="preserve">. The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long-term </w:t>
      </w:r>
      <w:proofErr w:type="spellStart"/>
      <w:r>
        <w:t>priorities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first long-term plan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unchanged</w:t>
      </w:r>
      <w:proofErr w:type="spellEnd"/>
      <w:r>
        <w:t>.</w:t>
      </w:r>
    </w:p>
    <w:p w:rsidR="007D3CA2" w:rsidRDefault="007D3CA2" w:rsidP="007D3CA2">
      <w:r>
        <w:t xml:space="preserve">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introduced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long-term </w:t>
      </w:r>
      <w:proofErr w:type="spellStart"/>
      <w:r>
        <w:t>priority</w:t>
      </w:r>
      <w:proofErr w:type="spellEnd"/>
      <w:r>
        <w:t>, «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in a </w:t>
      </w:r>
      <w:proofErr w:type="spellStart"/>
      <w:r>
        <w:t>globalised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»,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trends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and input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priority</w:t>
      </w:r>
      <w:proofErr w:type="spellEnd"/>
      <w:r>
        <w:t xml:space="preserve"> «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>» to «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», to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covers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The EU Framework </w:t>
      </w:r>
      <w:proofErr w:type="spellStart"/>
      <w:r>
        <w:t>Programme</w:t>
      </w:r>
      <w:proofErr w:type="spellEnd"/>
      <w:r>
        <w:t xml:space="preserve"> for Research and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Horizon</w:t>
      </w:r>
      <w:proofErr w:type="spellEnd"/>
      <w:r>
        <w:t xml:space="preserve"> 2020, </w:t>
      </w:r>
      <w:proofErr w:type="spellStart"/>
      <w:r>
        <w:t>employs</w:t>
      </w:r>
      <w:proofErr w:type="spellEnd"/>
      <w:r>
        <w:t xml:space="preserve"> a 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and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«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Technologies (LEIT)» </w:t>
      </w:r>
      <w:proofErr w:type="spellStart"/>
      <w:r>
        <w:t>programme</w:t>
      </w:r>
      <w:proofErr w:type="spellEnd"/>
      <w:r>
        <w:t xml:space="preserve">. The </w:t>
      </w:r>
      <w:proofErr w:type="spellStart"/>
      <w:r>
        <w:t>substance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is in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initial long-term plan (ICT, </w:t>
      </w:r>
      <w:proofErr w:type="spellStart"/>
      <w:r>
        <w:t>biotechnology</w:t>
      </w:r>
      <w:proofErr w:type="spellEnd"/>
      <w:r>
        <w:t xml:space="preserve">, </w:t>
      </w:r>
      <w:proofErr w:type="spellStart"/>
      <w:r>
        <w:t>nanotechnology</w:t>
      </w:r>
      <w:proofErr w:type="spellEnd"/>
      <w:r>
        <w:t xml:space="preserve"> and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>).</w:t>
      </w:r>
    </w:p>
    <w:p w:rsidR="007D3CA2" w:rsidRDefault="007D3CA2" w:rsidP="007D3CA2">
      <w:r>
        <w:t xml:space="preserve">In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appropriations</w:t>
      </w:r>
      <w:proofErr w:type="spellEnd"/>
      <w:r>
        <w:t xml:space="preserve"> to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The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plan’s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long-term </w:t>
      </w:r>
      <w:proofErr w:type="spellStart"/>
      <w:r>
        <w:t>priorities</w:t>
      </w:r>
      <w:proofErr w:type="spellEnd"/>
      <w:r>
        <w:t xml:space="preserve">, </w:t>
      </w:r>
      <w:proofErr w:type="spellStart"/>
      <w:r>
        <w:t>described</w:t>
      </w:r>
      <w:proofErr w:type="spellEnd"/>
      <w:r>
        <w:t xml:space="preserve"> in more </w:t>
      </w:r>
      <w:proofErr w:type="spellStart"/>
      <w:r>
        <w:t>detail</w:t>
      </w:r>
      <w:proofErr w:type="spellEnd"/>
      <w:r>
        <w:t xml:space="preserve"> in Chapters 3–7: </w:t>
      </w:r>
    </w:p>
    <w:p w:rsidR="007D3CA2" w:rsidRDefault="007D3CA2" w:rsidP="007D3CA2">
      <w:pPr>
        <w:pStyle w:val="Liste"/>
      </w:pPr>
      <w:r>
        <w:t xml:space="preserve">Seas and </w:t>
      </w:r>
      <w:proofErr w:type="spellStart"/>
      <w:r>
        <w:t>oceans</w:t>
      </w:r>
      <w:proofErr w:type="spellEnd"/>
    </w:p>
    <w:p w:rsidR="007D3CA2" w:rsidRDefault="007D3CA2" w:rsidP="007D3CA2">
      <w:pPr>
        <w:pStyle w:val="Liste"/>
      </w:pPr>
      <w:proofErr w:type="spellStart"/>
      <w:r>
        <w:t>Climate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energy</w:t>
      </w:r>
      <w:proofErr w:type="spellEnd"/>
    </w:p>
    <w:p w:rsidR="007D3CA2" w:rsidRDefault="007D3CA2" w:rsidP="007D3CA2">
      <w:pPr>
        <w:pStyle w:val="Liste"/>
      </w:pPr>
      <w:r>
        <w:t xml:space="preserve">Public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services</w:t>
      </w:r>
    </w:p>
    <w:p w:rsidR="007D3CA2" w:rsidRDefault="007D3CA2" w:rsidP="007D3CA2">
      <w:pPr>
        <w:pStyle w:val="Liste"/>
      </w:pP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</w:p>
    <w:p w:rsidR="007D3CA2" w:rsidRDefault="007D3CA2" w:rsidP="007D3CA2">
      <w:pPr>
        <w:pStyle w:val="Liste"/>
      </w:pPr>
      <w:proofErr w:type="spellStart"/>
      <w:r>
        <w:t>Societal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in a </w:t>
      </w:r>
      <w:proofErr w:type="spellStart"/>
      <w:r>
        <w:t>globalised</w:t>
      </w:r>
      <w:proofErr w:type="spellEnd"/>
      <w:r>
        <w:t xml:space="preserve"> </w:t>
      </w:r>
      <w:proofErr w:type="spellStart"/>
      <w:r>
        <w:t>world</w:t>
      </w:r>
      <w:proofErr w:type="spellEnd"/>
    </w:p>
    <w:p w:rsidR="007D3CA2" w:rsidRDefault="006E6F2E" w:rsidP="006E6F2E">
      <w:pPr>
        <w:pStyle w:val="Figur"/>
      </w:pPr>
      <w:proofErr w:type="gramStart"/>
      <w:r>
        <w:t>[:figur</w:t>
      </w:r>
      <w:proofErr w:type="gramEnd"/>
      <w:r>
        <w:t>:fig1-1.jpg]</w:t>
      </w:r>
    </w:p>
    <w:p w:rsidR="007D3CA2" w:rsidRDefault="007D3CA2" w:rsidP="007D3CA2">
      <w:pPr>
        <w:pStyle w:val="figur-tittel"/>
      </w:pPr>
      <w:r>
        <w:t xml:space="preserve">Overall </w:t>
      </w:r>
      <w:proofErr w:type="spellStart"/>
      <w:r>
        <w:t>objectives</w:t>
      </w:r>
      <w:proofErr w:type="spellEnd"/>
      <w:r>
        <w:t xml:space="preserve"> and long-term </w:t>
      </w:r>
      <w:proofErr w:type="spellStart"/>
      <w:r>
        <w:t>priorities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revised</w:t>
      </w:r>
      <w:proofErr w:type="spellEnd"/>
      <w:r>
        <w:t xml:space="preserve"> long-term plan</w:t>
      </w:r>
    </w:p>
    <w:p w:rsidR="007D3CA2" w:rsidRDefault="007D3CA2" w:rsidP="007D3CA2">
      <w:pPr>
        <w:pStyle w:val="Overskrift2"/>
      </w:pPr>
      <w:r>
        <w:lastRenderedPageBreak/>
        <w:t xml:space="preserve">Trends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perspectives</w:t>
      </w:r>
      <w:proofErr w:type="spellEnd"/>
    </w:p>
    <w:p w:rsidR="007D3CA2" w:rsidRDefault="007D3CA2" w:rsidP="007D3CA2">
      <w:r>
        <w:t xml:space="preserve">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for </w:t>
      </w:r>
      <w:proofErr w:type="spellStart"/>
      <w:r>
        <w:t>revising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needs</w:t>
      </w:r>
      <w:proofErr w:type="spellEnd"/>
      <w:r>
        <w:t xml:space="preserve"> to be </w:t>
      </w:r>
      <w:proofErr w:type="spellStart"/>
      <w:r>
        <w:t>updated</w:t>
      </w:r>
      <w:proofErr w:type="spellEnd"/>
      <w:r>
        <w:t xml:space="preserve"> to </w:t>
      </w:r>
      <w:proofErr w:type="spellStart"/>
      <w:r>
        <w:t>accommodate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. The </w:t>
      </w:r>
      <w:proofErr w:type="spellStart"/>
      <w:r>
        <w:t>world</w:t>
      </w:r>
      <w:proofErr w:type="spellEnd"/>
      <w:r>
        <w:t xml:space="preserve"> has </w:t>
      </w:r>
      <w:proofErr w:type="spellStart"/>
      <w:r>
        <w:t>changed</w:t>
      </w:r>
      <w:proofErr w:type="spellEnd"/>
      <w:r>
        <w:t xml:space="preserve"> in fundamental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long-term plan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. This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in terms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accession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Paris Agreement and </w:t>
      </w:r>
      <w:proofErr w:type="spellStart"/>
      <w:r>
        <w:t>the</w:t>
      </w:r>
      <w:proofErr w:type="spellEnd"/>
      <w:r>
        <w:t xml:space="preserve"> UN 2030 Agenda, and in terms </w:t>
      </w:r>
      <w:proofErr w:type="spellStart"/>
      <w:r>
        <w:t>of</w:t>
      </w:r>
      <w:proofErr w:type="spellEnd"/>
      <w:r>
        <w:t xml:space="preserve"> general trends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>.</w:t>
      </w:r>
    </w:p>
    <w:p w:rsidR="007D3CA2" w:rsidRDefault="007D3CA2" w:rsidP="007D3CA2">
      <w:pPr>
        <w:pStyle w:val="Overskrift3"/>
      </w:pPr>
      <w:proofErr w:type="spellStart"/>
      <w:r>
        <w:t>Sustainable</w:t>
      </w:r>
      <w:proofErr w:type="spellEnd"/>
      <w:r>
        <w:t xml:space="preserve"> Development Goals</w:t>
      </w:r>
    </w:p>
    <w:p w:rsidR="007D3CA2" w:rsidRDefault="007D3CA2" w:rsidP="007D3CA2">
      <w:r>
        <w:t xml:space="preserve">The 2030 Agenda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adopted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UN </w:t>
      </w:r>
      <w:proofErr w:type="spellStart"/>
      <w:r>
        <w:t>member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in 2015 and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17 global goals for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pointing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right </w:t>
      </w:r>
      <w:proofErr w:type="spellStart"/>
      <w:r>
        <w:t>direction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more </w:t>
      </w:r>
      <w:proofErr w:type="spellStart"/>
      <w:r>
        <w:t>than</w:t>
      </w:r>
      <w:proofErr w:type="spellEnd"/>
      <w:r>
        <w:t xml:space="preserve"> a billion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lifted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1990 and 2015.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eradicate</w:t>
      </w:r>
      <w:proofErr w:type="spellEnd"/>
      <w:r>
        <w:t xml:space="preserve">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poverty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do not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The Agenda is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different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Millennium Development Goals,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have </w:t>
      </w:r>
      <w:proofErr w:type="spellStart"/>
      <w:r>
        <w:t>replaced</w:t>
      </w:r>
      <w:proofErr w:type="spellEnd"/>
      <w:r>
        <w:t xml:space="preserve">. Development is </w:t>
      </w:r>
      <w:proofErr w:type="spellStart"/>
      <w:r>
        <w:t>seen</w:t>
      </w:r>
      <w:proofErr w:type="spellEnd"/>
      <w:r>
        <w:t xml:space="preserve"> as </w:t>
      </w:r>
      <w:proofErr w:type="spellStart"/>
      <w:r>
        <w:t>comprising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.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assuming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country’s</w:t>
      </w:r>
      <w:proofErr w:type="spellEnd"/>
      <w:r>
        <w:t xml:space="preserve"> </w:t>
      </w:r>
      <w:proofErr w:type="spellStart"/>
      <w:r>
        <w:t>policies</w:t>
      </w:r>
      <w:proofErr w:type="spellEnd"/>
      <w:r>
        <w:t xml:space="preserve">.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. The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are</w:t>
      </w:r>
      <w:proofErr w:type="spellEnd"/>
      <w:r>
        <w:t xml:space="preserve"> an integral part </w:t>
      </w:r>
      <w:proofErr w:type="spellStart"/>
      <w:r>
        <w:t>of</w:t>
      </w:r>
      <w:proofErr w:type="spellEnd"/>
      <w:r>
        <w:t xml:space="preserve"> all areas in </w:t>
      </w:r>
      <w:proofErr w:type="spellStart"/>
      <w:r>
        <w:t>the</w:t>
      </w:r>
      <w:proofErr w:type="spellEnd"/>
      <w:r>
        <w:t xml:space="preserve"> long-term plan.</w:t>
      </w:r>
    </w:p>
    <w:p w:rsidR="007D3CA2" w:rsidRDefault="007D3CA2" w:rsidP="007D3CA2">
      <w:r>
        <w:t xml:space="preserve">The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as </w:t>
      </w:r>
      <w:proofErr w:type="spellStart"/>
      <w:r>
        <w:t>interconnected</w:t>
      </w:r>
      <w:proofErr w:type="spellEnd"/>
      <w:r>
        <w:t xml:space="preserve">. The 2030 Agenda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represents</w:t>
      </w:r>
      <w:proofErr w:type="spellEnd"/>
      <w:r>
        <w:t xml:space="preserve"> an </w:t>
      </w:r>
      <w:proofErr w:type="spellStart"/>
      <w:r>
        <w:t>invitation</w:t>
      </w:r>
      <w:proofErr w:type="spellEnd"/>
      <w:r>
        <w:t xml:space="preserve"> to </w:t>
      </w:r>
      <w:proofErr w:type="spellStart"/>
      <w:r>
        <w:t>collaborate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, and a </w:t>
      </w:r>
      <w:proofErr w:type="spellStart"/>
      <w:r>
        <w:t>challenge</w:t>
      </w:r>
      <w:proofErr w:type="spellEnd"/>
      <w:r>
        <w:t xml:space="preserve"> to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from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. An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yield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nationally</w:t>
      </w:r>
      <w:proofErr w:type="spellEnd"/>
      <w:r>
        <w:t xml:space="preserve"> and </w:t>
      </w:r>
      <w:proofErr w:type="spellStart"/>
      <w:r>
        <w:t>internationally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, and </w:t>
      </w:r>
      <w:proofErr w:type="spellStart"/>
      <w:r>
        <w:t>will</w:t>
      </w:r>
      <w:proofErr w:type="spellEnd"/>
      <w:r>
        <w:t xml:space="preserve"> play an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up.</w:t>
      </w:r>
    </w:p>
    <w:p w:rsidR="007D3CA2" w:rsidRDefault="006E6F2E" w:rsidP="006E6F2E">
      <w:pPr>
        <w:pStyle w:val="Figur"/>
      </w:pPr>
      <w:proofErr w:type="gramStart"/>
      <w:r>
        <w:t>[:figur</w:t>
      </w:r>
      <w:proofErr w:type="gramEnd"/>
      <w:r>
        <w:t>:fig1-2.jpg]</w:t>
      </w:r>
    </w:p>
    <w:p w:rsidR="007D3CA2" w:rsidRDefault="007D3CA2" w:rsidP="007D3CA2">
      <w:pPr>
        <w:pStyle w:val="figur-tittel"/>
      </w:pPr>
      <w:r>
        <w:t xml:space="preserve">The </w:t>
      </w:r>
      <w:proofErr w:type="spellStart"/>
      <w:r>
        <w:t>Sustainable</w:t>
      </w:r>
      <w:proofErr w:type="spellEnd"/>
      <w:r>
        <w:t xml:space="preserve"> Development Goals</w:t>
      </w:r>
    </w:p>
    <w:p w:rsidR="007D3CA2" w:rsidRDefault="007D3CA2" w:rsidP="007D3CA2">
      <w:pPr>
        <w:pStyle w:val="Kilde"/>
        <w:rPr>
          <w:rFonts w:cs="Times New Roman"/>
          <w:sz w:val="24"/>
          <w:szCs w:val="24"/>
          <w:lang w:val="en-GB"/>
        </w:rPr>
      </w:pPr>
      <w:r>
        <w:t xml:space="preserve">United Nations Association </w:t>
      </w:r>
      <w:proofErr w:type="spellStart"/>
      <w:r>
        <w:t>of</w:t>
      </w:r>
      <w:proofErr w:type="spellEnd"/>
      <w:r>
        <w:t xml:space="preserve"> Norway</w:t>
      </w:r>
    </w:p>
    <w:p w:rsidR="007D3CA2" w:rsidRDefault="007D3CA2" w:rsidP="007D3CA2"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have a major </w:t>
      </w:r>
      <w:proofErr w:type="spellStart"/>
      <w:r>
        <w:t>role</w:t>
      </w:r>
      <w:proofErr w:type="spellEnd"/>
      <w:r>
        <w:t xml:space="preserve"> to play in </w:t>
      </w:r>
      <w:proofErr w:type="spellStart"/>
      <w:r>
        <w:t>following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agenda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. In 2017,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Bergen </w:t>
      </w:r>
      <w:proofErr w:type="spellStart"/>
      <w:r>
        <w:t>launched</w:t>
      </w:r>
      <w:proofErr w:type="spellEnd"/>
      <w:r>
        <w:t xml:space="preserve"> «SDG Bergen»,</w:t>
      </w:r>
      <w:r>
        <w:rPr>
          <w:vertAlign w:val="superscript"/>
        </w:rPr>
        <w:footnoteReference w:id="2"/>
      </w:r>
      <w:r>
        <w:t xml:space="preserve"> </w:t>
      </w:r>
      <w:r>
        <w:lastRenderedPageBreak/>
        <w:t xml:space="preserve">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for linking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new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for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science </w:t>
      </w:r>
      <w:proofErr w:type="spellStart"/>
      <w:r>
        <w:t>advice</w:t>
      </w:r>
      <w:proofErr w:type="spellEnd"/>
      <w:r>
        <w:t xml:space="preserve">. The </w:t>
      </w:r>
      <w:proofErr w:type="spellStart"/>
      <w:r>
        <w:t>university</w:t>
      </w:r>
      <w:proofErr w:type="spellEnd"/>
      <w:r>
        <w:t xml:space="preserve">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for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for Agenda 2030, and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have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or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vision</w:t>
      </w:r>
      <w:proofErr w:type="spellEnd"/>
      <w:r>
        <w:t>.</w:t>
      </w:r>
      <w:r>
        <w:rPr>
          <w:vertAlign w:val="superscript"/>
        </w:rPr>
        <w:footnoteReference w:id="3"/>
      </w:r>
      <w:r>
        <w:t xml:space="preserve"> The </w:t>
      </w:r>
      <w:proofErr w:type="spellStart"/>
      <w:r>
        <w:t>university</w:t>
      </w:r>
      <w:proofErr w:type="spellEnd"/>
      <w:r>
        <w:t xml:space="preserve"> website </w:t>
      </w:r>
      <w:proofErr w:type="spellStart"/>
      <w:r>
        <w:t>highlights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17 goals.</w:t>
      </w:r>
      <w:r>
        <w:rPr>
          <w:vertAlign w:val="superscript"/>
        </w:rPr>
        <w:footnoteReference w:id="4"/>
      </w:r>
      <w:r>
        <w:t xml:space="preserve"> </w:t>
      </w:r>
      <w:proofErr w:type="spellStart"/>
      <w:r>
        <w:t>Potential</w:t>
      </w:r>
      <w:proofErr w:type="spellEnd"/>
      <w:r>
        <w:t xml:space="preserve"> students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goals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. The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 has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t>« Oslo</w:t>
      </w:r>
      <w:proofErr w:type="gramEnd"/>
      <w:r>
        <w:t xml:space="preserve"> SDG Initiative».</w:t>
      </w:r>
      <w:r>
        <w:rPr>
          <w:vertAlign w:val="superscript"/>
        </w:rPr>
        <w:footnoteReference w:id="5"/>
      </w:r>
      <w:r>
        <w:t xml:space="preserve"> Students, </w:t>
      </w:r>
      <w:proofErr w:type="spellStart"/>
      <w:r>
        <w:t>lecturers</w:t>
      </w:r>
      <w:proofErr w:type="spellEnd"/>
      <w:r>
        <w:t xml:space="preserve"> and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a pivotal </w:t>
      </w:r>
      <w:proofErr w:type="spellStart"/>
      <w:r>
        <w:t>factor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Goals.</w:t>
      </w:r>
    </w:p>
    <w:p w:rsidR="007D3CA2" w:rsidRDefault="007D3CA2" w:rsidP="007D3CA2">
      <w:r>
        <w:t xml:space="preserve">The Research Council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, </w:t>
      </w:r>
      <w:r>
        <w:rPr>
          <w:rStyle w:val="kursiv"/>
          <w:sz w:val="21"/>
          <w:szCs w:val="21"/>
        </w:rPr>
        <w:t xml:space="preserve">Research for </w:t>
      </w:r>
      <w:proofErr w:type="spellStart"/>
      <w:r>
        <w:rPr>
          <w:rStyle w:val="kursiv"/>
          <w:sz w:val="21"/>
          <w:szCs w:val="21"/>
        </w:rPr>
        <w:t>Innovation</w:t>
      </w:r>
      <w:proofErr w:type="spellEnd"/>
      <w:r>
        <w:rPr>
          <w:rStyle w:val="kursiv"/>
          <w:sz w:val="21"/>
          <w:szCs w:val="21"/>
        </w:rPr>
        <w:t xml:space="preserve"> and </w:t>
      </w:r>
      <w:proofErr w:type="spellStart"/>
      <w:r>
        <w:rPr>
          <w:rStyle w:val="kursiv"/>
          <w:sz w:val="21"/>
          <w:szCs w:val="21"/>
        </w:rPr>
        <w:t>Sustainability</w:t>
      </w:r>
      <w:proofErr w:type="spellEnd"/>
      <w:r>
        <w:rPr>
          <w:rStyle w:val="kursiv"/>
          <w:sz w:val="21"/>
          <w:szCs w:val="21"/>
        </w:rPr>
        <w:t xml:space="preserve"> 2015–2020, </w:t>
      </w:r>
      <w:r>
        <w:t xml:space="preserve">shows </w:t>
      </w:r>
      <w:proofErr w:type="spellStart"/>
      <w:r>
        <w:t>that</w:t>
      </w:r>
      <w:proofErr w:type="spellEnd"/>
      <w:r>
        <w:t xml:space="preserve"> Norway is in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 xml:space="preserve"> to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Goals. The Research Council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prioritise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instruments </w:t>
      </w:r>
      <w:proofErr w:type="spellStart"/>
      <w:r>
        <w:t>that</w:t>
      </w:r>
      <w:proofErr w:type="spellEnd"/>
      <w:r>
        <w:t xml:space="preserve"> target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and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>.</w:t>
      </w:r>
      <w:r>
        <w:rPr>
          <w:vertAlign w:val="superscript"/>
        </w:rPr>
        <w:footnoteReference w:id="6"/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delegated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17 </w:t>
      </w:r>
      <w:proofErr w:type="spellStart"/>
      <w:r>
        <w:t>Sustainable</w:t>
      </w:r>
      <w:proofErr w:type="spellEnd"/>
      <w:r>
        <w:t xml:space="preserve"> Development Goals,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sub-goals,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sectoral</w:t>
      </w:r>
      <w:proofErr w:type="spellEnd"/>
      <w:r>
        <w:t xml:space="preserve"> </w:t>
      </w:r>
      <w:proofErr w:type="spellStart"/>
      <w:r>
        <w:t>ministries</w:t>
      </w:r>
      <w:proofErr w:type="spellEnd"/>
      <w:r>
        <w:t xml:space="preserve">.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Storting,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report </w:t>
      </w:r>
      <w:proofErr w:type="spellStart"/>
      <w:r>
        <w:t>on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and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realising </w:t>
      </w:r>
      <w:proofErr w:type="spellStart"/>
      <w:r>
        <w:t>these</w:t>
      </w:r>
      <w:proofErr w:type="spellEnd"/>
      <w:r>
        <w:t xml:space="preserve"> goals. The Ministry </w:t>
      </w:r>
      <w:proofErr w:type="spellStart"/>
      <w:r>
        <w:t>of</w:t>
      </w:r>
      <w:proofErr w:type="spellEnd"/>
      <w:r>
        <w:t xml:space="preserve"> Finance </w:t>
      </w:r>
      <w:proofErr w:type="spellStart"/>
      <w:r>
        <w:t>compiles</w:t>
      </w:r>
      <w:proofErr w:type="spellEnd"/>
      <w:r>
        <w:t xml:space="preserve"> an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-up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. The Ministry </w:t>
      </w:r>
      <w:proofErr w:type="spellStart"/>
      <w:r>
        <w:t>of</w:t>
      </w:r>
      <w:proofErr w:type="spellEnd"/>
      <w:r>
        <w:t xml:space="preserve"> Foreign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coordinates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-up </w:t>
      </w:r>
      <w:proofErr w:type="spellStart"/>
      <w:r>
        <w:t>of</w:t>
      </w:r>
      <w:proofErr w:type="spellEnd"/>
      <w:r>
        <w:t xml:space="preserve"> goals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report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 High-Level </w:t>
      </w:r>
      <w:proofErr w:type="spellStart"/>
      <w:r>
        <w:t>Political</w:t>
      </w:r>
      <w:proofErr w:type="spellEnd"/>
      <w:r>
        <w:t xml:space="preserve"> Forum (HLPF).</w:t>
      </w:r>
    </w:p>
    <w:p w:rsidR="007D3CA2" w:rsidRDefault="007D3CA2" w:rsidP="007D3CA2">
      <w:pPr>
        <w:pStyle w:val="Overskrift3"/>
      </w:pPr>
      <w:r>
        <w:t xml:space="preserve">The </w:t>
      </w:r>
      <w:proofErr w:type="spellStart"/>
      <w:r>
        <w:t>transition</w:t>
      </w:r>
      <w:proofErr w:type="spellEnd"/>
      <w:r>
        <w:t xml:space="preserve"> to a green </w:t>
      </w:r>
      <w:proofErr w:type="spellStart"/>
      <w:r>
        <w:t>society</w:t>
      </w:r>
      <w:proofErr w:type="spellEnd"/>
    </w:p>
    <w:p w:rsidR="007D3CA2" w:rsidRDefault="007D3CA2" w:rsidP="007D3CA2">
      <w:proofErr w:type="spellStart"/>
      <w:r>
        <w:t>According</w:t>
      </w:r>
      <w:proofErr w:type="spellEnd"/>
      <w:r>
        <w:t xml:space="preserve"> to </w:t>
      </w:r>
      <w:proofErr w:type="spellStart"/>
      <w:r>
        <w:t>projections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UN,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nine</w:t>
      </w:r>
      <w:proofErr w:type="spellEnd"/>
      <w:r>
        <w:t xml:space="preserve"> billion by 2050. The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lead to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food</w:t>
      </w:r>
      <w:proofErr w:type="spellEnd"/>
      <w:r>
        <w:t xml:space="preserve"> and </w:t>
      </w:r>
      <w:proofErr w:type="spellStart"/>
      <w:r>
        <w:t>energy</w:t>
      </w:r>
      <w:proofErr w:type="spellEnd"/>
      <w:r>
        <w:t xml:space="preserve"> and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land area and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potential</w:t>
      </w:r>
      <w:proofErr w:type="spellEnd"/>
      <w:r>
        <w:t xml:space="preserve"> for </w:t>
      </w:r>
      <w:proofErr w:type="gramStart"/>
      <w:r>
        <w:t>more</w:t>
      </w:r>
      <w:proofErr w:type="gramEnd"/>
      <w:r>
        <w:t xml:space="preserve"> </w:t>
      </w:r>
      <w:proofErr w:type="spellStart"/>
      <w:r>
        <w:t>pollution</w:t>
      </w:r>
      <w:proofErr w:type="spellEnd"/>
      <w:r>
        <w:t xml:space="preserve"> to air, </w:t>
      </w:r>
      <w:proofErr w:type="spellStart"/>
      <w:r>
        <w:t>sea</w:t>
      </w:r>
      <w:proofErr w:type="spellEnd"/>
      <w:r>
        <w:t xml:space="preserve">, </w:t>
      </w:r>
      <w:proofErr w:type="spellStart"/>
      <w:r>
        <w:t>soil</w:t>
      </w:r>
      <w:proofErr w:type="spellEnd"/>
      <w:r>
        <w:t xml:space="preserve"> and water. The inherent </w:t>
      </w:r>
      <w:proofErr w:type="spellStart"/>
      <w:r>
        <w:t>challenge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must </w:t>
      </w:r>
      <w:proofErr w:type="spellStart"/>
      <w:r>
        <w:t>provide</w:t>
      </w:r>
      <w:proofErr w:type="spellEnd"/>
      <w:r>
        <w:t xml:space="preserve"> a basis for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for </w:t>
      </w:r>
      <w:proofErr w:type="spellStart"/>
      <w:r>
        <w:t>current</w:t>
      </w:r>
      <w:proofErr w:type="spellEnd"/>
      <w:r>
        <w:t xml:space="preserve"> and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 xml:space="preserve">. In </w:t>
      </w:r>
      <w:proofErr w:type="spellStart"/>
      <w:r>
        <w:t>its</w:t>
      </w:r>
      <w:proofErr w:type="spellEnd"/>
      <w:r>
        <w:t xml:space="preserve"> report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European Environment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Europe is to live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ecological</w:t>
      </w:r>
      <w:proofErr w:type="spellEnd"/>
      <w:r>
        <w:t xml:space="preserve"> limits, </w:t>
      </w:r>
      <w:proofErr w:type="spellStart"/>
      <w:r>
        <w:t>there</w:t>
      </w:r>
      <w:proofErr w:type="spellEnd"/>
      <w:r>
        <w:t xml:space="preserve"> must be fundamental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systems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and </w:t>
      </w:r>
      <w:proofErr w:type="spellStart"/>
      <w:r>
        <w:t>consumption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root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pressures</w:t>
      </w:r>
      <w:proofErr w:type="spellEnd"/>
      <w:r>
        <w:t>.</w:t>
      </w:r>
      <w:r>
        <w:rPr>
          <w:vertAlign w:val="superscript"/>
        </w:rPr>
        <w:footnoteReference w:id="7"/>
      </w:r>
      <w:r>
        <w:t xml:space="preserve"> The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loss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biodiversity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accumulate</w:t>
      </w:r>
      <w:proofErr w:type="spellEnd"/>
      <w:r>
        <w:t xml:space="preserve"> in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 and </w:t>
      </w:r>
      <w:proofErr w:type="spellStart"/>
      <w:r>
        <w:t>can</w:t>
      </w:r>
      <w:proofErr w:type="spellEnd"/>
      <w:r>
        <w:t xml:space="preserve"> have a negative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human </w:t>
      </w:r>
      <w:proofErr w:type="spellStart"/>
      <w:r>
        <w:t>health</w:t>
      </w:r>
      <w:proofErr w:type="spellEnd"/>
      <w:r>
        <w:t xml:space="preserve">. Loss </w:t>
      </w:r>
      <w:proofErr w:type="spellStart"/>
      <w:r>
        <w:t>of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poses a </w:t>
      </w:r>
      <w:proofErr w:type="spellStart"/>
      <w:r>
        <w:t>challenge</w:t>
      </w:r>
      <w:proofErr w:type="spellEnd"/>
      <w:r>
        <w:t>.</w:t>
      </w:r>
    </w:p>
    <w:p w:rsidR="007D3CA2" w:rsidRDefault="007D3CA2" w:rsidP="007D3CA2">
      <w:r>
        <w:t xml:space="preserve">It is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a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greener </w:t>
      </w:r>
      <w:proofErr w:type="spellStart"/>
      <w:r>
        <w:t>society</w:t>
      </w:r>
      <w:proofErr w:type="spellEnd"/>
      <w:r>
        <w:t xml:space="preserve">. In 2017,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1°C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pre-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Intergovernmental</w:t>
      </w:r>
      <w:proofErr w:type="spellEnd"/>
      <w:r>
        <w:t xml:space="preserve"> Panel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global </w:t>
      </w:r>
      <w:proofErr w:type="spellStart"/>
      <w:r>
        <w:t>warming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by more </w:t>
      </w:r>
      <w:proofErr w:type="spellStart"/>
      <w:r>
        <w:t>than</w:t>
      </w:r>
      <w:proofErr w:type="spellEnd"/>
      <w:r>
        <w:t xml:space="preserve"> 4°C by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century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greenhouse </w:t>
      </w:r>
      <w:proofErr w:type="spellStart"/>
      <w:r>
        <w:t>gases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curtailed</w:t>
      </w:r>
      <w:proofErr w:type="spellEnd"/>
      <w:r>
        <w:t xml:space="preserve">. Even </w:t>
      </w:r>
      <w:proofErr w:type="spellStart"/>
      <w:r>
        <w:t>if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Paris Agreement (</w:t>
      </w:r>
      <w:proofErr w:type="spellStart"/>
      <w:r>
        <w:t>see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), global </w:t>
      </w:r>
      <w:proofErr w:type="spellStart"/>
      <w:r>
        <w:t>warming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3°C by 2100 </w:t>
      </w:r>
      <w:proofErr w:type="spellStart"/>
      <w:r>
        <w:t>compared</w:t>
      </w:r>
      <w:proofErr w:type="spellEnd"/>
      <w:r>
        <w:t xml:space="preserve"> to pre-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. This far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goals in </w:t>
      </w:r>
      <w:proofErr w:type="spellStart"/>
      <w:r>
        <w:t>the</w:t>
      </w:r>
      <w:proofErr w:type="spellEnd"/>
      <w:r>
        <w:t xml:space="preserve"> Agreement. If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cutting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in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high</w:t>
      </w:r>
      <w:proofErr w:type="spellEnd"/>
      <w:r>
        <w:t xml:space="preserve"> risk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</w:t>
      </w:r>
      <w:proofErr w:type="spellStart"/>
      <w:r>
        <w:t>serious</w:t>
      </w:r>
      <w:proofErr w:type="spellEnd"/>
      <w:r>
        <w:t xml:space="preserve">, </w:t>
      </w:r>
      <w:proofErr w:type="spellStart"/>
      <w:r>
        <w:t>wide</w:t>
      </w:r>
      <w:proofErr w:type="spellEnd"/>
      <w:r>
        <w:t xml:space="preserve">-ranging </w:t>
      </w:r>
      <w:proofErr w:type="spellStart"/>
      <w:r>
        <w:t>ramifications</w:t>
      </w:r>
      <w:proofErr w:type="spellEnd"/>
      <w:r>
        <w:t xml:space="preserve">. More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heatwaves</w:t>
      </w:r>
      <w:proofErr w:type="spellEnd"/>
      <w:r>
        <w:t xml:space="preserve">, </w:t>
      </w:r>
      <w:proofErr w:type="spellStart"/>
      <w:r>
        <w:t>droughts</w:t>
      </w:r>
      <w:proofErr w:type="spellEnd"/>
      <w:r>
        <w:t xml:space="preserve"> and </w:t>
      </w:r>
      <w:proofErr w:type="spellStart"/>
      <w:r>
        <w:t>heavy</w:t>
      </w:r>
      <w:proofErr w:type="spellEnd"/>
      <w:r>
        <w:t xml:space="preserve"> </w:t>
      </w:r>
      <w:proofErr w:type="spellStart"/>
      <w:r>
        <w:t>rain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warmer</w:t>
      </w:r>
      <w:proofErr w:type="spellEnd"/>
      <w:r>
        <w:t xml:space="preserve">, more </w:t>
      </w:r>
      <w:proofErr w:type="spellStart"/>
      <w:r>
        <w:t>acidic</w:t>
      </w:r>
      <w:proofErr w:type="spellEnd"/>
      <w:r>
        <w:t xml:space="preserve"> and rising </w:t>
      </w:r>
      <w:proofErr w:type="spellStart"/>
      <w:r>
        <w:t>seas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have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 for Norway.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transnational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Norway </w:t>
      </w:r>
      <w:proofErr w:type="spellStart"/>
      <w:r>
        <w:t>indirectly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form </w:t>
      </w:r>
      <w:proofErr w:type="spellStart"/>
      <w:r>
        <w:t>of</w:t>
      </w:r>
      <w:proofErr w:type="spellEnd"/>
      <w:r>
        <w:t xml:space="preserve"> more </w:t>
      </w:r>
      <w:proofErr w:type="spellStart"/>
      <w:r>
        <w:t>expensive</w:t>
      </w:r>
      <w:proofErr w:type="spellEnd"/>
      <w:r>
        <w:t xml:space="preserve"> imports,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 and </w:t>
      </w:r>
      <w:proofErr w:type="spellStart"/>
      <w:r>
        <w:t>upheaval</w:t>
      </w:r>
      <w:proofErr w:type="spellEnd"/>
      <w:r>
        <w:t xml:space="preserve"> in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markets</w:t>
      </w:r>
      <w:proofErr w:type="spellEnd"/>
      <w:r>
        <w:t>.</w:t>
      </w:r>
      <w:r>
        <w:rPr>
          <w:vertAlign w:val="superscript"/>
        </w:rPr>
        <w:footnoteReference w:id="8"/>
      </w:r>
      <w:r>
        <w:t xml:space="preserve"> </w:t>
      </w:r>
    </w:p>
    <w:p w:rsidR="007D3CA2" w:rsidRDefault="007D3CA2" w:rsidP="007D3CA2">
      <w:r>
        <w:lastRenderedPageBreak/>
        <w:t xml:space="preserve">Agreement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global and </w:t>
      </w:r>
      <w:proofErr w:type="spellStart"/>
      <w:r>
        <w:t>legally</w:t>
      </w:r>
      <w:proofErr w:type="spellEnd"/>
      <w:r>
        <w:t xml:space="preserve"> binding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in Paris in </w:t>
      </w:r>
      <w:proofErr w:type="spellStart"/>
      <w:r>
        <w:t>December</w:t>
      </w:r>
      <w:proofErr w:type="spellEnd"/>
      <w:r>
        <w:t xml:space="preserve"> 2015. The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ratifying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is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steadily</w:t>
      </w:r>
      <w:proofErr w:type="spellEnd"/>
      <w:r>
        <w:t xml:space="preserve">, and 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2018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 180 </w:t>
      </w:r>
      <w:proofErr w:type="spellStart"/>
      <w:r>
        <w:t>signatories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Paris Agreement, Norway is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greenhouse </w:t>
      </w:r>
      <w:proofErr w:type="spellStart"/>
      <w:r>
        <w:t>gases</w:t>
      </w:r>
      <w:proofErr w:type="spellEnd"/>
      <w:r>
        <w:t xml:space="preserve"> by at </w:t>
      </w:r>
      <w:proofErr w:type="spellStart"/>
      <w:r>
        <w:t>least</w:t>
      </w:r>
      <w:proofErr w:type="spellEnd"/>
      <w:r>
        <w:t xml:space="preserve"> 40 per cent by 2030,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1990, and a </w:t>
      </w:r>
      <w:proofErr w:type="spellStart"/>
      <w:r>
        <w:t>statutory</w:t>
      </w:r>
      <w:proofErr w:type="spellEnd"/>
      <w:r>
        <w:t xml:space="preserve"> goal is in </w:t>
      </w:r>
      <w:proofErr w:type="spellStart"/>
      <w:r>
        <w:t>place</w:t>
      </w:r>
      <w:proofErr w:type="spellEnd"/>
      <w:r>
        <w:t xml:space="preserve"> to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low-emission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by 2050. Norway is in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on</w:t>
      </w:r>
      <w:proofErr w:type="spellEnd"/>
      <w:r>
        <w:t xml:space="preserve"> joint </w:t>
      </w:r>
      <w:proofErr w:type="spellStart"/>
      <w:r>
        <w:t>fulfilment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target for 2030.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targets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all </w:t>
      </w:r>
      <w:proofErr w:type="spellStart"/>
      <w:r>
        <w:t>sectors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–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transport, </w:t>
      </w:r>
      <w:proofErr w:type="spellStart"/>
      <w:r>
        <w:t>oil</w:t>
      </w:r>
      <w:proofErr w:type="spellEnd"/>
      <w:r>
        <w:t xml:space="preserve"> and gas </w:t>
      </w:r>
      <w:proofErr w:type="spellStart"/>
      <w:r>
        <w:t>production</w:t>
      </w:r>
      <w:proofErr w:type="spellEnd"/>
      <w:r>
        <w:t xml:space="preserve">, </w:t>
      </w:r>
      <w:proofErr w:type="spellStart"/>
      <w:r>
        <w:t>industry</w:t>
      </w:r>
      <w:proofErr w:type="spellEnd"/>
      <w:r>
        <w:t xml:space="preserve"> and </w:t>
      </w:r>
      <w:proofErr w:type="spellStart"/>
      <w:r>
        <w:t>agriculture</w:t>
      </w:r>
      <w:proofErr w:type="spellEnd"/>
      <w:r>
        <w:t xml:space="preserve">. This is </w:t>
      </w:r>
      <w:proofErr w:type="spellStart"/>
      <w:r>
        <w:t>also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Government’s</w:t>
      </w:r>
      <w:proofErr w:type="spellEnd"/>
      <w:r>
        <w:t xml:space="preserve"> plan for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, cf. Chapter 8,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specifically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green campus </w:t>
      </w:r>
      <w:proofErr w:type="spellStart"/>
      <w:r>
        <w:t>development</w:t>
      </w:r>
      <w:proofErr w:type="spellEnd"/>
      <w:r>
        <w:t>.</w:t>
      </w:r>
    </w:p>
    <w:p w:rsidR="007D3CA2" w:rsidRDefault="007D3CA2" w:rsidP="007D3CA2">
      <w:proofErr w:type="spellStart"/>
      <w:r>
        <w:t>Norway’s</w:t>
      </w:r>
      <w:proofErr w:type="spellEnd"/>
      <w:r>
        <w:t xml:space="preserve"> input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EU’s</w:t>
      </w:r>
      <w:proofErr w:type="spellEnd"/>
      <w:r>
        <w:t xml:space="preserve"> </w:t>
      </w:r>
      <w:proofErr w:type="spellStart"/>
      <w:r>
        <w:t>ninth</w:t>
      </w:r>
      <w:proofErr w:type="spellEnd"/>
      <w:r>
        <w:t xml:space="preserve"> Framework </w:t>
      </w:r>
      <w:proofErr w:type="spellStart"/>
      <w:r>
        <w:t>Programme</w:t>
      </w:r>
      <w:proofErr w:type="spellEnd"/>
      <w:r>
        <w:t xml:space="preserve"> for Research and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Horizon</w:t>
      </w:r>
      <w:proofErr w:type="spellEnd"/>
      <w:r>
        <w:t xml:space="preserve"> Europe, attaches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to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to a green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and </w:t>
      </w:r>
      <w:proofErr w:type="spellStart"/>
      <w:r>
        <w:t>the</w:t>
      </w:r>
      <w:proofErr w:type="spellEnd"/>
      <w:r>
        <w:t xml:space="preserve"> Paris Agreement. Technology </w:t>
      </w:r>
      <w:proofErr w:type="spellStart"/>
      <w:r>
        <w:t>will</w:t>
      </w:r>
      <w:proofErr w:type="spellEnd"/>
      <w:r>
        <w:t xml:space="preserve"> play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reaching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targets.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widespread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in order to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and to </w:t>
      </w:r>
      <w:proofErr w:type="spellStart"/>
      <w:r>
        <w:t>learn</w:t>
      </w:r>
      <w:proofErr w:type="spellEnd"/>
      <w:r>
        <w:t xml:space="preserve"> more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policy instruments and </w:t>
      </w:r>
      <w:proofErr w:type="spellStart"/>
      <w:r>
        <w:t>how</w:t>
      </w:r>
      <w:proofErr w:type="spellEnd"/>
      <w:r>
        <w:t xml:space="preserve"> to design </w:t>
      </w:r>
      <w:proofErr w:type="spellStart"/>
      <w:r>
        <w:t>these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overall </w:t>
      </w:r>
      <w:proofErr w:type="spellStart"/>
      <w:r>
        <w:t>effect</w:t>
      </w:r>
      <w:proofErr w:type="spellEnd"/>
      <w:r>
        <w:t xml:space="preserve">.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22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European Commission, Norway is </w:t>
      </w:r>
      <w:proofErr w:type="spellStart"/>
      <w:r>
        <w:t>participating</w:t>
      </w:r>
      <w:proofErr w:type="spellEnd"/>
      <w:r>
        <w:t xml:space="preserve"> in «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rPr>
          <w:rStyle w:val="kursiv"/>
          <w:sz w:val="21"/>
          <w:szCs w:val="21"/>
        </w:rPr>
        <w:t>»</w:t>
      </w:r>
      <w:r>
        <w:t xml:space="preserve">, an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during </w:t>
      </w:r>
      <w:proofErr w:type="spellStart"/>
      <w:r>
        <w:t>the</w:t>
      </w:r>
      <w:proofErr w:type="spellEnd"/>
      <w:r>
        <w:t xml:space="preserve"> 2015 Paris </w:t>
      </w:r>
      <w:proofErr w:type="spellStart"/>
      <w:r>
        <w:t>Climate</w:t>
      </w:r>
      <w:proofErr w:type="spellEnd"/>
      <w:r>
        <w:t xml:space="preserve"> Conference to </w:t>
      </w:r>
      <w:proofErr w:type="spellStart"/>
      <w:r>
        <w:t>accelerate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for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. One </w:t>
      </w:r>
      <w:proofErr w:type="spellStart"/>
      <w:r>
        <w:t>important</w:t>
      </w:r>
      <w:proofErr w:type="spellEnd"/>
      <w:r>
        <w:t xml:space="preserve"> element is </w:t>
      </w:r>
      <w:proofErr w:type="spellStart"/>
      <w:r>
        <w:t>that</w:t>
      </w:r>
      <w:proofErr w:type="spellEnd"/>
      <w:r>
        <w:t xml:space="preserve"> all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must </w:t>
      </w:r>
      <w:proofErr w:type="spellStart"/>
      <w:r>
        <w:t>seek</w:t>
      </w:r>
      <w:proofErr w:type="spellEnd"/>
      <w:r>
        <w:t xml:space="preserve"> </w:t>
      </w:r>
      <w:proofErr w:type="gramStart"/>
      <w:r>
        <w:t>to double</w:t>
      </w:r>
      <w:proofErr w:type="gram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- and </w:t>
      </w:r>
      <w:proofErr w:type="spellStart"/>
      <w:r>
        <w:t>climate-friendly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over a five-</w:t>
      </w:r>
      <w:proofErr w:type="spellStart"/>
      <w:r>
        <w:t>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:rsidR="007D3CA2" w:rsidRDefault="007D3CA2" w:rsidP="007D3CA2"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is </w:t>
      </w:r>
      <w:proofErr w:type="spellStart"/>
      <w:r>
        <w:t>caused</w:t>
      </w:r>
      <w:proofErr w:type="spellEnd"/>
      <w:r>
        <w:t xml:space="preserve"> by human </w:t>
      </w:r>
      <w:proofErr w:type="spellStart"/>
      <w:r>
        <w:t>interventions</w:t>
      </w:r>
      <w:proofErr w:type="spellEnd"/>
      <w:r>
        <w:t xml:space="preserve"> and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affects</w:t>
      </w:r>
      <w:proofErr w:type="spellEnd"/>
      <w:r>
        <w:t xml:space="preserve"> all segments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: from </w:t>
      </w:r>
      <w:proofErr w:type="spellStart"/>
      <w:r>
        <w:t>culture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to </w:t>
      </w:r>
      <w:proofErr w:type="spellStart"/>
      <w:r>
        <w:t>economics</w:t>
      </w:r>
      <w:proofErr w:type="spellEnd"/>
      <w:r>
        <w:t xml:space="preserve"> and </w:t>
      </w:r>
      <w:proofErr w:type="spellStart"/>
      <w:r>
        <w:t>politics</w:t>
      </w:r>
      <w:proofErr w:type="spellEnd"/>
      <w:r>
        <w:t>. In-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and </w:t>
      </w:r>
      <w:proofErr w:type="spellStart"/>
      <w:r>
        <w:t>society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to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addressed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and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,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resolved</w:t>
      </w:r>
      <w:proofErr w:type="spellEnd"/>
      <w:r>
        <w:t xml:space="preserve"> in a manner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yields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Thus, </w:t>
      </w:r>
      <w:proofErr w:type="spellStart"/>
      <w:r>
        <w:t>humanities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have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to play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targets.</w:t>
      </w:r>
    </w:p>
    <w:p w:rsidR="007D3CA2" w:rsidRDefault="007D3CA2" w:rsidP="007D3CA2">
      <w:proofErr w:type="spellStart"/>
      <w:r>
        <w:t>Education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targets </w:t>
      </w:r>
      <w:proofErr w:type="spellStart"/>
      <w:r>
        <w:t>will</w:t>
      </w:r>
      <w:proofErr w:type="spellEnd"/>
      <w:r>
        <w:t xml:space="preserve"> be given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forward. Norway has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field</w:t>
      </w:r>
      <w:proofErr w:type="spellEnd"/>
      <w:r>
        <w:t>.</w:t>
      </w:r>
    </w:p>
    <w:p w:rsidR="007D3CA2" w:rsidRDefault="007D3CA2" w:rsidP="007D3CA2">
      <w:pPr>
        <w:pStyle w:val="Overskrift3"/>
      </w:pPr>
      <w:proofErr w:type="spellStart"/>
      <w:r>
        <w:t>Digitalisation</w:t>
      </w:r>
      <w:proofErr w:type="spellEnd"/>
    </w:p>
    <w:p w:rsidR="007D3CA2" w:rsidRDefault="007D3CA2" w:rsidP="007D3CA2">
      <w:r>
        <w:t xml:space="preserve">New </w:t>
      </w:r>
      <w:proofErr w:type="spellStart"/>
      <w:r>
        <w:t>waves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fundamentally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live and </w:t>
      </w:r>
      <w:proofErr w:type="spellStart"/>
      <w:r>
        <w:t>interact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exponential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in </w:t>
      </w:r>
      <w:proofErr w:type="spellStart"/>
      <w:r>
        <w:t>processor</w:t>
      </w:r>
      <w:proofErr w:type="spellEnd"/>
      <w:r>
        <w:t xml:space="preserve"> and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is not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a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. 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in </w:t>
      </w:r>
      <w:proofErr w:type="spellStart"/>
      <w:r>
        <w:t>bandwidth</w:t>
      </w:r>
      <w:proofErr w:type="spellEnd"/>
      <w:r>
        <w:t xml:space="preserve"> and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for data </w:t>
      </w:r>
      <w:proofErr w:type="spellStart"/>
      <w:r>
        <w:t>storage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to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and </w:t>
      </w:r>
      <w:proofErr w:type="spellStart"/>
      <w:r>
        <w:t>perspectives</w:t>
      </w:r>
      <w:proofErr w:type="spellEnd"/>
      <w:r>
        <w:t>.</w:t>
      </w:r>
    </w:p>
    <w:p w:rsidR="007D3CA2" w:rsidRDefault="007D3CA2" w:rsidP="007D3CA2">
      <w:proofErr w:type="spellStart"/>
      <w:r>
        <w:t>Digitalisation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to </w:t>
      </w:r>
      <w:proofErr w:type="spellStart"/>
      <w:r>
        <w:t>renew</w:t>
      </w:r>
      <w:proofErr w:type="spellEnd"/>
      <w:r>
        <w:t xml:space="preserve">, </w:t>
      </w:r>
      <w:proofErr w:type="spellStart"/>
      <w:r>
        <w:t>simplify</w:t>
      </w:r>
      <w:proofErr w:type="spellEnd"/>
      <w:r>
        <w:t xml:space="preserve"> and </w:t>
      </w:r>
      <w:proofErr w:type="spellStart"/>
      <w:r>
        <w:t>improve</w:t>
      </w:r>
      <w:proofErr w:type="spellEnd"/>
      <w:r>
        <w:t xml:space="preserve">. It </w:t>
      </w:r>
      <w:proofErr w:type="spellStart"/>
      <w:r>
        <w:t>lays</w:t>
      </w:r>
      <w:proofErr w:type="spellEnd"/>
      <w:r>
        <w:t xml:space="preserve"> a </w:t>
      </w:r>
      <w:proofErr w:type="spellStart"/>
      <w:r>
        <w:t>foundation</w:t>
      </w:r>
      <w:proofErr w:type="spellEnd"/>
      <w:r>
        <w:t xml:space="preserve"> for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boost</w:t>
      </w:r>
      <w:proofErr w:type="spellEnd"/>
      <w:r>
        <w:t xml:space="preserve"> </w:t>
      </w:r>
      <w:proofErr w:type="spellStart"/>
      <w:r>
        <w:t>productivity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private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. It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simultaneous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driving </w:t>
      </w:r>
      <w:proofErr w:type="spellStart"/>
      <w:r>
        <w:t>digitalisation</w:t>
      </w:r>
      <w:proofErr w:type="spellEnd"/>
      <w:r>
        <w:t xml:space="preserve"> and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potential</w:t>
      </w:r>
      <w:proofErr w:type="spellEnd"/>
      <w:r>
        <w:t xml:space="preserve"> for </w:t>
      </w:r>
      <w:proofErr w:type="spellStart"/>
      <w:r>
        <w:t>transformation</w:t>
      </w:r>
      <w:proofErr w:type="spellEnd"/>
      <w:r>
        <w:t xml:space="preserve"> and </w:t>
      </w:r>
      <w:proofErr w:type="spellStart"/>
      <w:r>
        <w:t>growth</w:t>
      </w:r>
      <w:proofErr w:type="spellEnd"/>
      <w:r>
        <w:t>.</w:t>
      </w:r>
      <w:r>
        <w:rPr>
          <w:vertAlign w:val="superscript"/>
        </w:rPr>
        <w:footnoteReference w:id="9"/>
      </w:r>
      <w:r>
        <w:t xml:space="preserve"> The </w:t>
      </w:r>
      <w:proofErr w:type="spellStart"/>
      <w:r>
        <w:t>transition</w:t>
      </w:r>
      <w:proofErr w:type="spellEnd"/>
      <w:r>
        <w:t xml:space="preserve"> to </w:t>
      </w:r>
      <w:proofErr w:type="spellStart"/>
      <w:r>
        <w:t>new</w:t>
      </w:r>
      <w:proofErr w:type="spellEnd"/>
      <w:r>
        <w:t xml:space="preserve"> systems </w:t>
      </w:r>
      <w:proofErr w:type="spellStart"/>
      <w:r>
        <w:t>within</w:t>
      </w:r>
      <w:proofErr w:type="spellEnd"/>
      <w:r>
        <w:t xml:space="preserve"> a digital </w:t>
      </w:r>
      <w:proofErr w:type="spellStart"/>
      <w:r>
        <w:t>infrastructure</w:t>
      </w:r>
      <w:proofErr w:type="spellEnd"/>
      <w:r>
        <w:t xml:space="preserve"> leads to </w:t>
      </w:r>
      <w:proofErr w:type="spellStart"/>
      <w:r>
        <w:t>changes</w:t>
      </w:r>
      <w:proofErr w:type="spellEnd"/>
      <w:r>
        <w:t xml:space="preserve"> in business </w:t>
      </w:r>
      <w:proofErr w:type="spellStart"/>
      <w:r>
        <w:t>models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goods</w:t>
      </w:r>
      <w:proofErr w:type="spellEnd"/>
      <w:r>
        <w:t xml:space="preserve"> and services. This in turn forms </w:t>
      </w:r>
      <w:proofErr w:type="spellStart"/>
      <w:r>
        <w:t>the</w:t>
      </w:r>
      <w:proofErr w:type="spellEnd"/>
      <w:r>
        <w:t xml:space="preserve"> basis for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solutions</w:t>
      </w:r>
      <w:proofErr w:type="spellEnd"/>
      <w:r>
        <w:t>.</w:t>
      </w:r>
    </w:p>
    <w:p w:rsidR="007D3CA2" w:rsidRDefault="007D3CA2" w:rsidP="007D3CA2">
      <w:r>
        <w:t xml:space="preserve">At </w:t>
      </w:r>
      <w:proofErr w:type="spellStart"/>
      <w:r>
        <w:t>the</w:t>
      </w:r>
      <w:proofErr w:type="spellEnd"/>
      <w:r>
        <w:t xml:space="preserve"> same time,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 xml:space="preserve"> leads to a </w:t>
      </w:r>
      <w:proofErr w:type="spellStart"/>
      <w:r>
        <w:t>shift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risk </w:t>
      </w:r>
      <w:proofErr w:type="spellStart"/>
      <w:r>
        <w:t>picture</w:t>
      </w:r>
      <w:proofErr w:type="spellEnd"/>
      <w:r>
        <w:t xml:space="preserve">. </w:t>
      </w:r>
      <w:proofErr w:type="spellStart"/>
      <w:r>
        <w:t>Vulnerability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due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ICT systems and a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analogue</w:t>
      </w:r>
      <w:proofErr w:type="spellEnd"/>
      <w:r>
        <w:t xml:space="preserve"> or manual back-up </w:t>
      </w:r>
      <w:proofErr w:type="spellStart"/>
      <w:r>
        <w:t>solutions</w:t>
      </w:r>
      <w:proofErr w:type="spellEnd"/>
      <w:r>
        <w:t xml:space="preserve">. </w:t>
      </w:r>
      <w:proofErr w:type="spellStart"/>
      <w:r>
        <w:t>Digitalisation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a </w:t>
      </w:r>
      <w:proofErr w:type="spellStart"/>
      <w:r>
        <w:t>breeding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for </w:t>
      </w:r>
      <w:proofErr w:type="spellStart"/>
      <w:r>
        <w:t>new</w:t>
      </w:r>
      <w:proofErr w:type="spellEnd"/>
      <w:r>
        <w:t xml:space="preserve"> forms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transboundary</w:t>
      </w:r>
      <w:proofErr w:type="spellEnd"/>
      <w:r>
        <w:t xml:space="preserve"> and </w:t>
      </w:r>
      <w:proofErr w:type="spellStart"/>
      <w:r>
        <w:t>difficult</w:t>
      </w:r>
      <w:proofErr w:type="spellEnd"/>
      <w:r>
        <w:t xml:space="preserve"> to </w:t>
      </w:r>
      <w:proofErr w:type="spellStart"/>
      <w:r>
        <w:t>investigate</w:t>
      </w:r>
      <w:proofErr w:type="spellEnd"/>
      <w:r>
        <w:t xml:space="preserve"> and </w:t>
      </w:r>
      <w:proofErr w:type="spellStart"/>
      <w:r>
        <w:t>prosecute</w:t>
      </w:r>
      <w:proofErr w:type="spellEnd"/>
      <w:r>
        <w:t xml:space="preserve">. Vast </w:t>
      </w:r>
      <w:proofErr w:type="spellStart"/>
      <w:r>
        <w:t>amounts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personal data 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digital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exploited</w:t>
      </w:r>
      <w:proofErr w:type="spellEnd"/>
      <w:r>
        <w:t xml:space="preserve"> in </w:t>
      </w:r>
      <w:proofErr w:type="spellStart"/>
      <w:r>
        <w:t>marketing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in a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. This </w:t>
      </w:r>
      <w:proofErr w:type="spellStart"/>
      <w:r>
        <w:t>creates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protections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personal </w:t>
      </w:r>
      <w:proofErr w:type="spellStart"/>
      <w:r>
        <w:t>privacy</w:t>
      </w:r>
      <w:proofErr w:type="spellEnd"/>
      <w:r>
        <w:t xml:space="preserve">,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and </w:t>
      </w:r>
      <w:proofErr w:type="spellStart"/>
      <w:r>
        <w:t>rights</w:t>
      </w:r>
      <w:proofErr w:type="spellEnd"/>
      <w:r>
        <w:t xml:space="preserve"> to data. The </w:t>
      </w:r>
      <w:proofErr w:type="spellStart"/>
      <w:r>
        <w:t>new</w:t>
      </w:r>
      <w:proofErr w:type="spellEnd"/>
      <w:r>
        <w:t xml:space="preserve"> Norwegian Personal Data </w:t>
      </w:r>
      <w:proofErr w:type="spellStart"/>
      <w:r>
        <w:t>Act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(GDPR), </w:t>
      </w:r>
      <w:proofErr w:type="spellStart"/>
      <w:r>
        <w:lastRenderedPageBreak/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force in </w:t>
      </w:r>
      <w:proofErr w:type="spellStart"/>
      <w:r>
        <w:t>July</w:t>
      </w:r>
      <w:proofErr w:type="spellEnd"/>
      <w:r>
        <w:t xml:space="preserve"> 2018. This </w:t>
      </w:r>
      <w:proofErr w:type="spellStart"/>
      <w:r>
        <w:t>will</w:t>
      </w:r>
      <w:proofErr w:type="spellEnd"/>
      <w:r>
        <w:t xml:space="preserve"> play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obligations</w:t>
      </w:r>
      <w:proofErr w:type="spellEnd"/>
      <w:r>
        <w:t xml:space="preserve"> and instruments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a loss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trust.</w:t>
      </w:r>
    </w:p>
    <w:p w:rsidR="007D3CA2" w:rsidRDefault="007D3CA2" w:rsidP="007D3CA2">
      <w:proofErr w:type="spellStart"/>
      <w:r>
        <w:t>Increasing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expertise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Growth in </w:t>
      </w:r>
      <w:proofErr w:type="spellStart"/>
      <w:r>
        <w:t>productivity</w:t>
      </w:r>
      <w:proofErr w:type="spellEnd"/>
      <w:r>
        <w:t xml:space="preserve"> is </w:t>
      </w:r>
      <w:proofErr w:type="spellStart"/>
      <w:r>
        <w:t>contingent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and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restructuring</w:t>
      </w:r>
      <w:proofErr w:type="spellEnd"/>
      <w:r>
        <w:t xml:space="preserve">, and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and </w:t>
      </w:r>
      <w:proofErr w:type="spellStart"/>
      <w:r>
        <w:t>utilise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  <w:r>
        <w:rPr>
          <w:vertAlign w:val="superscript"/>
        </w:rPr>
        <w:footnoteReference w:id="10"/>
      </w:r>
      <w:r>
        <w:t xml:space="preserve">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openness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and </w:t>
      </w:r>
      <w:proofErr w:type="spellStart"/>
      <w:r>
        <w:t>technologies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same time, </w:t>
      </w:r>
      <w:proofErr w:type="spellStart"/>
      <w:r>
        <w:t>automation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elimination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</w:t>
      </w:r>
      <w:proofErr w:type="spellStart"/>
      <w:r>
        <w:t>implications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sought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and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.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and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called</w:t>
      </w:r>
      <w:proofErr w:type="spellEnd"/>
      <w:r>
        <w:t xml:space="preserve"> for.</w:t>
      </w:r>
    </w:p>
    <w:p w:rsidR="007D3CA2" w:rsidRDefault="007D3CA2" w:rsidP="007D3CA2">
      <w:r>
        <w:t xml:space="preserve">Fundamental digital </w:t>
      </w:r>
      <w:proofErr w:type="spellStart"/>
      <w:r>
        <w:t>competence</w:t>
      </w:r>
      <w:proofErr w:type="spellEnd"/>
      <w:r>
        <w:t xml:space="preserve"> is </w:t>
      </w:r>
      <w:proofErr w:type="spellStart"/>
      <w:r>
        <w:t>necessary</w:t>
      </w:r>
      <w:proofErr w:type="spellEnd"/>
      <w:r>
        <w:t xml:space="preserve"> for </w:t>
      </w:r>
      <w:proofErr w:type="spellStart"/>
      <w:r>
        <w:t>everyone</w:t>
      </w:r>
      <w:proofErr w:type="spellEnd"/>
      <w:r>
        <w:t xml:space="preserve">, and </w:t>
      </w:r>
      <w:proofErr w:type="spellStart"/>
      <w:r>
        <w:t>lifelong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more </w:t>
      </w:r>
      <w:proofErr w:type="spellStart"/>
      <w:r>
        <w:t>important</w:t>
      </w:r>
      <w:proofErr w:type="spellEnd"/>
      <w:r>
        <w:t xml:space="preserve"> in a digital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characterised</w:t>
      </w:r>
      <w:proofErr w:type="spellEnd"/>
      <w:r>
        <w:t xml:space="preserve"> by rapid </w:t>
      </w:r>
      <w:proofErr w:type="spellStart"/>
      <w:r>
        <w:t>change</w:t>
      </w:r>
      <w:proofErr w:type="spellEnd"/>
      <w:r>
        <w:t xml:space="preserve">. Students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must be </w:t>
      </w:r>
      <w:proofErr w:type="spellStart"/>
      <w:r>
        <w:t>prepared</w:t>
      </w:r>
      <w:proofErr w:type="spellEnd"/>
      <w:r>
        <w:t xml:space="preserve"> for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under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restructuring</w:t>
      </w:r>
      <w:proofErr w:type="spellEnd"/>
      <w:r>
        <w:t xml:space="preserve">. Good </w:t>
      </w:r>
      <w:proofErr w:type="spellStart"/>
      <w:r>
        <w:t>learning</w:t>
      </w:r>
      <w:proofErr w:type="spellEnd"/>
      <w:r>
        <w:t xml:space="preserve"> skills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essential</w:t>
      </w:r>
      <w:proofErr w:type="spellEnd"/>
      <w:r>
        <w:t xml:space="preserve"> for </w:t>
      </w:r>
      <w:proofErr w:type="spellStart"/>
      <w:r>
        <w:t>mastering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must be relevant for </w:t>
      </w:r>
      <w:proofErr w:type="spellStart"/>
      <w:r>
        <w:t>society’s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labour</w:t>
      </w:r>
      <w:proofErr w:type="spellEnd"/>
      <w:r>
        <w:t xml:space="preserve"> and </w:t>
      </w:r>
      <w:proofErr w:type="spellStart"/>
      <w:r>
        <w:t>competence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long-term, from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, it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for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to </w:t>
      </w:r>
      <w:proofErr w:type="spellStart"/>
      <w:r>
        <w:t>modify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campuses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digital </w:t>
      </w:r>
      <w:proofErr w:type="spellStart"/>
      <w:r>
        <w:t>infrastructure</w:t>
      </w:r>
      <w:proofErr w:type="spellEnd"/>
      <w:r>
        <w:t xml:space="preserve"> and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arenas.</w:t>
      </w:r>
    </w:p>
    <w:p w:rsidR="007D3CA2" w:rsidRDefault="007D3CA2" w:rsidP="007D3CA2">
      <w:r>
        <w:t xml:space="preserve">Technology </w:t>
      </w:r>
      <w:proofErr w:type="spellStart"/>
      <w:r>
        <w:t>exists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gramStart"/>
      <w:r>
        <w:t>to understand</w:t>
      </w:r>
      <w:proofErr w:type="gramEnd"/>
      <w:r>
        <w:t xml:space="preserve">. </w:t>
      </w:r>
      <w:proofErr w:type="spellStart"/>
      <w:r>
        <w:t>Humanities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science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voices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Norwegian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. Research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makes it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more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, and </w:t>
      </w:r>
      <w:proofErr w:type="spellStart"/>
      <w:r>
        <w:t>thus</w:t>
      </w:r>
      <w:proofErr w:type="spellEnd"/>
      <w:r>
        <w:t xml:space="preserve"> to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shifts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possible</w:t>
      </w:r>
      <w:proofErr w:type="spellEnd"/>
      <w:r>
        <w:t xml:space="preserve"> manner. It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is </w:t>
      </w:r>
      <w:proofErr w:type="spellStart"/>
      <w:r>
        <w:t>supported</w:t>
      </w:r>
      <w:proofErr w:type="spellEnd"/>
      <w:r>
        <w:t xml:space="preserve"> by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addresses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and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impacts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same time, </w:t>
      </w:r>
      <w:proofErr w:type="spellStart"/>
      <w:r>
        <w:t>natural</w:t>
      </w:r>
      <w:proofErr w:type="spellEnd"/>
      <w:r>
        <w:t xml:space="preserve"> scientists and </w:t>
      </w:r>
      <w:proofErr w:type="spellStart"/>
      <w:r>
        <w:t>technologists</w:t>
      </w:r>
      <w:proofErr w:type="spellEnd"/>
      <w:r>
        <w:t xml:space="preserve"> must be </w:t>
      </w:r>
      <w:proofErr w:type="spellStart"/>
      <w:r>
        <w:t>trained</w:t>
      </w:r>
      <w:proofErr w:type="spellEnd"/>
      <w:r>
        <w:t xml:space="preserve"> to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and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.</w:t>
      </w:r>
    </w:p>
    <w:p w:rsidR="007D3CA2" w:rsidRDefault="007D3CA2" w:rsidP="007D3CA2">
      <w:pPr>
        <w:pStyle w:val="Overskrift3"/>
      </w:pPr>
      <w:proofErr w:type="spellStart"/>
      <w:r>
        <w:t>Democratic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discourse</w:t>
      </w:r>
      <w:proofErr w:type="spellEnd"/>
    </w:p>
    <w:p w:rsidR="007D3CA2" w:rsidRDefault="007D3CA2" w:rsidP="007D3CA2">
      <w:r>
        <w:t xml:space="preserve">The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is </w:t>
      </w:r>
      <w:proofErr w:type="spellStart"/>
      <w:r>
        <w:t>characterised</w:t>
      </w:r>
      <w:proofErr w:type="spellEnd"/>
      <w:r>
        <w:t xml:space="preserve"> by an </w:t>
      </w:r>
      <w:proofErr w:type="spellStart"/>
      <w:r>
        <w:t>expanding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and </w:t>
      </w:r>
      <w:proofErr w:type="spellStart"/>
      <w:r>
        <w:t>participants</w:t>
      </w:r>
      <w:proofErr w:type="spellEnd"/>
      <w:r>
        <w:t xml:space="preserve">. The </w:t>
      </w:r>
      <w:proofErr w:type="spellStart"/>
      <w:r>
        <w:t>internet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media have </w:t>
      </w:r>
      <w:proofErr w:type="spellStart"/>
      <w:r>
        <w:t>lowered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barrier</w:t>
      </w:r>
      <w:proofErr w:type="spellEnd"/>
      <w:r>
        <w:t xml:space="preserve"> to </w:t>
      </w:r>
      <w:proofErr w:type="spellStart"/>
      <w:r>
        <w:t>sharing</w:t>
      </w:r>
      <w:proofErr w:type="spellEnd"/>
      <w:r>
        <w:t xml:space="preserve"> </w:t>
      </w:r>
      <w:proofErr w:type="spellStart"/>
      <w:r>
        <w:t>remarks</w:t>
      </w:r>
      <w:proofErr w:type="spellEnd"/>
      <w:r>
        <w:t xml:space="preserve"> and have </w:t>
      </w:r>
      <w:proofErr w:type="spellStart"/>
      <w:r>
        <w:t>come</w:t>
      </w:r>
      <w:proofErr w:type="spellEnd"/>
      <w:r>
        <w:t xml:space="preserve"> to play an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part in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. Facebook </w:t>
      </w:r>
      <w:proofErr w:type="spellStart"/>
      <w:r>
        <w:t>alone</w:t>
      </w:r>
      <w:proofErr w:type="spellEnd"/>
      <w:r>
        <w:t xml:space="preserve"> has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billion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is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for </w:t>
      </w:r>
      <w:proofErr w:type="spellStart"/>
      <w:r>
        <w:t>many</w:t>
      </w:r>
      <w:proofErr w:type="spellEnd"/>
      <w:r>
        <w:t xml:space="preserve">. This is part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larger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seek</w:t>
      </w:r>
      <w:proofErr w:type="spellEnd"/>
      <w:r>
        <w:t xml:space="preserve"> to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a matter </w:t>
      </w:r>
      <w:proofErr w:type="spellStart"/>
      <w:r>
        <w:t>of</w:t>
      </w:r>
      <w:proofErr w:type="spellEnd"/>
      <w:r>
        <w:t xml:space="preserve"> opinion, and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, alternative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and </w:t>
      </w:r>
      <w:proofErr w:type="spellStart"/>
      <w:proofErr w:type="gramStart"/>
      <w:r>
        <w:t>internet</w:t>
      </w:r>
      <w:proofErr w:type="spellEnd"/>
      <w:r>
        <w:t xml:space="preserve"> trolls</w:t>
      </w:r>
      <w:proofErr w:type="gramEnd"/>
      <w:r>
        <w:t xml:space="preserve">. It is </w:t>
      </w:r>
      <w:proofErr w:type="spellStart"/>
      <w:r>
        <w:t>challenging</w:t>
      </w:r>
      <w:proofErr w:type="spellEnd"/>
      <w:r>
        <w:t xml:space="preserve"> for media </w:t>
      </w:r>
      <w:proofErr w:type="spellStart"/>
      <w:r>
        <w:t>consumers</w:t>
      </w:r>
      <w:proofErr w:type="spellEnd"/>
      <w:r>
        <w:t xml:space="preserve"> to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and </w:t>
      </w:r>
      <w:proofErr w:type="spellStart"/>
      <w:r>
        <w:t>credible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more propaganda-like statements.</w:t>
      </w:r>
    </w:p>
    <w:p w:rsidR="007D3CA2" w:rsidRDefault="007D3CA2" w:rsidP="007D3CA2">
      <w:r>
        <w:t xml:space="preserve">At </w:t>
      </w:r>
      <w:proofErr w:type="spellStart"/>
      <w:r>
        <w:t>the</w:t>
      </w:r>
      <w:proofErr w:type="spellEnd"/>
      <w:r>
        <w:t xml:space="preserve"> same time,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media to </w:t>
      </w:r>
      <w:proofErr w:type="spellStart"/>
      <w:r>
        <w:t>differing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and </w:t>
      </w:r>
      <w:proofErr w:type="spellStart"/>
      <w:r>
        <w:t>nuanced</w:t>
      </w:r>
      <w:proofErr w:type="spellEnd"/>
      <w:r>
        <w:t xml:space="preserve"> arguments is </w:t>
      </w:r>
      <w:proofErr w:type="spellStart"/>
      <w:r>
        <w:t>diminishing</w:t>
      </w:r>
      <w:proofErr w:type="spellEnd"/>
      <w:r>
        <w:t xml:space="preserve">, due to </w:t>
      </w:r>
      <w:proofErr w:type="spellStart"/>
      <w:r>
        <w:t>individually</w:t>
      </w:r>
      <w:proofErr w:type="spellEnd"/>
      <w:r>
        <w:t xml:space="preserve"> </w:t>
      </w:r>
      <w:proofErr w:type="spellStart"/>
      <w:r>
        <w:t>tailored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. The business </w:t>
      </w:r>
      <w:proofErr w:type="spellStart"/>
      <w:r>
        <w:t>model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– Facebook, Google, Amazon, Microsoft, Apple – is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obtaining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data as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data </w:t>
      </w:r>
      <w:proofErr w:type="spellStart"/>
      <w:r>
        <w:t>are</w:t>
      </w:r>
      <w:proofErr w:type="spellEnd"/>
      <w:r>
        <w:t xml:space="preserve"> used to </w:t>
      </w:r>
      <w:proofErr w:type="spellStart"/>
      <w:r>
        <w:t>adapt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. The </w:t>
      </w:r>
      <w:proofErr w:type="spellStart"/>
      <w:r>
        <w:t>algorithms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to be trade </w:t>
      </w:r>
      <w:proofErr w:type="spellStart"/>
      <w:r>
        <w:t>secrets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>.</w:t>
      </w:r>
    </w:p>
    <w:p w:rsidR="007D3CA2" w:rsidRDefault="007D3CA2" w:rsidP="007D3CA2">
      <w:proofErr w:type="spellStart"/>
      <w:r>
        <w:t>Political</w:t>
      </w:r>
      <w:proofErr w:type="spellEnd"/>
      <w:r>
        <w:t xml:space="preserve"> </w:t>
      </w:r>
      <w:proofErr w:type="spellStart"/>
      <w:r>
        <w:t>players</w:t>
      </w:r>
      <w:proofErr w:type="spellEnd"/>
      <w:r>
        <w:t xml:space="preserve"> have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data to </w:t>
      </w:r>
      <w:proofErr w:type="spellStart"/>
      <w:r>
        <w:t>communicate</w:t>
      </w:r>
      <w:proofErr w:type="spellEnd"/>
      <w:r>
        <w:t xml:space="preserve"> more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to </w:t>
      </w:r>
      <w:proofErr w:type="spellStart"/>
      <w:r>
        <w:t>users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2016 US </w:t>
      </w:r>
      <w:proofErr w:type="spellStart"/>
      <w:r>
        <w:t>election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British </w:t>
      </w:r>
      <w:proofErr w:type="spellStart"/>
      <w:r>
        <w:t>consultancy</w:t>
      </w:r>
      <w:proofErr w:type="spellEnd"/>
      <w:r>
        <w:t xml:space="preserve"> Cambridge </w:t>
      </w:r>
      <w:proofErr w:type="spellStart"/>
      <w:r>
        <w:t>Analytica</w:t>
      </w:r>
      <w:proofErr w:type="spellEnd"/>
      <w:r>
        <w:t xml:space="preserve"> used Facebook </w:t>
      </w:r>
      <w:proofErr w:type="spellStart"/>
      <w:r>
        <w:t>user</w:t>
      </w:r>
      <w:proofErr w:type="spellEnd"/>
      <w:r>
        <w:t xml:space="preserve"> data in a manner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strongly</w:t>
      </w:r>
      <w:proofErr w:type="spellEnd"/>
      <w:r>
        <w:t xml:space="preserve"> </w:t>
      </w:r>
      <w:proofErr w:type="spellStart"/>
      <w:r>
        <w:t>criticised</w:t>
      </w:r>
      <w:proofErr w:type="spellEnd"/>
      <w:r>
        <w:t>.</w:t>
      </w:r>
      <w:r>
        <w:rPr>
          <w:vertAlign w:val="superscript"/>
        </w:rPr>
        <w:footnoteReference w:id="11"/>
      </w:r>
      <w:r>
        <w:t xml:space="preserve"> This case has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scepticism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data-driven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marketing</w:t>
      </w:r>
      <w:proofErr w:type="spellEnd"/>
      <w:r>
        <w:t xml:space="preserve">. In </w:t>
      </w:r>
      <w:proofErr w:type="spellStart"/>
      <w:r>
        <w:t>July</w:t>
      </w:r>
      <w:proofErr w:type="spellEnd"/>
      <w:r>
        <w:t xml:space="preserve"> 2018, </w:t>
      </w:r>
      <w:proofErr w:type="spellStart"/>
      <w:r>
        <w:t>the</w:t>
      </w:r>
      <w:proofErr w:type="spellEnd"/>
      <w:r>
        <w:t xml:space="preserve"> UK House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Digital, </w:t>
      </w:r>
      <w:proofErr w:type="spellStart"/>
      <w:r>
        <w:t>Culture</w:t>
      </w:r>
      <w:proofErr w:type="spellEnd"/>
      <w:r>
        <w:t xml:space="preserve">, Media and Sport Committee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influences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entails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in </w:t>
      </w:r>
      <w:proofErr w:type="spellStart"/>
      <w:r>
        <w:t>regulating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digital media landscape. </w:t>
      </w:r>
      <w:proofErr w:type="spellStart"/>
      <w:r>
        <w:t>Recommendations</w:t>
      </w:r>
      <w:proofErr w:type="spellEnd"/>
      <w:r>
        <w:t xml:space="preserve"> in </w:t>
      </w:r>
      <w:proofErr w:type="spellStart"/>
      <w:r>
        <w:lastRenderedPageBreak/>
        <w:t>the</w:t>
      </w:r>
      <w:proofErr w:type="spellEnd"/>
      <w:r>
        <w:t xml:space="preserve"> report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transparency</w:t>
      </w:r>
      <w:proofErr w:type="spellEnd"/>
      <w:r>
        <w:t xml:space="preserve">, providing training in digital skills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conducting</w:t>
      </w:r>
      <w:proofErr w:type="spellEnd"/>
      <w:r>
        <w:t xml:space="preserve"> more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  <w:r>
        <w:rPr>
          <w:vertAlign w:val="superscript"/>
        </w:rPr>
        <w:footnoteReference w:id="12"/>
      </w:r>
      <w:r>
        <w:t xml:space="preserve"> </w:t>
      </w:r>
    </w:p>
    <w:p w:rsidR="007D3CA2" w:rsidRDefault="007D3CA2" w:rsidP="007D3CA2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grounds</w:t>
      </w:r>
      <w:proofErr w:type="spellEnd"/>
      <w:r>
        <w:t xml:space="preserve"> for </w:t>
      </w:r>
      <w:proofErr w:type="spellStart"/>
      <w:r>
        <w:t>concern</w:t>
      </w:r>
      <w:proofErr w:type="spellEnd"/>
      <w:r>
        <w:t xml:space="preserve"> as </w:t>
      </w:r>
      <w:proofErr w:type="spellStart"/>
      <w:r>
        <w:t>regards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for </w:t>
      </w:r>
      <w:proofErr w:type="spellStart"/>
      <w:r>
        <w:t>public</w:t>
      </w:r>
      <w:proofErr w:type="spellEnd"/>
      <w:r>
        <w:t xml:space="preserve"> trust in </w:t>
      </w:r>
      <w:proofErr w:type="spellStart"/>
      <w:r>
        <w:t>research</w:t>
      </w:r>
      <w:proofErr w:type="spellEnd"/>
      <w:r>
        <w:t xml:space="preserve">.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well-considered</w:t>
      </w:r>
      <w:proofErr w:type="spellEnd"/>
      <w:r>
        <w:t xml:space="preserve">, </w:t>
      </w:r>
      <w:proofErr w:type="spellStart"/>
      <w:r>
        <w:t>balanced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, not </w:t>
      </w:r>
      <w:proofErr w:type="spellStart"/>
      <w:r>
        <w:t>least</w:t>
      </w:r>
      <w:proofErr w:type="spellEnd"/>
      <w:r>
        <w:t xml:space="preserve"> from </w:t>
      </w:r>
      <w:proofErr w:type="spellStart"/>
      <w:r>
        <w:t>academia</w:t>
      </w:r>
      <w:proofErr w:type="spellEnd"/>
      <w:r>
        <w:t xml:space="preserve">. </w:t>
      </w:r>
      <w:proofErr w:type="spellStart"/>
      <w:r>
        <w:t>Conspiracy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, </w:t>
      </w:r>
      <w:proofErr w:type="spellStart"/>
      <w:r>
        <w:t>planted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and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attempts</w:t>
      </w:r>
      <w:proofErr w:type="spellEnd"/>
      <w:r>
        <w:t xml:space="preserve"> to </w:t>
      </w:r>
      <w:proofErr w:type="spellStart"/>
      <w:r>
        <w:t>sow</w:t>
      </w:r>
      <w:proofErr w:type="spellEnd"/>
      <w:r>
        <w:t xml:space="preserve"> discord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must be </w:t>
      </w:r>
      <w:proofErr w:type="spellStart"/>
      <w:r>
        <w:t>dealt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in a </w:t>
      </w:r>
      <w:proofErr w:type="spellStart"/>
      <w:r>
        <w:t>systematic</w:t>
      </w:r>
      <w:proofErr w:type="spellEnd"/>
      <w:r>
        <w:t xml:space="preserve"> and </w:t>
      </w:r>
      <w:proofErr w:type="spellStart"/>
      <w:r>
        <w:t>objective</w:t>
      </w:r>
      <w:proofErr w:type="spellEnd"/>
      <w:r>
        <w:t xml:space="preserve"> manner. Research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unambiguous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makes it </w:t>
      </w:r>
      <w:proofErr w:type="spellStart"/>
      <w:r>
        <w:t>easy</w:t>
      </w:r>
      <w:proofErr w:type="spellEnd"/>
      <w:r>
        <w:t xml:space="preserve"> to </w:t>
      </w:r>
      <w:proofErr w:type="spellStart"/>
      <w:r>
        <w:t>cast</w:t>
      </w:r>
      <w:proofErr w:type="spellEnd"/>
      <w:r>
        <w:t xml:space="preserve"> </w:t>
      </w:r>
      <w:proofErr w:type="spellStart"/>
      <w:r>
        <w:t>doubt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:rsidR="007D3CA2" w:rsidRDefault="007D3CA2" w:rsidP="007D3CA2">
      <w:proofErr w:type="spellStart"/>
      <w:r>
        <w:t>Academia</w:t>
      </w:r>
      <w:proofErr w:type="spellEnd"/>
      <w:r>
        <w:t xml:space="preserve"> has </w:t>
      </w:r>
      <w:proofErr w:type="spellStart"/>
      <w:r>
        <w:t>traditionally</w:t>
      </w:r>
      <w:proofErr w:type="spellEnd"/>
      <w:r>
        <w:t xml:space="preserve"> </w:t>
      </w:r>
      <w:proofErr w:type="spellStart"/>
      <w:r>
        <w:t>enjoyed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credibility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longer be </w:t>
      </w:r>
      <w:proofErr w:type="spellStart"/>
      <w:r>
        <w:t>taken</w:t>
      </w:r>
      <w:proofErr w:type="spellEnd"/>
      <w:r>
        <w:t xml:space="preserve"> for </w:t>
      </w:r>
      <w:proofErr w:type="spellStart"/>
      <w:r>
        <w:t>granted</w:t>
      </w:r>
      <w:proofErr w:type="spellEnd"/>
      <w:r>
        <w:t xml:space="preserve">.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must </w:t>
      </w:r>
      <w:proofErr w:type="spellStart"/>
      <w:r>
        <w:t>work</w:t>
      </w:r>
      <w:proofErr w:type="spellEnd"/>
      <w:r>
        <w:t xml:space="preserve"> </w:t>
      </w:r>
      <w:proofErr w:type="gramStart"/>
      <w:r>
        <w:t>to preserve</w:t>
      </w:r>
      <w:proofErr w:type="gramEnd"/>
      <w:r>
        <w:t xml:space="preserve"> trust by </w:t>
      </w:r>
      <w:proofErr w:type="spellStart"/>
      <w:r>
        <w:t>communicating</w:t>
      </w:r>
      <w:proofErr w:type="spellEnd"/>
      <w:r>
        <w:t xml:space="preserve"> </w:t>
      </w:r>
      <w:proofErr w:type="spellStart"/>
      <w:r>
        <w:t>effectively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in a </w:t>
      </w:r>
      <w:proofErr w:type="spellStart"/>
      <w:r>
        <w:t>new</w:t>
      </w:r>
      <w:proofErr w:type="spellEnd"/>
      <w:r>
        <w:t xml:space="preserve"> media landscape.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fundamental norms for </w:t>
      </w:r>
      <w:proofErr w:type="spellStart"/>
      <w:r>
        <w:t>critical</w:t>
      </w:r>
      <w:proofErr w:type="spellEnd"/>
      <w:r>
        <w:t xml:space="preserve"> and fair </w:t>
      </w:r>
      <w:proofErr w:type="spellStart"/>
      <w:r>
        <w:t>discussion</w:t>
      </w:r>
      <w:proofErr w:type="spellEnd"/>
      <w:r>
        <w:t xml:space="preserve">, have a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is </w:t>
      </w:r>
      <w:proofErr w:type="spellStart"/>
      <w:r>
        <w:t>rooted</w:t>
      </w:r>
      <w:proofErr w:type="spellEnd"/>
      <w:r>
        <w:t xml:space="preserve"> in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fact</w:t>
      </w:r>
      <w:proofErr w:type="spellEnd"/>
      <w:r>
        <w:t xml:space="preserve"> and </w:t>
      </w:r>
      <w:proofErr w:type="spellStart"/>
      <w:r>
        <w:t>reliability</w:t>
      </w:r>
      <w:proofErr w:type="spellEnd"/>
      <w:r>
        <w:t xml:space="preserve">.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at </w:t>
      </w:r>
      <w:proofErr w:type="spellStart"/>
      <w:r>
        <w:t>large</w:t>
      </w:r>
      <w:proofErr w:type="spellEnd"/>
      <w:r>
        <w:t xml:space="preserve"> has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. The </w:t>
      </w:r>
      <w:proofErr w:type="spellStart"/>
      <w:r>
        <w:t>principles</w:t>
      </w:r>
      <w:proofErr w:type="spellEnd"/>
      <w:r>
        <w:t xml:space="preserve"> for </w:t>
      </w:r>
      <w:proofErr w:type="spellStart"/>
      <w:r>
        <w:t>Responsible</w:t>
      </w:r>
      <w:proofErr w:type="spellEnd"/>
      <w:r>
        <w:t xml:space="preserve"> Research and </w:t>
      </w:r>
      <w:proofErr w:type="spellStart"/>
      <w:r>
        <w:t>Innovation</w:t>
      </w:r>
      <w:proofErr w:type="spellEnd"/>
      <w:r>
        <w:t xml:space="preserve"> (RRI),</w:t>
      </w:r>
      <w:r>
        <w:rPr>
          <w:vertAlign w:val="superscript"/>
        </w:rPr>
        <w:footnoteReference w:id="13"/>
      </w:r>
      <w:r>
        <w:t xml:space="preserve"> </w:t>
      </w:r>
      <w:proofErr w:type="spellStart"/>
      <w:r>
        <w:t>adopted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European Parliament in 2014, stress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. This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openness</w:t>
      </w:r>
      <w:proofErr w:type="spellEnd"/>
      <w:r>
        <w:t xml:space="preserve"> and trust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and stakeholders in </w:t>
      </w:r>
      <w:proofErr w:type="spellStart"/>
      <w:r>
        <w:t>society</w:t>
      </w:r>
      <w:proofErr w:type="spellEnd"/>
      <w:r>
        <w:t xml:space="preserve">, and is </w:t>
      </w:r>
      <w:proofErr w:type="spellStart"/>
      <w:r>
        <w:t>essential</w:t>
      </w:r>
      <w:proofErr w:type="spellEnd"/>
      <w:r>
        <w:t xml:space="preserve"> for </w:t>
      </w:r>
      <w:proofErr w:type="spellStart"/>
      <w:r>
        <w:t>incorporating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.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to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and </w:t>
      </w:r>
      <w:proofErr w:type="spellStart"/>
      <w:r>
        <w:t>responsibility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perspective</w:t>
      </w:r>
      <w:proofErr w:type="spellEnd"/>
      <w:r>
        <w:t>.</w:t>
      </w:r>
      <w:r>
        <w:rPr>
          <w:vertAlign w:val="superscript"/>
        </w:rPr>
        <w:footnoteReference w:id="14"/>
      </w:r>
      <w:r>
        <w:t xml:space="preserve"> </w:t>
      </w:r>
    </w:p>
    <w:p w:rsidR="007D3CA2" w:rsidRDefault="007D3CA2" w:rsidP="007D3CA2">
      <w:r>
        <w:t xml:space="preserve">The </w:t>
      </w:r>
      <w:proofErr w:type="spellStart"/>
      <w:r>
        <w:t>education</w:t>
      </w:r>
      <w:proofErr w:type="spellEnd"/>
      <w:r>
        <w:t xml:space="preserve"> system, from </w:t>
      </w:r>
      <w:proofErr w:type="spellStart"/>
      <w:r>
        <w:t>kindergarten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, has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to play in </w:t>
      </w:r>
      <w:proofErr w:type="spellStart"/>
      <w:r>
        <w:t>efforts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protect</w:t>
      </w:r>
      <w:proofErr w:type="spellEnd"/>
      <w:r>
        <w:t xml:space="preserve"> human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equality</w:t>
      </w:r>
      <w:proofErr w:type="spellEnd"/>
      <w:r>
        <w:t xml:space="preserve"> and </w:t>
      </w:r>
      <w:proofErr w:type="spellStart"/>
      <w:r>
        <w:t>inclusion</w:t>
      </w:r>
      <w:proofErr w:type="spellEnd"/>
      <w:r>
        <w:t xml:space="preserve"> and </w:t>
      </w:r>
      <w:proofErr w:type="spellStart"/>
      <w:r>
        <w:t>counteract</w:t>
      </w:r>
      <w:proofErr w:type="spellEnd"/>
      <w:r>
        <w:t xml:space="preserve"> </w:t>
      </w:r>
      <w:proofErr w:type="spellStart"/>
      <w:r>
        <w:t>radicalisation</w:t>
      </w:r>
      <w:proofErr w:type="spellEnd"/>
      <w:r>
        <w:t xml:space="preserve">. The </w:t>
      </w:r>
      <w:proofErr w:type="spellStart"/>
      <w:r>
        <w:t>education</w:t>
      </w:r>
      <w:proofErr w:type="spellEnd"/>
      <w:r>
        <w:t xml:space="preserve"> system has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preventing hate </w:t>
      </w:r>
      <w:proofErr w:type="spellStart"/>
      <w:r>
        <w:t>speech</w:t>
      </w:r>
      <w:proofErr w:type="spellEnd"/>
      <w:r>
        <w:t>.</w:t>
      </w:r>
      <w:r>
        <w:rPr>
          <w:vertAlign w:val="superscript"/>
        </w:rPr>
        <w:footnoteReference w:id="15"/>
      </w:r>
      <w:r>
        <w:t xml:space="preserve"> It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cultivate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, digital </w:t>
      </w:r>
      <w:proofErr w:type="spellStart"/>
      <w:r>
        <w:t>judgement</w:t>
      </w:r>
      <w:proofErr w:type="spellEnd"/>
      <w:r>
        <w:t xml:space="preserve">, </w:t>
      </w:r>
      <w:proofErr w:type="spellStart"/>
      <w:r>
        <w:t>democracy</w:t>
      </w:r>
      <w:proofErr w:type="spellEnd"/>
      <w:r>
        <w:t xml:space="preserve"> and </w:t>
      </w:r>
      <w:proofErr w:type="spellStart"/>
      <w:r>
        <w:t>equality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all </w:t>
      </w:r>
      <w:proofErr w:type="spellStart"/>
      <w:r>
        <w:t>disciplines</w:t>
      </w:r>
      <w:proofErr w:type="spellEnd"/>
      <w:r>
        <w:t>.</w:t>
      </w:r>
      <w:r>
        <w:rPr>
          <w:vertAlign w:val="superscript"/>
        </w:rPr>
        <w:footnoteReference w:id="16"/>
      </w:r>
      <w:r>
        <w:t xml:space="preserve"> Students must </w:t>
      </w:r>
      <w:proofErr w:type="spellStart"/>
      <w:r>
        <w:t>learn</w:t>
      </w:r>
      <w:proofErr w:type="spellEnd"/>
      <w:r>
        <w:t xml:space="preserve"> to </w:t>
      </w:r>
      <w:proofErr w:type="spellStart"/>
      <w:r>
        <w:t>navigate</w:t>
      </w:r>
      <w:proofErr w:type="spellEnd"/>
      <w:r>
        <w:t xml:space="preserve"> a </w:t>
      </w:r>
      <w:proofErr w:type="spellStart"/>
      <w:r>
        <w:t>complex</w:t>
      </w:r>
      <w:proofErr w:type="spellEnd"/>
      <w:r>
        <w:t xml:space="preserve"> landscape in </w:t>
      </w:r>
      <w:proofErr w:type="spellStart"/>
      <w:r>
        <w:t>which</w:t>
      </w:r>
      <w:proofErr w:type="spellEnd"/>
      <w:r>
        <w:t xml:space="preserve"> it is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–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– to be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evaluate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critically</w:t>
      </w:r>
      <w:proofErr w:type="spellEnd"/>
      <w:r>
        <w:t xml:space="preserve"> and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from propaganda.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must be given training in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and </w:t>
      </w:r>
      <w:proofErr w:type="spellStart"/>
      <w:r>
        <w:t>methods</w:t>
      </w:r>
      <w:proofErr w:type="spellEnd"/>
      <w:r>
        <w:t>.</w:t>
      </w:r>
    </w:p>
    <w:p w:rsidR="007D3CA2" w:rsidRDefault="007D3CA2" w:rsidP="007D3CA2">
      <w:proofErr w:type="spellStart"/>
      <w:r>
        <w:t>Alongside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media, an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 and a </w:t>
      </w:r>
      <w:proofErr w:type="spellStart"/>
      <w:r>
        <w:t>strong</w:t>
      </w:r>
      <w:proofErr w:type="spellEnd"/>
      <w:r>
        <w:t xml:space="preserve"> non-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constitute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basis for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and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, and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Changes</w:t>
      </w:r>
      <w:proofErr w:type="spellEnd"/>
      <w:r>
        <w:t xml:space="preserve"> taking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digitalisation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discourse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media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explored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>.</w:t>
      </w:r>
    </w:p>
    <w:p w:rsidR="007D3CA2" w:rsidRDefault="007D3CA2" w:rsidP="007D3CA2">
      <w:pPr>
        <w:pStyle w:val="Overskrift3"/>
      </w:pPr>
      <w:r>
        <w:t xml:space="preserve">Norway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</w:p>
    <w:p w:rsidR="007D3CA2" w:rsidRDefault="007D3CA2" w:rsidP="007D3CA2">
      <w:r>
        <w:t xml:space="preserve">In an age </w:t>
      </w:r>
      <w:proofErr w:type="spellStart"/>
      <w:r>
        <w:t>characterised</w:t>
      </w:r>
      <w:proofErr w:type="spellEnd"/>
      <w:r>
        <w:t xml:space="preserve"> by </w:t>
      </w:r>
      <w:proofErr w:type="spellStart"/>
      <w:r>
        <w:t>globalisation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trade, </w:t>
      </w:r>
      <w:proofErr w:type="spellStart"/>
      <w:r>
        <w:t>migration</w:t>
      </w:r>
      <w:proofErr w:type="spellEnd"/>
      <w:r>
        <w:t xml:space="preserve"> and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Norway is part </w:t>
      </w:r>
      <w:proofErr w:type="spellStart"/>
      <w:r>
        <w:t>of</w:t>
      </w:r>
      <w:proofErr w:type="spellEnd"/>
      <w:r>
        <w:t xml:space="preserve"> a global, Western, European and Nordic </w:t>
      </w:r>
      <w:proofErr w:type="spellStart"/>
      <w:r>
        <w:t>community</w:t>
      </w:r>
      <w:proofErr w:type="spellEnd"/>
      <w:r>
        <w:t xml:space="preserve">. Like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Norway is </w:t>
      </w:r>
      <w:proofErr w:type="spellStart"/>
      <w:r>
        <w:t>facing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for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, </w:t>
      </w:r>
      <w:proofErr w:type="spellStart"/>
      <w:r>
        <w:t>wide</w:t>
      </w:r>
      <w:proofErr w:type="spellEnd"/>
      <w:r>
        <w:t xml:space="preserve">-ranging </w:t>
      </w:r>
      <w:proofErr w:type="spellStart"/>
      <w:r>
        <w:t>cultural</w:t>
      </w:r>
      <w:proofErr w:type="spellEnd"/>
      <w:r>
        <w:t xml:space="preserve">, </w:t>
      </w:r>
      <w:proofErr w:type="spellStart"/>
      <w:r>
        <w:t>social</w:t>
      </w:r>
      <w:proofErr w:type="spellEnd"/>
      <w:r>
        <w:t xml:space="preserve"> and global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or global in </w:t>
      </w:r>
      <w:proofErr w:type="spellStart"/>
      <w:r>
        <w:t>essence</w:t>
      </w:r>
      <w:proofErr w:type="spellEnd"/>
      <w:r>
        <w:t xml:space="preserve">, and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comparative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and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recognised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</w:p>
    <w:p w:rsidR="007D3CA2" w:rsidRDefault="007D3CA2" w:rsidP="007D3CA2">
      <w:r>
        <w:lastRenderedPageBreak/>
        <w:t xml:space="preserve">Financial,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in Europe and </w:t>
      </w:r>
      <w:proofErr w:type="spellStart"/>
      <w:r>
        <w:t>other</w:t>
      </w:r>
      <w:proofErr w:type="spellEnd"/>
      <w:r>
        <w:t xml:space="preserve">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perceived</w:t>
      </w:r>
      <w:proofErr w:type="spellEnd"/>
      <w:r>
        <w:t xml:space="preserve"> as major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in Norway. Research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is </w:t>
      </w:r>
      <w:proofErr w:type="spellStart"/>
      <w:r>
        <w:t>important</w:t>
      </w:r>
      <w:proofErr w:type="spellEnd"/>
      <w:r>
        <w:t xml:space="preserve">. The UK </w:t>
      </w:r>
      <w:proofErr w:type="spellStart"/>
      <w:r>
        <w:t>decision</w:t>
      </w:r>
      <w:proofErr w:type="spellEnd"/>
      <w:r>
        <w:t xml:space="preserve"> to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may</w:t>
      </w:r>
      <w:proofErr w:type="spellEnd"/>
      <w:r>
        <w:t xml:space="preserve"> lead to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for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is </w:t>
      </w:r>
      <w:proofErr w:type="spellStart"/>
      <w:r>
        <w:t>concerned</w:t>
      </w:r>
      <w:proofErr w:type="spellEnd"/>
      <w:r>
        <w:t xml:space="preserve">.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reaches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and </w:t>
      </w:r>
      <w:proofErr w:type="spellStart"/>
      <w:r>
        <w:t>other</w:t>
      </w:r>
      <w:proofErr w:type="spellEnd"/>
      <w:r>
        <w:t xml:space="preserve"> partners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Brexit</w:t>
      </w:r>
      <w:proofErr w:type="spellEnd"/>
      <w:r>
        <w:t xml:space="preserve">. </w:t>
      </w:r>
      <w:proofErr w:type="spellStart"/>
      <w:r>
        <w:t>Another</w:t>
      </w:r>
      <w:proofErr w:type="spellEnd"/>
      <w:r>
        <w:t xml:space="preserve"> area </w:t>
      </w:r>
      <w:proofErr w:type="spellStart"/>
      <w:r>
        <w:t>of</w:t>
      </w:r>
      <w:proofErr w:type="spellEnd"/>
      <w:r>
        <w:t xml:space="preserve"> major </w:t>
      </w:r>
      <w:proofErr w:type="spellStart"/>
      <w:r>
        <w:t>significance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China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strongest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US. China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in </w:t>
      </w:r>
      <w:proofErr w:type="spellStart"/>
      <w:r>
        <w:t>publications</w:t>
      </w:r>
      <w:proofErr w:type="spellEnd"/>
      <w:r>
        <w:t xml:space="preserve">. China is </w:t>
      </w:r>
      <w:proofErr w:type="spellStart"/>
      <w:r>
        <w:t>defined</w:t>
      </w:r>
      <w:proofErr w:type="spellEnd"/>
      <w:r>
        <w:t xml:space="preserve"> 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prioritised</w:t>
      </w:r>
      <w:proofErr w:type="spellEnd"/>
      <w:r>
        <w:t xml:space="preserve"> partner </w:t>
      </w:r>
      <w:proofErr w:type="spellStart"/>
      <w:r>
        <w:t>countries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Panorama </w:t>
      </w:r>
      <w:proofErr w:type="spellStart"/>
      <w:r>
        <w:t>Strategy</w:t>
      </w:r>
      <w:proofErr w:type="spellEnd"/>
      <w:r>
        <w:t xml:space="preserve">. In spring 2018, Norway and China </w:t>
      </w:r>
      <w:proofErr w:type="spellStart"/>
      <w:r>
        <w:t>signed</w:t>
      </w:r>
      <w:proofErr w:type="spellEnd"/>
      <w:r>
        <w:t xml:space="preserve"> an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and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have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level</w:t>
      </w:r>
      <w:proofErr w:type="spellEnd"/>
      <w:r>
        <w:t>.</w:t>
      </w:r>
    </w:p>
    <w:p w:rsidR="007D3CA2" w:rsidRDefault="007D3CA2" w:rsidP="007D3CA2">
      <w:r>
        <w:t xml:space="preserve">Global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lead to </w:t>
      </w:r>
      <w:proofErr w:type="spellStart"/>
      <w:r>
        <w:t>uncertainty</w:t>
      </w:r>
      <w:proofErr w:type="spellEnd"/>
      <w:r>
        <w:t xml:space="preserve"> and </w:t>
      </w:r>
      <w:proofErr w:type="spellStart"/>
      <w:r>
        <w:t>weaken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expand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risk and </w:t>
      </w:r>
      <w:proofErr w:type="spellStart"/>
      <w:r>
        <w:t>vulnerability</w:t>
      </w:r>
      <w:proofErr w:type="spellEnd"/>
      <w:r>
        <w:t xml:space="preserve"> in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ever-</w:t>
      </w:r>
      <w:proofErr w:type="spellStart"/>
      <w:r>
        <w:t>accelerating</w:t>
      </w:r>
      <w:proofErr w:type="spellEnd"/>
      <w:r>
        <w:t xml:space="preserve"> pace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urbanisation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have led to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to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landslides</w:t>
      </w:r>
      <w:proofErr w:type="spellEnd"/>
      <w:r>
        <w:t xml:space="preserve">, </w:t>
      </w:r>
      <w:proofErr w:type="spellStart"/>
      <w:r>
        <w:t>flooding</w:t>
      </w:r>
      <w:proofErr w:type="spellEnd"/>
      <w:r>
        <w:t xml:space="preserve">, storms and </w:t>
      </w:r>
      <w:proofErr w:type="spellStart"/>
      <w:r>
        <w:t>extreme</w:t>
      </w:r>
      <w:proofErr w:type="spellEnd"/>
      <w:r>
        <w:t xml:space="preserve"> </w:t>
      </w:r>
      <w:proofErr w:type="spellStart"/>
      <w:r>
        <w:t>temperatures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in turn </w:t>
      </w:r>
      <w:proofErr w:type="spellStart"/>
      <w:r>
        <w:t>may</w:t>
      </w:r>
      <w:proofErr w:type="spellEnd"/>
      <w:r>
        <w:t xml:space="preserve"> pose </w:t>
      </w:r>
      <w:proofErr w:type="spellStart"/>
      <w:r>
        <w:t>threats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and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and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.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ensuing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to digital management systems have led to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vulnerabilities</w:t>
      </w:r>
      <w:proofErr w:type="spellEnd"/>
      <w:r>
        <w:t xml:space="preserve"> and risks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natural</w:t>
      </w:r>
      <w:proofErr w:type="spellEnd"/>
      <w:r>
        <w:t xml:space="preserve"> disasters,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or human </w:t>
      </w:r>
      <w:proofErr w:type="spellStart"/>
      <w:r>
        <w:t>error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extremism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 have </w:t>
      </w:r>
      <w:proofErr w:type="spellStart"/>
      <w:r>
        <w:t>grown</w:t>
      </w:r>
      <w:proofErr w:type="spellEnd"/>
      <w:r>
        <w:t xml:space="preserve"> more </w:t>
      </w:r>
      <w:proofErr w:type="spellStart"/>
      <w:r>
        <w:t>complex</w:t>
      </w:r>
      <w:proofErr w:type="spellEnd"/>
      <w:r>
        <w:t xml:space="preserve">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. This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severely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 </w:t>
      </w:r>
      <w:proofErr w:type="spellStart"/>
      <w:r>
        <w:t>society’s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it </w:t>
      </w:r>
      <w:proofErr w:type="spellStart"/>
      <w:r>
        <w:t>calls</w:t>
      </w:r>
      <w:proofErr w:type="spellEnd"/>
      <w:r>
        <w:t xml:space="preserve"> for </w:t>
      </w:r>
      <w:proofErr w:type="spellStart"/>
      <w:r>
        <w:t>preparedness</w:t>
      </w:r>
      <w:proofErr w:type="spellEnd"/>
      <w:r>
        <w:t xml:space="preserve">,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and </w:t>
      </w:r>
      <w:proofErr w:type="spellStart"/>
      <w:r>
        <w:t>surveillance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in turn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diminish</w:t>
      </w:r>
      <w:proofErr w:type="spellEnd"/>
      <w:r>
        <w:t xml:space="preserve"> trust,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</w:t>
      </w:r>
      <w:proofErr w:type="gramStart"/>
      <w:r>
        <w:t>to understand</w:t>
      </w:r>
      <w:proofErr w:type="gram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design and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disproportionately</w:t>
      </w:r>
      <w:proofErr w:type="spellEnd"/>
      <w:r>
        <w:t xml:space="preserve"> </w:t>
      </w:r>
      <w:proofErr w:type="spellStart"/>
      <w:r>
        <w:t>affecting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values</w:t>
      </w:r>
      <w:proofErr w:type="spellEnd"/>
      <w:r>
        <w:t>.</w:t>
      </w:r>
    </w:p>
    <w:p w:rsidR="007D3CA2" w:rsidRDefault="007D3CA2" w:rsidP="007D3CA2">
      <w:r>
        <w:t xml:space="preserve">Good integrative </w:t>
      </w:r>
      <w:proofErr w:type="spellStart"/>
      <w:r>
        <w:t>measures</w:t>
      </w:r>
      <w:proofErr w:type="spellEnd"/>
      <w:r>
        <w:t xml:space="preserve"> and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and </w:t>
      </w:r>
      <w:proofErr w:type="spellStart"/>
      <w:r>
        <w:t>civic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for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problems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migration</w:t>
      </w:r>
      <w:proofErr w:type="spellEnd"/>
      <w:r>
        <w:t xml:space="preserve">, </w:t>
      </w:r>
      <w:proofErr w:type="spellStart"/>
      <w:r>
        <w:t>inequality</w:t>
      </w:r>
      <w:proofErr w:type="spellEnd"/>
      <w:r>
        <w:t xml:space="preserve"> and </w:t>
      </w:r>
      <w:proofErr w:type="spellStart"/>
      <w:r>
        <w:t>socio-economic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and </w:t>
      </w:r>
      <w:proofErr w:type="spellStart"/>
      <w:r>
        <w:t>drop-out</w:t>
      </w:r>
      <w:proofErr w:type="spellEnd"/>
      <w:r>
        <w:t xml:space="preserve"> from </w:t>
      </w:r>
      <w:proofErr w:type="spellStart"/>
      <w:r>
        <w:t>education</w:t>
      </w:r>
      <w:proofErr w:type="spellEnd"/>
      <w:r>
        <w:t xml:space="preserve">. In an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citizens</w:t>
      </w:r>
      <w:proofErr w:type="spellEnd"/>
      <w:r>
        <w:t xml:space="preserve"> have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trust in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.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knowledge-based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and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in order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, </w:t>
      </w:r>
      <w:proofErr w:type="spellStart"/>
      <w:r>
        <w:t>counteract</w:t>
      </w:r>
      <w:proofErr w:type="spellEnd"/>
      <w:r>
        <w:t xml:space="preserve"> </w:t>
      </w:r>
      <w:proofErr w:type="spellStart"/>
      <w:r>
        <w:t>unacceptable</w:t>
      </w:r>
      <w:proofErr w:type="spellEnd"/>
      <w:r>
        <w:t xml:space="preserve"> </w:t>
      </w:r>
      <w:proofErr w:type="spellStart"/>
      <w:r>
        <w:t>inequalities</w:t>
      </w:r>
      <w:proofErr w:type="spellEnd"/>
      <w:r>
        <w:t xml:space="preserve"> and </w:t>
      </w:r>
      <w:proofErr w:type="spellStart"/>
      <w:r>
        <w:t>safeguard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>.</w:t>
      </w:r>
    </w:p>
    <w:p w:rsidR="007D3CA2" w:rsidRDefault="007D3CA2" w:rsidP="007D3CA2">
      <w:pPr>
        <w:pStyle w:val="Overskrift2"/>
      </w:pPr>
      <w:r>
        <w:t>Status</w:t>
      </w:r>
    </w:p>
    <w:p w:rsidR="007D3CA2" w:rsidRDefault="007D3CA2" w:rsidP="007D3CA2">
      <w:pPr>
        <w:pStyle w:val="Overskrift3"/>
      </w:pPr>
      <w:r>
        <w:t xml:space="preserve">Norway as a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nation</w:t>
      </w:r>
      <w:proofErr w:type="spellEnd"/>
    </w:p>
    <w:p w:rsidR="007D3CA2" w:rsidRDefault="007D3CA2" w:rsidP="007D3CA2">
      <w:r>
        <w:t xml:space="preserve">Norway has </w:t>
      </w:r>
      <w:proofErr w:type="spellStart"/>
      <w:r>
        <w:t>a</w:t>
      </w:r>
      <w:proofErr w:type="spellEnd"/>
      <w:r>
        <w:t xml:space="preserve"> solid basis for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, </w:t>
      </w:r>
      <w:proofErr w:type="spellStart"/>
      <w:r>
        <w:t>financial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The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is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2016 </w:t>
      </w:r>
      <w:proofErr w:type="spellStart"/>
      <w:r>
        <w:t>figures</w:t>
      </w:r>
      <w:proofErr w:type="spellEnd"/>
      <w:r>
        <w:t xml:space="preserve"> from </w:t>
      </w:r>
      <w:proofErr w:type="spellStart"/>
      <w:r>
        <w:t>Statistics</w:t>
      </w:r>
      <w:proofErr w:type="spellEnd"/>
      <w:r>
        <w:t xml:space="preserve"> Norway, 43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ages </w:t>
      </w:r>
      <w:proofErr w:type="spellStart"/>
      <w:r>
        <w:t>of</w:t>
      </w:r>
      <w:proofErr w:type="spellEnd"/>
      <w:r>
        <w:t xml:space="preserve"> 25 and 64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This is </w:t>
      </w:r>
      <w:proofErr w:type="spellStart"/>
      <w:r>
        <w:t>on</w:t>
      </w:r>
      <w:proofErr w:type="spellEnd"/>
      <w:r>
        <w:t xml:space="preserve"> a par </w:t>
      </w:r>
      <w:proofErr w:type="spellStart"/>
      <w:r>
        <w:t>with</w:t>
      </w:r>
      <w:proofErr w:type="spellEnd"/>
      <w:r>
        <w:t xml:space="preserve"> Finland and </w:t>
      </w:r>
      <w:proofErr w:type="spellStart"/>
      <w:r>
        <w:t>Sweden</w:t>
      </w:r>
      <w:proofErr w:type="spellEnd"/>
      <w:r>
        <w:t xml:space="preserve">,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Denmark</w:t>
      </w:r>
      <w:proofErr w:type="spellEnd"/>
      <w:r>
        <w:t xml:space="preserve">. </w:t>
      </w:r>
      <w:proofErr w:type="spellStart"/>
      <w:r>
        <w:t>Graduates</w:t>
      </w:r>
      <w:proofErr w:type="spellEnd"/>
      <w:r>
        <w:t xml:space="preserve"> from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well-suited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labour-market’s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The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graduate</w:t>
      </w:r>
      <w:proofErr w:type="spellEnd"/>
      <w:r>
        <w:t xml:space="preserve"> surveys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Nordic </w:t>
      </w:r>
      <w:proofErr w:type="spellStart"/>
      <w:r>
        <w:t>Institute</w:t>
      </w:r>
      <w:proofErr w:type="spellEnd"/>
      <w:r>
        <w:t xml:space="preserve"> for Studies in </w:t>
      </w:r>
      <w:proofErr w:type="spellStart"/>
      <w:r>
        <w:t>Innovation</w:t>
      </w:r>
      <w:proofErr w:type="spellEnd"/>
      <w:r>
        <w:t xml:space="preserve">, Research and </w:t>
      </w:r>
      <w:proofErr w:type="spellStart"/>
      <w:r>
        <w:t>Education</w:t>
      </w:r>
      <w:proofErr w:type="spellEnd"/>
      <w:r>
        <w:t xml:space="preserve"> show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unemployment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master’s</w:t>
      </w:r>
      <w:proofErr w:type="spellEnd"/>
      <w:r>
        <w:t xml:space="preserve"> </w:t>
      </w:r>
      <w:proofErr w:type="spellStart"/>
      <w:r>
        <w:t>graduates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graduation</w:t>
      </w:r>
      <w:proofErr w:type="spellEnd"/>
      <w:r>
        <w:t xml:space="preserve"> is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vast </w:t>
      </w:r>
      <w:proofErr w:type="spellStart"/>
      <w:r>
        <w:t>majority</w:t>
      </w:r>
      <w:proofErr w:type="spellEnd"/>
      <w:r>
        <w:t xml:space="preserve"> have </w:t>
      </w:r>
      <w:proofErr w:type="spellStart"/>
      <w:r>
        <w:t>found</w:t>
      </w:r>
      <w:proofErr w:type="spellEnd"/>
      <w:r>
        <w:t xml:space="preserve"> relevant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variation</w:t>
      </w:r>
      <w:proofErr w:type="spellEnd"/>
      <w:r>
        <w:t xml:space="preserve"> in </w:t>
      </w:r>
      <w:proofErr w:type="spellStart"/>
      <w:r>
        <w:t>adaptation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and over time.</w:t>
      </w:r>
      <w:r>
        <w:rPr>
          <w:vertAlign w:val="superscript"/>
        </w:rPr>
        <w:footnoteReference w:id="17"/>
      </w:r>
      <w:r>
        <w:t xml:space="preserve"> At </w:t>
      </w:r>
      <w:proofErr w:type="spellStart"/>
      <w:r>
        <w:t>the</w:t>
      </w:r>
      <w:proofErr w:type="spellEnd"/>
      <w:r>
        <w:t xml:space="preserve"> same time, </w:t>
      </w:r>
      <w:proofErr w:type="spellStart"/>
      <w:r>
        <w:t>the</w:t>
      </w:r>
      <w:proofErr w:type="spellEnd"/>
      <w:r>
        <w:t xml:space="preserve"> rapid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an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continuing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7D3CA2" w:rsidRDefault="007D3CA2" w:rsidP="007D3CA2">
      <w:r>
        <w:t xml:space="preserve">Norway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highest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it lags </w:t>
      </w:r>
      <w:proofErr w:type="spellStart"/>
      <w:r>
        <w:t>somewhat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Nordic </w:t>
      </w:r>
      <w:proofErr w:type="spellStart"/>
      <w:r>
        <w:t>neighbours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(R&amp;D) </w:t>
      </w:r>
      <w:proofErr w:type="spellStart"/>
      <w:r>
        <w:t>expenditures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2005–2015 rose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Nordic </w:t>
      </w:r>
      <w:proofErr w:type="spellStart"/>
      <w:r>
        <w:t>countries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OECD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South Korea </w:t>
      </w:r>
      <w:proofErr w:type="spellStart"/>
      <w:r>
        <w:t>allocates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Norway to R&amp;D 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as a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GDP. Scientific </w:t>
      </w:r>
      <w:proofErr w:type="spellStart"/>
      <w:r>
        <w:t>publication</w:t>
      </w:r>
      <w:proofErr w:type="spellEnd"/>
      <w:r>
        <w:t xml:space="preserve"> by Norwegian </w:t>
      </w:r>
      <w:proofErr w:type="spellStart"/>
      <w:r>
        <w:t>researchers</w:t>
      </w:r>
      <w:proofErr w:type="spellEnd"/>
      <w:r>
        <w:t xml:space="preserve"> has </w:t>
      </w:r>
      <w:proofErr w:type="spellStart"/>
      <w:r>
        <w:t>moved</w:t>
      </w:r>
      <w:proofErr w:type="spellEnd"/>
      <w:r>
        <w:t xml:space="preserve"> in a positive </w:t>
      </w:r>
      <w:proofErr w:type="spellStart"/>
      <w:r>
        <w:t>direction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last 10 to 15 </w:t>
      </w:r>
      <w:proofErr w:type="spellStart"/>
      <w:r>
        <w:lastRenderedPageBreak/>
        <w:t>years</w:t>
      </w:r>
      <w:proofErr w:type="spellEnd"/>
      <w:r>
        <w:t xml:space="preserve">. Norway is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publishes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per </w:t>
      </w:r>
      <w:proofErr w:type="spellStart"/>
      <w:r>
        <w:t>capita</w:t>
      </w:r>
      <w:proofErr w:type="spellEnd"/>
      <w:r>
        <w:t xml:space="preserve">, and Norwegian </w:t>
      </w:r>
      <w:proofErr w:type="spellStart"/>
      <w:r>
        <w:t>articles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cited</w:t>
      </w:r>
      <w:proofErr w:type="spellEnd"/>
      <w:r>
        <w:t xml:space="preserve"> more </w:t>
      </w:r>
      <w:proofErr w:type="spellStart"/>
      <w:r>
        <w:t>frequently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average</w:t>
      </w:r>
      <w:proofErr w:type="spellEnd"/>
      <w:r>
        <w:t xml:space="preserve">. This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Norwegian </w:t>
      </w:r>
      <w:proofErr w:type="spellStart"/>
      <w:r>
        <w:t>researchers</w:t>
      </w:r>
      <w:proofErr w:type="spellEnd"/>
      <w:r>
        <w:t xml:space="preserve"> have </w:t>
      </w:r>
      <w:proofErr w:type="spellStart"/>
      <w:r>
        <w:t>gained</w:t>
      </w:r>
      <w:proofErr w:type="spellEnd"/>
      <w:r>
        <w:t xml:space="preserve"> a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European </w:t>
      </w:r>
      <w:proofErr w:type="spellStart"/>
      <w:r>
        <w:t>Commission’s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ranking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in European </w:t>
      </w:r>
      <w:proofErr w:type="spellStart"/>
      <w:r>
        <w:t>countries</w:t>
      </w:r>
      <w:proofErr w:type="spellEnd"/>
      <w:r>
        <w:t xml:space="preserve">, Norway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as a «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innovator</w:t>
      </w:r>
      <w:proofErr w:type="spellEnd"/>
      <w:r>
        <w:rPr>
          <w:rStyle w:val="kursiv"/>
          <w:sz w:val="21"/>
          <w:szCs w:val="21"/>
        </w:rPr>
        <w:t>»</w:t>
      </w:r>
      <w:r>
        <w:t xml:space="preserve"> in 2018.</w:t>
      </w:r>
      <w:r>
        <w:rPr>
          <w:rStyle w:val="skrift-hevet"/>
          <w:sz w:val="21"/>
          <w:szCs w:val="21"/>
        </w:rPr>
        <w:footnoteReference w:id="18"/>
      </w:r>
    </w:p>
    <w:p w:rsidR="007D3CA2" w:rsidRDefault="007D3CA2" w:rsidP="007D3CA2">
      <w:pPr>
        <w:pStyle w:val="Overskrift3"/>
      </w:pPr>
      <w:proofErr w:type="spellStart"/>
      <w:r>
        <w:t>Follow</w:t>
      </w:r>
      <w:proofErr w:type="spellEnd"/>
      <w:r>
        <w:t xml:space="preserve">-up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 </w:t>
      </w:r>
    </w:p>
    <w:p w:rsidR="007D3CA2" w:rsidRDefault="007D3CA2" w:rsidP="007D3CA2">
      <w:r>
        <w:t xml:space="preserve">The first long-term plan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. It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predictability</w:t>
      </w:r>
      <w:proofErr w:type="spellEnd"/>
      <w:r>
        <w:t xml:space="preserve"> and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promises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in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areas over a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During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2015–2018, </w:t>
      </w:r>
      <w:proofErr w:type="spellStart"/>
      <w:r>
        <w:t>the</w:t>
      </w:r>
      <w:proofErr w:type="spellEnd"/>
      <w:r>
        <w:t xml:space="preserve"> plan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totalling</w:t>
      </w:r>
      <w:proofErr w:type="spellEnd"/>
      <w:r>
        <w:t xml:space="preserve"> </w:t>
      </w:r>
      <w:proofErr w:type="spellStart"/>
      <w:r>
        <w:t>approximately</w:t>
      </w:r>
      <w:proofErr w:type="spellEnd"/>
      <w:r>
        <w:t xml:space="preserve"> NOK 3.7 billion. This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appropriations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funds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Storting’s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in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goals and long-term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plan.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Storting has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for </w:t>
      </w:r>
      <w:proofErr w:type="spellStart"/>
      <w:r>
        <w:t>additional</w:t>
      </w:r>
      <w:proofErr w:type="spellEnd"/>
      <w:r>
        <w:t xml:space="preserve"> student </w:t>
      </w:r>
      <w:proofErr w:type="spellStart"/>
      <w:r>
        <w:t>admissions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annualised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total.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in </w:t>
      </w:r>
      <w:proofErr w:type="spellStart"/>
      <w:r>
        <w:t>addition</w:t>
      </w:r>
      <w:proofErr w:type="spellEnd"/>
      <w:r>
        <w:t xml:space="preserve"> to </w:t>
      </w:r>
      <w:proofErr w:type="spellStart"/>
      <w:r>
        <w:t>increased</w:t>
      </w:r>
      <w:proofErr w:type="spellEnd"/>
      <w:r>
        <w:t xml:space="preserve"> student </w:t>
      </w:r>
      <w:proofErr w:type="spellStart"/>
      <w:r>
        <w:t>admission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long-term plan, </w:t>
      </w:r>
      <w:proofErr w:type="spellStart"/>
      <w:r>
        <w:t>but</w:t>
      </w:r>
      <w:proofErr w:type="spellEnd"/>
      <w:r>
        <w:t xml:space="preserve"> have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follow</w:t>
      </w:r>
      <w:proofErr w:type="spellEnd"/>
      <w:r>
        <w:t>-up.</w:t>
      </w:r>
    </w:p>
    <w:p w:rsidR="007D3CA2" w:rsidRDefault="007D3CA2" w:rsidP="007D3CA2">
      <w:r>
        <w:t xml:space="preserve">In total, R&amp;D </w:t>
      </w:r>
      <w:proofErr w:type="spellStart"/>
      <w:r>
        <w:t>allocations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by NOK 7.3 billion during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Overall R&amp;D </w:t>
      </w:r>
      <w:proofErr w:type="spellStart"/>
      <w:r>
        <w:t>allocations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subordinate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and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sector</w:t>
      </w:r>
      <w:proofErr w:type="spellEnd"/>
      <w:r>
        <w:t xml:space="preserve"> 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</w:t>
      </w:r>
      <w:proofErr w:type="spellEnd"/>
      <w:r>
        <w:t>.</w:t>
      </w:r>
    </w:p>
    <w:p w:rsidR="007D3CA2" w:rsidRDefault="007D3CA2" w:rsidP="007D3CA2">
      <w:r>
        <w:t xml:space="preserve">A different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is to </w:t>
      </w:r>
      <w:proofErr w:type="spellStart"/>
      <w:r>
        <w:t>calculate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expenditures</w:t>
      </w:r>
      <w:proofErr w:type="spellEnd"/>
      <w:r>
        <w:t xml:space="preserve">, as is done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form </w:t>
      </w:r>
      <w:proofErr w:type="spellStart"/>
      <w:r>
        <w:t>the</w:t>
      </w:r>
      <w:proofErr w:type="spellEnd"/>
      <w:r>
        <w:t xml:space="preserve"> basis for </w:t>
      </w:r>
      <w:proofErr w:type="spellStart"/>
      <w:r>
        <w:t>the</w:t>
      </w:r>
      <w:proofErr w:type="spellEnd"/>
      <w:r>
        <w:t xml:space="preserve"> Research </w:t>
      </w:r>
      <w:proofErr w:type="spellStart"/>
      <w:r>
        <w:t>Council’s</w:t>
      </w:r>
      <w:proofErr w:type="spellEnd"/>
      <w:r>
        <w:t xml:space="preserve"> report </w:t>
      </w:r>
      <w:r>
        <w:rPr>
          <w:rStyle w:val="kursiv"/>
          <w:sz w:val="21"/>
          <w:szCs w:val="21"/>
        </w:rPr>
        <w:t xml:space="preserve">The Norwegian </w:t>
      </w:r>
      <w:proofErr w:type="spellStart"/>
      <w:r>
        <w:rPr>
          <w:rStyle w:val="kursiv"/>
          <w:sz w:val="21"/>
          <w:szCs w:val="21"/>
        </w:rPr>
        <w:t>research</w:t>
      </w:r>
      <w:proofErr w:type="spellEnd"/>
      <w:r>
        <w:rPr>
          <w:rStyle w:val="kursiv"/>
          <w:sz w:val="21"/>
          <w:szCs w:val="21"/>
        </w:rPr>
        <w:t xml:space="preserve"> and </w:t>
      </w:r>
      <w:proofErr w:type="spellStart"/>
      <w:r>
        <w:rPr>
          <w:rStyle w:val="kursiv"/>
          <w:sz w:val="21"/>
          <w:szCs w:val="21"/>
        </w:rPr>
        <w:t>innovation</w:t>
      </w:r>
      <w:proofErr w:type="spellEnd"/>
      <w:r>
        <w:rPr>
          <w:rStyle w:val="kursiv"/>
          <w:sz w:val="21"/>
          <w:szCs w:val="21"/>
        </w:rPr>
        <w:t xml:space="preserve"> system: </w:t>
      </w:r>
      <w:proofErr w:type="spellStart"/>
      <w:r>
        <w:rPr>
          <w:rStyle w:val="kursiv"/>
          <w:sz w:val="21"/>
          <w:szCs w:val="21"/>
        </w:rPr>
        <w:t>Statistics</w:t>
      </w:r>
      <w:proofErr w:type="spellEnd"/>
      <w:r>
        <w:rPr>
          <w:rStyle w:val="kursiv"/>
          <w:sz w:val="21"/>
          <w:szCs w:val="21"/>
        </w:rPr>
        <w:t xml:space="preserve"> and </w:t>
      </w:r>
      <w:proofErr w:type="spellStart"/>
      <w:r>
        <w:rPr>
          <w:rStyle w:val="kursiv"/>
          <w:sz w:val="21"/>
          <w:szCs w:val="21"/>
        </w:rPr>
        <w:t>indicators</w:t>
      </w:r>
      <w:proofErr w:type="spellEnd"/>
      <w:r>
        <w:rPr>
          <w:rStyle w:val="kursiv"/>
          <w:sz w:val="21"/>
          <w:szCs w:val="21"/>
        </w:rP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. The </w:t>
      </w:r>
      <w:proofErr w:type="spellStart"/>
      <w:r>
        <w:t>figures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by </w:t>
      </w:r>
      <w:proofErr w:type="spellStart"/>
      <w:r>
        <w:t>asking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to </w:t>
      </w:r>
      <w:proofErr w:type="spellStart"/>
      <w:r>
        <w:t>estimate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total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fall </w:t>
      </w:r>
      <w:proofErr w:type="spellStart"/>
      <w:r>
        <w:t>within</w:t>
      </w:r>
      <w:proofErr w:type="spellEnd"/>
      <w:r>
        <w:t xml:space="preserve"> pre-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thus</w:t>
      </w:r>
      <w:proofErr w:type="spellEnd"/>
      <w:r>
        <w:t xml:space="preserve"> do not </w:t>
      </w:r>
      <w:proofErr w:type="spellStart"/>
      <w:r>
        <w:t>indicate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expenditures</w:t>
      </w:r>
      <w:proofErr w:type="spellEnd"/>
      <w:r>
        <w:t xml:space="preserve">.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 in 2014,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to be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aligned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areas in </w:t>
      </w:r>
      <w:proofErr w:type="spellStart"/>
      <w:r>
        <w:t>the</w:t>
      </w:r>
      <w:proofErr w:type="spellEnd"/>
      <w:r>
        <w:t xml:space="preserve"> plan. It is </w:t>
      </w:r>
      <w:proofErr w:type="spellStart"/>
      <w:r>
        <w:t>thus</w:t>
      </w:r>
      <w:proofErr w:type="spellEnd"/>
      <w:r>
        <w:t xml:space="preserve"> impossible to </w:t>
      </w:r>
      <w:proofErr w:type="spellStart"/>
      <w:r>
        <w:t>compare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areas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figures</w:t>
      </w:r>
      <w:proofErr w:type="spellEnd"/>
      <w:r>
        <w:t xml:space="preserve"> for 2015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 xml:space="preserve"> for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>.</w:t>
      </w:r>
    </w:p>
    <w:p w:rsidR="007D3CA2" w:rsidRDefault="007D3CA2" w:rsidP="007D3CA2">
      <w:r>
        <w:t xml:space="preserve">The target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for R&amp;D to </w:t>
      </w:r>
      <w:proofErr w:type="spellStart"/>
      <w:r>
        <w:t>one</w:t>
      </w:r>
      <w:proofErr w:type="spellEnd"/>
      <w:r>
        <w:t xml:space="preserve"> per cent </w:t>
      </w:r>
      <w:proofErr w:type="spellStart"/>
      <w:r>
        <w:t>of</w:t>
      </w:r>
      <w:proofErr w:type="spellEnd"/>
      <w:r>
        <w:t xml:space="preserve"> GDP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as </w:t>
      </w:r>
      <w:proofErr w:type="spellStart"/>
      <w:r>
        <w:t>early</w:t>
      </w:r>
      <w:proofErr w:type="spellEnd"/>
      <w:r>
        <w:t xml:space="preserve"> as in 2016. In </w:t>
      </w:r>
      <w:proofErr w:type="spellStart"/>
      <w:r>
        <w:t>the</w:t>
      </w:r>
      <w:proofErr w:type="spellEnd"/>
      <w:r>
        <w:t xml:space="preserve"> final 2018 </w:t>
      </w:r>
      <w:proofErr w:type="spellStart"/>
      <w:r>
        <w:t>budget</w:t>
      </w:r>
      <w:proofErr w:type="spellEnd"/>
      <w:r>
        <w:t xml:space="preserve">, </w:t>
      </w:r>
      <w:proofErr w:type="spellStart"/>
      <w:r>
        <w:t>provisional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appropriations</w:t>
      </w:r>
      <w:proofErr w:type="spellEnd"/>
      <w:r>
        <w:t xml:space="preserve"> for R&amp;D as a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GDP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at 1.01 per cent, or 1.22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mainland</w:t>
      </w:r>
      <w:proofErr w:type="spellEnd"/>
      <w:r>
        <w:t xml:space="preserve"> GDP.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still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target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per cent </w:t>
      </w:r>
      <w:proofErr w:type="spellStart"/>
      <w:r>
        <w:t>of</w:t>
      </w:r>
      <w:proofErr w:type="spellEnd"/>
      <w:r>
        <w:t xml:space="preserve"> GDP </w:t>
      </w:r>
      <w:proofErr w:type="spellStart"/>
      <w:r>
        <w:t>allocated</w:t>
      </w:r>
      <w:proofErr w:type="spellEnd"/>
      <w:r>
        <w:t xml:space="preserve"> to R&amp;D is </w:t>
      </w:r>
      <w:proofErr w:type="spellStart"/>
      <w:r>
        <w:t>reached</w:t>
      </w:r>
      <w:proofErr w:type="spellEnd"/>
      <w:r>
        <w:t xml:space="preserve">. In 2016, overall R&amp;D </w:t>
      </w:r>
      <w:proofErr w:type="spellStart"/>
      <w:r>
        <w:t>investments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and private, </w:t>
      </w:r>
      <w:proofErr w:type="spellStart"/>
      <w:r>
        <w:t>accounted</w:t>
      </w:r>
      <w:proofErr w:type="spellEnd"/>
      <w:r>
        <w:t xml:space="preserve"> for 2.03 per cent </w:t>
      </w:r>
      <w:proofErr w:type="spellStart"/>
      <w:r>
        <w:t>of</w:t>
      </w:r>
      <w:proofErr w:type="spellEnd"/>
      <w:r>
        <w:t xml:space="preserve"> GDP. This is a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1.46 per cent from 2006, </w:t>
      </w:r>
      <w:proofErr w:type="spellStart"/>
      <w:r>
        <w:t>but</w:t>
      </w:r>
      <w:proofErr w:type="spellEnd"/>
      <w:r>
        <w:t xml:space="preserve"> is still </w:t>
      </w:r>
      <w:proofErr w:type="spellStart"/>
      <w:r>
        <w:t>considerably</w:t>
      </w:r>
      <w:proofErr w:type="spellEnd"/>
      <w:r>
        <w:t xml:space="preserve"> </w:t>
      </w:r>
      <w:proofErr w:type="spellStart"/>
      <w:r>
        <w:t>lower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Nordic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is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per cent.</w:t>
      </w:r>
      <w:r>
        <w:rPr>
          <w:rStyle w:val="skrift-hevet"/>
          <w:sz w:val="21"/>
          <w:szCs w:val="21"/>
        </w:rPr>
        <w:footnoteReference w:id="19"/>
      </w:r>
    </w:p>
    <w:p w:rsidR="007D3CA2" w:rsidRDefault="007D3CA2" w:rsidP="007D3CA2">
      <w:r>
        <w:t xml:space="preserve">In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to </w:t>
      </w:r>
      <w:proofErr w:type="spellStart"/>
      <w:r>
        <w:t>augmenting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input </w:t>
      </w:r>
      <w:proofErr w:type="spellStart"/>
      <w:r>
        <w:t>factors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launched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plans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term:</w:t>
      </w:r>
    </w:p>
    <w:p w:rsidR="007D3CA2" w:rsidRDefault="007D3CA2" w:rsidP="007D3CA2">
      <w:pPr>
        <w:pStyle w:val="Liste"/>
      </w:pP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fellowships</w:t>
      </w:r>
      <w:proofErr w:type="spellEnd"/>
      <w:r>
        <w:t xml:space="preserve"> by 500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increase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to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by NOK 400 million;</w:t>
      </w:r>
    </w:p>
    <w:p w:rsidR="007D3CA2" w:rsidRDefault="007D3CA2" w:rsidP="007D3CA2">
      <w:pPr>
        <w:pStyle w:val="Liste"/>
      </w:pPr>
      <w:proofErr w:type="spellStart"/>
      <w:r>
        <w:t>raise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to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Norwegian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EU Framework </w:t>
      </w:r>
      <w:proofErr w:type="spellStart"/>
      <w:r>
        <w:t>Programme</w:t>
      </w:r>
      <w:proofErr w:type="spellEnd"/>
      <w:r>
        <w:t xml:space="preserve"> for Research and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Horizon</w:t>
      </w:r>
      <w:proofErr w:type="spellEnd"/>
      <w:r>
        <w:t xml:space="preserve"> 2020, by NOK 400 million.</w:t>
      </w:r>
    </w:p>
    <w:p w:rsidR="007D3CA2" w:rsidRDefault="007D3CA2" w:rsidP="007D3CA2">
      <w:r>
        <w:lastRenderedPageBreak/>
        <w:t xml:space="preserve">The </w:t>
      </w:r>
      <w:proofErr w:type="spellStart"/>
      <w:r>
        <w:t>escalation</w:t>
      </w:r>
      <w:proofErr w:type="spellEnd"/>
      <w:r>
        <w:t xml:space="preserve"> plans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2018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>.</w:t>
      </w:r>
    </w:p>
    <w:p w:rsidR="007D3CA2" w:rsidRDefault="007D3CA2" w:rsidP="007D3CA2">
      <w:pPr>
        <w:pStyle w:val="avsnitt-undertittel"/>
      </w:pPr>
      <w:proofErr w:type="spellStart"/>
      <w:r>
        <w:t>Doctoral</w:t>
      </w:r>
      <w:proofErr w:type="spellEnd"/>
      <w:r>
        <w:t xml:space="preserve"> </w:t>
      </w:r>
      <w:proofErr w:type="spellStart"/>
      <w:r>
        <w:t>fellowships</w:t>
      </w:r>
      <w:proofErr w:type="spellEnd"/>
    </w:p>
    <w:p w:rsidR="007D3CA2" w:rsidRDefault="007D3CA2" w:rsidP="007D3CA2">
      <w:r>
        <w:t xml:space="preserve">The targets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 for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fellowships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surpassed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earmarked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for a total </w:t>
      </w:r>
      <w:proofErr w:type="spellStart"/>
      <w:r>
        <w:t>of</w:t>
      </w:r>
      <w:proofErr w:type="spellEnd"/>
      <w:r>
        <w:t xml:space="preserve"> 624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fellowship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, 237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science, </w:t>
      </w:r>
      <w:proofErr w:type="spellStart"/>
      <w:r>
        <w:t>technology</w:t>
      </w:r>
      <w:proofErr w:type="spellEnd"/>
      <w:r>
        <w:t xml:space="preserve"> and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(STEM </w:t>
      </w:r>
      <w:proofErr w:type="spellStart"/>
      <w:r>
        <w:t>disciplines</w:t>
      </w:r>
      <w:proofErr w:type="spellEnd"/>
      <w:r>
        <w:t xml:space="preserve">),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68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ICT, </w:t>
      </w:r>
      <w:proofErr w:type="spellStart"/>
      <w:r>
        <w:t>including</w:t>
      </w:r>
      <w:proofErr w:type="spellEnd"/>
      <w:r>
        <w:t xml:space="preserve"> ICT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cryptology</w:t>
      </w:r>
      <w:proofErr w:type="spellEnd"/>
      <w:r>
        <w:t xml:space="preserve">. A total </w:t>
      </w:r>
      <w:proofErr w:type="spellStart"/>
      <w:r>
        <w:t>of</w:t>
      </w:r>
      <w:proofErr w:type="spellEnd"/>
      <w:r>
        <w:t xml:space="preserve"> 347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comprise</w:t>
      </w:r>
      <w:proofErr w:type="spellEnd"/>
      <w:r>
        <w:t xml:space="preserve"> or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comprise</w:t>
      </w:r>
      <w:proofErr w:type="spellEnd"/>
      <w:r>
        <w:t xml:space="preserve"> STEM elements, e.g.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engineering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40 </w:t>
      </w:r>
      <w:proofErr w:type="spellStart"/>
      <w:r>
        <w:t>positions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nursing</w:t>
      </w:r>
      <w:proofErr w:type="spellEnd"/>
      <w:r>
        <w:t xml:space="preserve"> and art or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A total </w:t>
      </w:r>
      <w:proofErr w:type="spellStart"/>
      <w:r>
        <w:t>of</w:t>
      </w:r>
      <w:proofErr w:type="spellEnd"/>
      <w:r>
        <w:t xml:space="preserve"> 54 </w:t>
      </w:r>
      <w:proofErr w:type="spellStart"/>
      <w:r>
        <w:t>positions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allotted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34 to private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and 25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 for private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Ph.D.’s</w:t>
      </w:r>
      <w:proofErr w:type="spellEnd"/>
      <w:r>
        <w:t>.</w:t>
      </w:r>
    </w:p>
    <w:p w:rsidR="007D3CA2" w:rsidRDefault="007D3CA2" w:rsidP="007D3CA2">
      <w:pPr>
        <w:pStyle w:val="avsnitt-undertittel"/>
      </w:pPr>
      <w:r>
        <w:t xml:space="preserve">Research </w:t>
      </w:r>
      <w:proofErr w:type="spellStart"/>
      <w:r>
        <w:t>infrastructure</w:t>
      </w:r>
      <w:proofErr w:type="spellEnd"/>
    </w:p>
    <w:p w:rsidR="007D3CA2" w:rsidRDefault="007D3CA2" w:rsidP="007D3CA2">
      <w:r>
        <w:t xml:space="preserve">The </w:t>
      </w:r>
      <w:proofErr w:type="spellStart"/>
      <w:r>
        <w:t>escalation</w:t>
      </w:r>
      <w:proofErr w:type="spellEnd"/>
      <w:r>
        <w:t xml:space="preserve"> plan in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</w:t>
      </w:r>
      <w:proofErr w:type="spellStart"/>
      <w:r>
        <w:t>totalling</w:t>
      </w:r>
      <w:proofErr w:type="spellEnd"/>
      <w:r>
        <w:t xml:space="preserve"> NOK 400 million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This </w:t>
      </w:r>
      <w:proofErr w:type="spellStart"/>
      <w:r>
        <w:t>funding</w:t>
      </w:r>
      <w:proofErr w:type="spellEnd"/>
      <w:r>
        <w:t xml:space="preserve"> has </w:t>
      </w:r>
      <w:proofErr w:type="spellStart"/>
      <w:r>
        <w:t>primarily</w:t>
      </w:r>
      <w:proofErr w:type="spellEnd"/>
      <w:r>
        <w:t xml:space="preserve"> </w:t>
      </w:r>
      <w:proofErr w:type="spellStart"/>
      <w:r>
        <w:t>gone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under </w:t>
      </w:r>
      <w:proofErr w:type="spellStart"/>
      <w:r>
        <w:t>the</w:t>
      </w:r>
      <w:proofErr w:type="spellEnd"/>
      <w:r>
        <w:t xml:space="preserve"> Research Council </w:t>
      </w:r>
      <w:proofErr w:type="spellStart"/>
      <w:r>
        <w:t>of</w:t>
      </w:r>
      <w:proofErr w:type="spellEnd"/>
      <w:r>
        <w:t xml:space="preserve"> Norway in </w:t>
      </w:r>
      <w:proofErr w:type="spellStart"/>
      <w:r>
        <w:t>keeping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Roadmap</w:t>
      </w:r>
      <w:proofErr w:type="spellEnd"/>
      <w:r>
        <w:t xml:space="preserve"> for Research </w:t>
      </w:r>
      <w:proofErr w:type="spellStart"/>
      <w:r>
        <w:t>Infrastructure</w:t>
      </w:r>
      <w:proofErr w:type="spellEnd"/>
      <w:r>
        <w:t xml:space="preserve">. It </w:t>
      </w:r>
      <w:proofErr w:type="spellStart"/>
      <w:r>
        <w:t>also</w:t>
      </w:r>
      <w:proofErr w:type="spellEnd"/>
      <w:r>
        <w:t xml:space="preserve"> covers </w:t>
      </w:r>
      <w:proofErr w:type="spellStart"/>
      <w:r>
        <w:t>participation</w:t>
      </w:r>
      <w:proofErr w:type="spellEnd"/>
      <w:r>
        <w:t xml:space="preserve"> in joint European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The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is to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serve multiple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and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forefront in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for Norwegian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Funding</w:t>
      </w:r>
      <w:proofErr w:type="spellEnd"/>
      <w:r>
        <w:t xml:space="preserve"> is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arena, and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keen</w:t>
      </w:r>
      <w:proofErr w:type="spellEnd"/>
      <w:r>
        <w:t xml:space="preserve"> </w:t>
      </w:r>
      <w:proofErr w:type="spellStart"/>
      <w:r>
        <w:t>competition</w:t>
      </w:r>
      <w:proofErr w:type="spellEnd"/>
      <w:r>
        <w:t xml:space="preserve"> for </w:t>
      </w:r>
      <w:proofErr w:type="spellStart"/>
      <w:r>
        <w:t>grants</w:t>
      </w:r>
      <w:proofErr w:type="spellEnd"/>
      <w:r>
        <w:t xml:space="preserve">. In 2017, </w:t>
      </w:r>
      <w:proofErr w:type="spellStart"/>
      <w:r>
        <w:t>the</w:t>
      </w:r>
      <w:proofErr w:type="spellEnd"/>
      <w:r>
        <w:t xml:space="preserve"> Research Council </w:t>
      </w:r>
      <w:proofErr w:type="spellStart"/>
      <w:r>
        <w:t>funded</w:t>
      </w:r>
      <w:proofErr w:type="spellEnd"/>
      <w:r>
        <w:t xml:space="preserve"> a total </w:t>
      </w:r>
      <w:proofErr w:type="spellStart"/>
      <w:r>
        <w:t>of</w:t>
      </w:r>
      <w:proofErr w:type="spellEnd"/>
      <w:r>
        <w:t xml:space="preserve"> 19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overall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NOK 1 billion. A total </w:t>
      </w:r>
      <w:proofErr w:type="spellStart"/>
      <w:r>
        <w:t>of</w:t>
      </w:r>
      <w:proofErr w:type="spellEnd"/>
      <w:r>
        <w:t xml:space="preserve"> 92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for </w:t>
      </w:r>
      <w:proofErr w:type="spellStart"/>
      <w:r>
        <w:t>funding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round</w:t>
      </w:r>
      <w:proofErr w:type="spellEnd"/>
      <w:r>
        <w:t>.</w:t>
      </w:r>
    </w:p>
    <w:p w:rsidR="007D3CA2" w:rsidRDefault="007D3CA2" w:rsidP="007D3CA2">
      <w:pPr>
        <w:pStyle w:val="avsnitt-undertittel"/>
      </w:pPr>
      <w:proofErr w:type="spellStart"/>
      <w:r>
        <w:t>Programmes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Norwegian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EU Framework </w:t>
      </w:r>
      <w:proofErr w:type="spellStart"/>
      <w:r>
        <w:t>Programme</w:t>
      </w:r>
      <w:proofErr w:type="spellEnd"/>
      <w:r>
        <w:t xml:space="preserve"> for Research and </w:t>
      </w:r>
      <w:proofErr w:type="spellStart"/>
      <w:r>
        <w:t>Innovation</w:t>
      </w:r>
      <w:proofErr w:type="spellEnd"/>
    </w:p>
    <w:p w:rsidR="007D3CA2" w:rsidRDefault="007D3CA2" w:rsidP="007D3CA2">
      <w:r>
        <w:t xml:space="preserve">The </w:t>
      </w:r>
      <w:proofErr w:type="spellStart"/>
      <w:r>
        <w:t>escalation</w:t>
      </w:r>
      <w:proofErr w:type="spellEnd"/>
      <w:r>
        <w:t xml:space="preserve"> plan in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</w:t>
      </w:r>
      <w:proofErr w:type="spellStart"/>
      <w:r>
        <w:t>totalling</w:t>
      </w:r>
      <w:proofErr w:type="spellEnd"/>
      <w:r>
        <w:t xml:space="preserve"> NOK 400 million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The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used to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STIM-EU </w:t>
      </w:r>
      <w:proofErr w:type="spellStart"/>
      <w:r>
        <w:t>scheme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Research Council. </w:t>
      </w:r>
      <w:proofErr w:type="spellStart"/>
      <w:r>
        <w:t>Established</w:t>
      </w:r>
      <w:proofErr w:type="spellEnd"/>
      <w:r>
        <w:t xml:space="preserve"> in 2012, </w:t>
      </w:r>
      <w:proofErr w:type="spellStart"/>
      <w:r>
        <w:t>the</w:t>
      </w:r>
      <w:proofErr w:type="spellEnd"/>
      <w:r>
        <w:t xml:space="preserve"> STIM-EU </w:t>
      </w:r>
      <w:proofErr w:type="spellStart"/>
      <w:r>
        <w:t>scheme</w:t>
      </w:r>
      <w:proofErr w:type="spellEnd"/>
      <w:r>
        <w:t xml:space="preserve"> is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EU Framework </w:t>
      </w:r>
      <w:proofErr w:type="spellStart"/>
      <w:r>
        <w:t>Programme</w:t>
      </w:r>
      <w:proofErr w:type="spellEnd"/>
      <w:r>
        <w:t xml:space="preserve"> for Research and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Horizon</w:t>
      </w:r>
      <w:proofErr w:type="spellEnd"/>
      <w:r>
        <w:t xml:space="preserve"> 2020,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 and to </w:t>
      </w:r>
      <w:proofErr w:type="spellStart"/>
      <w:r>
        <w:t>seek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Norwegian private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in EU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 has </w:t>
      </w:r>
      <w:proofErr w:type="spellStart"/>
      <w:r>
        <w:t>been</w:t>
      </w:r>
      <w:proofErr w:type="spellEnd"/>
      <w:r>
        <w:t xml:space="preserve"> used to </w:t>
      </w:r>
      <w:proofErr w:type="spellStart"/>
      <w:r>
        <w:t>establish</w:t>
      </w:r>
      <w:proofErr w:type="spellEnd"/>
      <w:r>
        <w:t xml:space="preserve"> a separate </w:t>
      </w:r>
      <w:proofErr w:type="spellStart"/>
      <w:r>
        <w:t>stimulation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for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HELSE-EU. The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is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Norwegian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in </w:t>
      </w:r>
      <w:proofErr w:type="spellStart"/>
      <w:r>
        <w:t>Horizon</w:t>
      </w:r>
      <w:proofErr w:type="spellEnd"/>
      <w:r>
        <w:t xml:space="preserve"> 2020 </w:t>
      </w:r>
      <w:proofErr w:type="spellStart"/>
      <w:r>
        <w:t>activities</w:t>
      </w:r>
      <w:proofErr w:type="spellEnd"/>
      <w:r>
        <w:t xml:space="preserve"> and to </w:t>
      </w:r>
      <w:proofErr w:type="spellStart"/>
      <w:r>
        <w:t>enable</w:t>
      </w:r>
      <w:proofErr w:type="spellEnd"/>
      <w:r>
        <w:t xml:space="preserve"> Norwegian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to </w:t>
      </w:r>
      <w:proofErr w:type="spellStart"/>
      <w:r>
        <w:t>compete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for H2020 </w:t>
      </w:r>
      <w:proofErr w:type="spellStart"/>
      <w:r>
        <w:t>funding</w:t>
      </w:r>
      <w:proofErr w:type="spellEnd"/>
      <w:r>
        <w:t xml:space="preserve">. </w:t>
      </w:r>
      <w:proofErr w:type="spellStart"/>
      <w:r>
        <w:t>Correspondingly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PES2020 </w:t>
      </w:r>
      <w:proofErr w:type="spellStart"/>
      <w:r>
        <w:t>project</w:t>
      </w:r>
      <w:proofErr w:type="spellEnd"/>
      <w:r>
        <w:t xml:space="preserve"> establishment support </w:t>
      </w:r>
      <w:proofErr w:type="spellStart"/>
      <w:r>
        <w:t>scheme</w:t>
      </w:r>
      <w:proofErr w:type="spellEnd"/>
      <w:r>
        <w:t xml:space="preserve"> is a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to </w:t>
      </w:r>
      <w:proofErr w:type="spellStart"/>
      <w:r>
        <w:t>alleviate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for </w:t>
      </w:r>
      <w:proofErr w:type="spellStart"/>
      <w:r>
        <w:t>universities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colleges,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and regional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applying for EU </w:t>
      </w:r>
      <w:proofErr w:type="spellStart"/>
      <w:r>
        <w:t>funding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to </w:t>
      </w:r>
      <w:proofErr w:type="spellStart"/>
      <w:r>
        <w:t>increase</w:t>
      </w:r>
      <w:proofErr w:type="spellEnd"/>
      <w:r>
        <w:t xml:space="preserve"> general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Horizon</w:t>
      </w:r>
      <w:proofErr w:type="spellEnd"/>
      <w:r>
        <w:t xml:space="preserve"> 2020 </w:t>
      </w:r>
      <w:proofErr w:type="spellStart"/>
      <w:r>
        <w:t>activities</w:t>
      </w:r>
      <w:proofErr w:type="spellEnd"/>
      <w:r>
        <w:t xml:space="preserve">. The </w:t>
      </w:r>
      <w:proofErr w:type="spellStart"/>
      <w:r>
        <w:t>Government’s</w:t>
      </w:r>
      <w:proofErr w:type="spellEnd"/>
      <w:r>
        <w:t xml:space="preserve"> target is for Norwegian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to be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funds</w:t>
      </w:r>
      <w:proofErr w:type="spellEnd"/>
      <w:r>
        <w:t xml:space="preserve"> under </w:t>
      </w:r>
      <w:proofErr w:type="spellStart"/>
      <w:r>
        <w:t>Horizon</w:t>
      </w:r>
      <w:proofErr w:type="spellEnd"/>
      <w:r>
        <w:t xml:space="preserve"> 2020. In June 2018,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amounted</w:t>
      </w:r>
      <w:proofErr w:type="spellEnd"/>
      <w:r>
        <w:t xml:space="preserve"> to 2.03 per cent. The </w:t>
      </w:r>
      <w:proofErr w:type="spellStart"/>
      <w:r>
        <w:t>amount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over time, </w:t>
      </w:r>
      <w:proofErr w:type="spellStart"/>
      <w:r>
        <w:t>however</w:t>
      </w:r>
      <w:proofErr w:type="spellEnd"/>
      <w:r>
        <w:t xml:space="preserve">, so it is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continue</w:t>
      </w:r>
      <w:proofErr w:type="spellEnd"/>
      <w:r>
        <w:t xml:space="preserve"> </w:t>
      </w:r>
      <w:proofErr w:type="gramStart"/>
      <w:r>
        <w:t>to monitor</w:t>
      </w:r>
      <w:proofErr w:type="gram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. It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stimulation</w:t>
      </w:r>
      <w:proofErr w:type="spellEnd"/>
      <w:r>
        <w:t xml:space="preserve"> instruments must be given time to have an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>.</w:t>
      </w:r>
    </w:p>
    <w:p w:rsidR="007D3CA2" w:rsidRDefault="007D3CA2" w:rsidP="007D3CA2">
      <w:pPr>
        <w:pStyle w:val="avsnitt-undertittel"/>
      </w:pPr>
      <w:r>
        <w:t xml:space="preserve">Long-term </w:t>
      </w:r>
      <w:proofErr w:type="spellStart"/>
      <w:r>
        <w:t>priorities</w:t>
      </w:r>
      <w:proofErr w:type="spellEnd"/>
    </w:p>
    <w:p w:rsidR="007D3CA2" w:rsidRDefault="007D3CA2" w:rsidP="007D3CA2">
      <w:r>
        <w:t xml:space="preserve">The </w:t>
      </w:r>
      <w:proofErr w:type="spellStart"/>
      <w:r>
        <w:t>six</w:t>
      </w:r>
      <w:proofErr w:type="spellEnd"/>
      <w:r>
        <w:t xml:space="preserve"> long-term </w:t>
      </w:r>
      <w:proofErr w:type="spellStart"/>
      <w:r>
        <w:t>priorities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first long-term plan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up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roughly</w:t>
      </w:r>
      <w:proofErr w:type="spellEnd"/>
      <w:r>
        <w:t xml:space="preserve"> NOK 2.2 billion in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. The </w:t>
      </w:r>
      <w:proofErr w:type="spellStart"/>
      <w:r>
        <w:t>growth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«Innovative and </w:t>
      </w:r>
      <w:proofErr w:type="spellStart"/>
      <w:r>
        <w:t>adaptable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>», «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>» and «World-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». The </w:t>
      </w:r>
      <w:proofErr w:type="spellStart"/>
      <w:r>
        <w:t>priority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extra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, cf. </w:t>
      </w:r>
      <w:proofErr w:type="spellStart"/>
      <w:r>
        <w:t>Figure</w:t>
      </w:r>
      <w:proofErr w:type="spellEnd"/>
      <w:r>
        <w:t xml:space="preserve"> 1.3.</w:t>
      </w:r>
    </w:p>
    <w:p w:rsidR="007D3CA2" w:rsidRDefault="006E6F2E" w:rsidP="006E6F2E">
      <w:pPr>
        <w:pStyle w:val="Figur"/>
      </w:pPr>
      <w:proofErr w:type="gramStart"/>
      <w:r>
        <w:lastRenderedPageBreak/>
        <w:t>[:figur</w:t>
      </w:r>
      <w:proofErr w:type="gramEnd"/>
      <w:r>
        <w:t>:fig1-3.jpg]</w:t>
      </w:r>
    </w:p>
    <w:p w:rsidR="007D3CA2" w:rsidRDefault="007D3CA2" w:rsidP="007D3CA2">
      <w:pPr>
        <w:pStyle w:val="figur-tittel"/>
      </w:pPr>
      <w:r>
        <w:t xml:space="preserve">Overall </w:t>
      </w:r>
      <w:proofErr w:type="spellStart"/>
      <w:r>
        <w:t>growth</w:t>
      </w:r>
      <w:proofErr w:type="spellEnd"/>
      <w:r>
        <w:t xml:space="preserve"> in </w:t>
      </w:r>
      <w:proofErr w:type="spellStart"/>
      <w:r>
        <w:t>allocations</w:t>
      </w:r>
      <w:proofErr w:type="spellEnd"/>
      <w:r>
        <w:t xml:space="preserve"> for long-term </w:t>
      </w:r>
      <w:proofErr w:type="spellStart"/>
      <w:r>
        <w:t>priorities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long-term plan, 2015–2018. NOK million.</w:t>
      </w:r>
    </w:p>
    <w:p w:rsidR="007D3CA2" w:rsidRDefault="007D3CA2" w:rsidP="007D3CA2">
      <w:pPr>
        <w:pStyle w:val="avsnitt-undertittel"/>
      </w:pPr>
      <w:proofErr w:type="spellStart"/>
      <w:r>
        <w:t>Two</w:t>
      </w:r>
      <w:proofErr w:type="spellEnd"/>
      <w:r>
        <w:t xml:space="preserve"> </w:t>
      </w:r>
      <w:proofErr w:type="spellStart"/>
      <w:r>
        <w:t>prioritised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</w:p>
    <w:p w:rsidR="007D3CA2" w:rsidRDefault="007D3CA2" w:rsidP="007D3CA2">
      <w:proofErr w:type="spellStart"/>
      <w:r>
        <w:t>Functional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plan,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gave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to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to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plan’s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>:</w:t>
      </w:r>
    </w:p>
    <w:p w:rsidR="007D3CA2" w:rsidRDefault="007D3CA2" w:rsidP="007D3CA2">
      <w:pPr>
        <w:pStyle w:val="Liste"/>
      </w:pPr>
      <w:r>
        <w:t xml:space="preserve">New </w:t>
      </w:r>
      <w:proofErr w:type="spellStart"/>
      <w:r>
        <w:t>building</w:t>
      </w:r>
      <w:proofErr w:type="spellEnd"/>
      <w:r>
        <w:t xml:space="preserve"> for </w:t>
      </w:r>
      <w:proofErr w:type="spellStart"/>
      <w:r>
        <w:t>life</w:t>
      </w:r>
      <w:proofErr w:type="spellEnd"/>
      <w:r>
        <w:t xml:space="preserve"> science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</w:t>
      </w:r>
    </w:p>
    <w:p w:rsidR="007D3CA2" w:rsidRDefault="007D3CA2" w:rsidP="007D3CA2">
      <w:pPr>
        <w:pStyle w:val="Liste"/>
      </w:pPr>
      <w:r>
        <w:t xml:space="preserve">Upgrade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Marine Technology Centre (Ocean Space Centre) in Trondheim</w:t>
      </w:r>
    </w:p>
    <w:p w:rsidR="007D3CA2" w:rsidRDefault="007D3CA2" w:rsidP="007D3CA2">
      <w:pPr>
        <w:pStyle w:val="avsnitt-undertittel"/>
      </w:pPr>
      <w:r>
        <w:t xml:space="preserve">New </w:t>
      </w:r>
      <w:proofErr w:type="spellStart"/>
      <w:r>
        <w:t>building</w:t>
      </w:r>
      <w:proofErr w:type="spellEnd"/>
      <w:r>
        <w:t xml:space="preserve"> for </w:t>
      </w:r>
      <w:proofErr w:type="spellStart"/>
      <w:r>
        <w:t>life</w:t>
      </w:r>
      <w:proofErr w:type="spellEnd"/>
      <w:r>
        <w:t xml:space="preserve"> science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</w:t>
      </w:r>
    </w:p>
    <w:p w:rsidR="007D3CA2" w:rsidRDefault="007D3CA2" w:rsidP="007D3CA2">
      <w:r>
        <w:t xml:space="preserve">The </w:t>
      </w:r>
      <w:proofErr w:type="spellStart"/>
      <w:r>
        <w:t>life</w:t>
      </w:r>
      <w:proofErr w:type="spellEnd"/>
      <w:r>
        <w:t xml:space="preserve"> science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Gaustadbekk</w:t>
      </w:r>
      <w:proofErr w:type="spellEnd"/>
      <w:r>
        <w:t xml:space="preserve"> </w:t>
      </w:r>
      <w:proofErr w:type="spellStart"/>
      <w:r>
        <w:t>valley</w:t>
      </w:r>
      <w:proofErr w:type="spellEnd"/>
      <w:r>
        <w:t xml:space="preserve">, a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from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at Oslo </w:t>
      </w:r>
      <w:proofErr w:type="spellStart"/>
      <w:r>
        <w:t>University</w:t>
      </w:r>
      <w:proofErr w:type="spellEnd"/>
      <w:r>
        <w:t xml:space="preserve"> Hospital, </w:t>
      </w:r>
      <w:proofErr w:type="spellStart"/>
      <w:r>
        <w:t>the</w:t>
      </w:r>
      <w:proofErr w:type="spellEnd"/>
      <w:r>
        <w:t xml:space="preserve"> Department </w:t>
      </w:r>
      <w:proofErr w:type="spellStart"/>
      <w:r>
        <w:t>of</w:t>
      </w:r>
      <w:proofErr w:type="spellEnd"/>
      <w:r>
        <w:t xml:space="preserve"> Informatics and </w:t>
      </w:r>
      <w:proofErr w:type="spellStart"/>
      <w:r>
        <w:t>SINTEF’s</w:t>
      </w:r>
      <w:proofErr w:type="spellEnd"/>
      <w:r>
        <w:t xml:space="preserve"> Advanced Materials </w:t>
      </w:r>
      <w:proofErr w:type="spellStart"/>
      <w:r>
        <w:t>Characterization</w:t>
      </w:r>
      <w:proofErr w:type="spellEnd"/>
      <w:r>
        <w:t xml:space="preserve"> Laboratory. This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biotechnology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trusts. The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an area </w:t>
      </w:r>
      <w:proofErr w:type="spellStart"/>
      <w:r>
        <w:t>of</w:t>
      </w:r>
      <w:proofErr w:type="spellEnd"/>
      <w:r>
        <w:t xml:space="preserve"> 66 700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metres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workplace</w:t>
      </w:r>
      <w:proofErr w:type="spellEnd"/>
      <w:r>
        <w:t xml:space="preserve"> for </w:t>
      </w:r>
      <w:proofErr w:type="spellStart"/>
      <w:r>
        <w:t>close</w:t>
      </w:r>
      <w:proofErr w:type="spellEnd"/>
      <w:r>
        <w:t xml:space="preserve"> to 1 000 </w:t>
      </w:r>
      <w:proofErr w:type="spellStart"/>
      <w:r>
        <w:t>employees</w:t>
      </w:r>
      <w:proofErr w:type="spellEnd"/>
      <w:r>
        <w:t xml:space="preserve"> and 1 600 students. The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different </w:t>
      </w:r>
      <w:proofErr w:type="spellStart"/>
      <w:r>
        <w:t>disciplines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, relevant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:rsidR="007D3CA2" w:rsidRDefault="007D3CA2" w:rsidP="007D3CA2">
      <w:r>
        <w:t xml:space="preserve">In </w:t>
      </w:r>
      <w:proofErr w:type="spellStart"/>
      <w:r>
        <w:t>the</w:t>
      </w:r>
      <w:proofErr w:type="spellEnd"/>
      <w:r>
        <w:t xml:space="preserve"> 2018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Storting </w:t>
      </w:r>
      <w:proofErr w:type="spellStart"/>
      <w:r>
        <w:t>approved</w:t>
      </w:r>
      <w:proofErr w:type="spellEnd"/>
      <w:r>
        <w:t xml:space="preserve"> an initial </w:t>
      </w:r>
      <w:proofErr w:type="spellStart"/>
      <w:r>
        <w:t>appropriation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NOK 45 million and NOK 5 million for planning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. The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has an </w:t>
      </w:r>
      <w:proofErr w:type="spellStart"/>
      <w:r>
        <w:t>estimated</w:t>
      </w:r>
      <w:proofErr w:type="spellEnd"/>
      <w:r>
        <w:t xml:space="preserve"> total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NOK 5 677 million (2018)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totalling</w:t>
      </w:r>
      <w:proofErr w:type="spellEnd"/>
      <w:r>
        <w:t xml:space="preserve"> NOK 1 141 million (2018).</w:t>
      </w:r>
    </w:p>
    <w:p w:rsidR="007D3CA2" w:rsidRDefault="007D3CA2" w:rsidP="007D3CA2">
      <w:r>
        <w:t xml:space="preserve">The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has </w:t>
      </w:r>
      <w:proofErr w:type="spellStart"/>
      <w:r>
        <w:t>commissioned</w:t>
      </w:r>
      <w:proofErr w:type="spellEnd"/>
      <w:r>
        <w:t xml:space="preserve"> Statsbygg to </w:t>
      </w:r>
      <w:proofErr w:type="spellStart"/>
      <w:r>
        <w:t>administer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science </w:t>
      </w:r>
      <w:proofErr w:type="spellStart"/>
      <w:r>
        <w:t>building</w:t>
      </w:r>
      <w:proofErr w:type="spellEnd"/>
      <w:r>
        <w:t xml:space="preserve">. The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Statsbygg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Oslo. </w:t>
      </w:r>
      <w:proofErr w:type="spellStart"/>
      <w:r>
        <w:t>Detailed</w:t>
      </w:r>
      <w:proofErr w:type="spellEnd"/>
      <w:r>
        <w:t xml:space="preserve"> planning has </w:t>
      </w:r>
      <w:proofErr w:type="spellStart"/>
      <w:r>
        <w:t>begun</w:t>
      </w:r>
      <w:proofErr w:type="spellEnd"/>
      <w:r>
        <w:t xml:space="preserve">, a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, and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start in </w:t>
      </w:r>
      <w:proofErr w:type="spellStart"/>
      <w:r>
        <w:t>the</w:t>
      </w:r>
      <w:proofErr w:type="spellEnd"/>
      <w:r>
        <w:t xml:space="preserve"> first quarter </w:t>
      </w:r>
      <w:proofErr w:type="spellStart"/>
      <w:r>
        <w:t>of</w:t>
      </w:r>
      <w:proofErr w:type="spellEnd"/>
      <w:r>
        <w:t xml:space="preserve"> 2019. </w:t>
      </w:r>
      <w:proofErr w:type="spellStart"/>
      <w:r>
        <w:t>Completion</w:t>
      </w:r>
      <w:proofErr w:type="spellEnd"/>
      <w:r>
        <w:t xml:space="preserve"> and </w:t>
      </w:r>
      <w:proofErr w:type="spellStart"/>
      <w:r>
        <w:t>handover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is </w:t>
      </w:r>
      <w:proofErr w:type="spellStart"/>
      <w:r>
        <w:t>scheduled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half </w:t>
      </w:r>
      <w:proofErr w:type="spellStart"/>
      <w:r>
        <w:t>of</w:t>
      </w:r>
      <w:proofErr w:type="spellEnd"/>
      <w:r>
        <w:t xml:space="preserve"> 2024.</w:t>
      </w:r>
    </w:p>
    <w:p w:rsidR="007D3CA2" w:rsidRDefault="007D3CA2" w:rsidP="007D3CA2">
      <w:pPr>
        <w:pStyle w:val="avsnitt-undertittel"/>
      </w:pPr>
      <w:r>
        <w:t>The Marine Technology Centre (Ocean Space Centre) in Trondheim</w:t>
      </w:r>
    </w:p>
    <w:p w:rsidR="007D3CA2" w:rsidRDefault="007D3CA2" w:rsidP="007D3CA2">
      <w:r>
        <w:t xml:space="preserve">Marine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to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in areas </w:t>
      </w:r>
      <w:proofErr w:type="spellStart"/>
      <w:r>
        <w:t>where</w:t>
      </w:r>
      <w:proofErr w:type="spellEnd"/>
      <w:r>
        <w:t xml:space="preserve"> Norway has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 xml:space="preserve">. The Marine Technology Centre </w:t>
      </w:r>
      <w:proofErr w:type="spellStart"/>
      <w:r>
        <w:t>opened</w:t>
      </w:r>
      <w:proofErr w:type="spellEnd"/>
      <w:r>
        <w:t xml:space="preserve"> in 1939 at Tyholt in Trondheim. The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have </w:t>
      </w:r>
      <w:proofErr w:type="spellStart"/>
      <w:r>
        <w:t>delivered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Norwegian private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helped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in 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areas. To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shipbuilding</w:t>
      </w:r>
      <w:proofErr w:type="spellEnd"/>
      <w:r>
        <w:t xml:space="preserve"> and </w:t>
      </w:r>
      <w:proofErr w:type="spellStart"/>
      <w:r>
        <w:t>equipment</w:t>
      </w:r>
      <w:proofErr w:type="spellEnd"/>
      <w:r>
        <w:t xml:space="preserve"> for </w:t>
      </w:r>
      <w:proofErr w:type="spellStart"/>
      <w:r>
        <w:t>ships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fishing</w:t>
      </w:r>
      <w:proofErr w:type="spellEnd"/>
      <w:r>
        <w:t xml:space="preserve"> </w:t>
      </w:r>
      <w:proofErr w:type="spellStart"/>
      <w:r>
        <w:t>fleet</w:t>
      </w:r>
      <w:proofErr w:type="spellEnd"/>
      <w:r>
        <w:t xml:space="preserve">; later,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ser</w:t>
      </w:r>
      <w:r>
        <w:lastRenderedPageBreak/>
        <w:t>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 and gas </w:t>
      </w:r>
      <w:proofErr w:type="spellStart"/>
      <w:r>
        <w:t>industry</w:t>
      </w:r>
      <w:proofErr w:type="spellEnd"/>
      <w:r>
        <w:t xml:space="preserve">.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has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aquaculture</w:t>
      </w:r>
      <w:proofErr w:type="spellEnd"/>
      <w:r>
        <w:t xml:space="preserve"> and offshore </w:t>
      </w:r>
      <w:proofErr w:type="spellStart"/>
      <w:r>
        <w:t>wind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30 </w:t>
      </w:r>
      <w:proofErr w:type="spellStart"/>
      <w:r>
        <w:t>years</w:t>
      </w:r>
      <w:proofErr w:type="spellEnd"/>
      <w:r>
        <w:t xml:space="preserve"> old,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backlog</w:t>
      </w:r>
      <w:proofErr w:type="spellEnd"/>
      <w:r>
        <w:t xml:space="preserve"> is </w:t>
      </w:r>
      <w:proofErr w:type="spellStart"/>
      <w:r>
        <w:t>considerable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Trade, Industry and </w:t>
      </w:r>
      <w:proofErr w:type="spellStart"/>
      <w:r>
        <w:t>Fisheries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 and SINTEF Ocean have </w:t>
      </w:r>
      <w:proofErr w:type="spellStart"/>
      <w:r>
        <w:t>drawn</w:t>
      </w:r>
      <w:proofErr w:type="spellEnd"/>
      <w:r>
        <w:t xml:space="preserve"> up </w:t>
      </w:r>
      <w:proofErr w:type="spellStart"/>
      <w:r>
        <w:t>proposals</w:t>
      </w:r>
      <w:proofErr w:type="spellEnd"/>
      <w:r>
        <w:t xml:space="preserve"> for </w:t>
      </w:r>
      <w:proofErr w:type="spellStart"/>
      <w:r>
        <w:t>upgrading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for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Norwegian marine </w:t>
      </w:r>
      <w:proofErr w:type="spellStart"/>
      <w:r>
        <w:t>industries</w:t>
      </w:r>
      <w:proofErr w:type="spellEnd"/>
      <w:r>
        <w:t xml:space="preserve">. A </w:t>
      </w:r>
      <w:proofErr w:type="spellStart"/>
      <w:r>
        <w:t>supplementary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, for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Ocean Space Laboratories,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in 2017. This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a fjord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divided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locations: in </w:t>
      </w:r>
      <w:proofErr w:type="spellStart"/>
      <w:r>
        <w:t>the</w:t>
      </w:r>
      <w:proofErr w:type="spellEnd"/>
      <w:r>
        <w:t xml:space="preserve"> Trondheim Fjord,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Hitra/Frøya and </w:t>
      </w:r>
      <w:proofErr w:type="spellStart"/>
      <w:r>
        <w:t>outside</w:t>
      </w:r>
      <w:proofErr w:type="spellEnd"/>
      <w:r>
        <w:t xml:space="preserve"> Ålesund. The </w:t>
      </w:r>
      <w:proofErr w:type="spellStart"/>
      <w:r>
        <w:t>project</w:t>
      </w:r>
      <w:proofErr w:type="spellEnd"/>
      <w:r>
        <w:t xml:space="preserve"> is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2018.</w:t>
      </w:r>
    </w:p>
    <w:p w:rsidR="007D3CA2" w:rsidRDefault="007D3CA2" w:rsidP="007D3CA2">
      <w:pPr>
        <w:pStyle w:val="Overskrift1"/>
      </w:pPr>
      <w:proofErr w:type="spellStart"/>
      <w:r>
        <w:lastRenderedPageBreak/>
        <w:t>Objectives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plan </w:t>
      </w:r>
      <w:proofErr w:type="spellStart"/>
      <w:r>
        <w:t>period</w:t>
      </w:r>
      <w:proofErr w:type="spellEnd"/>
    </w:p>
    <w:p w:rsidR="007D3CA2" w:rsidRDefault="007D3CA2" w:rsidP="007D3CA2">
      <w:pPr>
        <w:pStyle w:val="Overskrift2"/>
      </w:pP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</w:p>
    <w:p w:rsidR="007D3CA2" w:rsidRDefault="007D3CA2" w:rsidP="007D3CA2">
      <w:r>
        <w:t xml:space="preserve">The </w:t>
      </w:r>
      <w:proofErr w:type="spellStart"/>
      <w:r>
        <w:t>overarching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long-term plan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firmly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enhancing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capacity</w:t>
      </w:r>
      <w:proofErr w:type="spellEnd"/>
    </w:p>
    <w:p w:rsidR="007D3CA2" w:rsidRDefault="007D3CA2" w:rsidP="007D3CA2">
      <w:pPr>
        <w:pStyle w:val="Liste"/>
      </w:pPr>
      <w:proofErr w:type="spellStart"/>
      <w:r>
        <w:t>tackling</w:t>
      </w:r>
      <w:proofErr w:type="spellEnd"/>
      <w:r>
        <w:t xml:space="preserve"> major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challenges</w:t>
      </w:r>
      <w:proofErr w:type="spellEnd"/>
    </w:p>
    <w:p w:rsidR="007D3CA2" w:rsidRDefault="007D3CA2" w:rsidP="007D3CA2">
      <w:pPr>
        <w:pStyle w:val="Liste"/>
      </w:pPr>
      <w:proofErr w:type="spellStart"/>
      <w:r>
        <w:t>developing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quality</w:t>
      </w:r>
      <w:proofErr w:type="spellEnd"/>
    </w:p>
    <w:p w:rsidR="007D3CA2" w:rsidRDefault="007D3CA2" w:rsidP="007D3CA2">
      <w:r>
        <w:t xml:space="preserve">The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plan </w:t>
      </w:r>
      <w:proofErr w:type="spellStart"/>
      <w:r>
        <w:t>period</w:t>
      </w:r>
      <w:proofErr w:type="spellEnd"/>
      <w:r>
        <w:t xml:space="preserve"> and for all </w:t>
      </w:r>
      <w:proofErr w:type="spellStart"/>
      <w:r>
        <w:t>subject</w:t>
      </w:r>
      <w:proofErr w:type="spellEnd"/>
      <w:r>
        <w:t xml:space="preserve"> areas,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long-term </w:t>
      </w:r>
      <w:proofErr w:type="spellStart"/>
      <w:r>
        <w:t>priorities</w:t>
      </w:r>
      <w:proofErr w:type="spellEnd"/>
      <w:r>
        <w:t xml:space="preserve"> (Seas and </w:t>
      </w:r>
      <w:proofErr w:type="spellStart"/>
      <w:r>
        <w:t>oceans</w:t>
      </w:r>
      <w:proofErr w:type="spellEnd"/>
      <w:r>
        <w:t xml:space="preserve">; </w:t>
      </w:r>
      <w:proofErr w:type="spellStart"/>
      <w:r>
        <w:t>Climate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; Public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services;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; Public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in a </w:t>
      </w:r>
      <w:proofErr w:type="spellStart"/>
      <w:r>
        <w:t>globalised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). </w:t>
      </w:r>
    </w:p>
    <w:p w:rsidR="007D3CA2" w:rsidRDefault="007D3CA2" w:rsidP="007D3CA2">
      <w:pPr>
        <w:pStyle w:val="Overskrift2"/>
      </w:pPr>
      <w:proofErr w:type="spellStart"/>
      <w:r>
        <w:t>Enhancing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capacity</w:t>
      </w:r>
      <w:proofErr w:type="spellEnd"/>
    </w:p>
    <w:p w:rsidR="007D3CA2" w:rsidRDefault="007D3CA2" w:rsidP="007D3CA2">
      <w:r>
        <w:t xml:space="preserve">It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to make Norway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innovative </w:t>
      </w:r>
      <w:proofErr w:type="spellStart"/>
      <w:r>
        <w:t>countries</w:t>
      </w:r>
      <w:proofErr w:type="spellEnd"/>
      <w:r>
        <w:t xml:space="preserve"> in Europe. Like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high-cost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must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as a basis for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productivity</w:t>
      </w:r>
      <w:proofErr w:type="spellEnd"/>
      <w:r>
        <w:t xml:space="preserve">. It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restructuring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an </w:t>
      </w:r>
      <w:proofErr w:type="spellStart"/>
      <w:r>
        <w:t>even</w:t>
      </w:r>
      <w:proofErr w:type="spellEnd"/>
      <w:r>
        <w:t xml:space="preserve"> more </w:t>
      </w:r>
      <w:proofErr w:type="spellStart"/>
      <w:r>
        <w:t>knowledge</w:t>
      </w:r>
      <w:proofErr w:type="spellEnd"/>
      <w:r>
        <w:t xml:space="preserve">- and research-intensive business </w:t>
      </w:r>
      <w:proofErr w:type="spellStart"/>
      <w:r>
        <w:t>sector</w:t>
      </w:r>
      <w:proofErr w:type="spellEnd"/>
      <w:r>
        <w:t xml:space="preserve">, and a </w:t>
      </w:r>
      <w:proofErr w:type="spellStart"/>
      <w:r>
        <w:t>correspondingly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- and research-intensive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sphere</w:t>
      </w:r>
      <w:proofErr w:type="spellEnd"/>
      <w:r>
        <w:t>.</w:t>
      </w:r>
    </w:p>
    <w:p w:rsidR="007D3CA2" w:rsidRDefault="007D3CA2" w:rsidP="007D3CA2">
      <w:r>
        <w:t xml:space="preserve">Rapid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globalisation</w:t>
      </w:r>
      <w:proofErr w:type="spellEnd"/>
      <w:r>
        <w:t xml:space="preserve"> have </w:t>
      </w:r>
      <w:proofErr w:type="spellStart"/>
      <w:r>
        <w:t>altered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. </w:t>
      </w:r>
      <w:proofErr w:type="spellStart"/>
      <w:r>
        <w:t>Globalisation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division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, </w:t>
      </w:r>
      <w:proofErr w:type="spellStart"/>
      <w:r>
        <w:t>leading</w:t>
      </w:r>
      <w:proofErr w:type="spellEnd"/>
      <w:r>
        <w:t xml:space="preserve"> to </w:t>
      </w:r>
      <w:proofErr w:type="spellStart"/>
      <w:r>
        <w:t>new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It </w:t>
      </w:r>
      <w:proofErr w:type="spellStart"/>
      <w:r>
        <w:t>also</w:t>
      </w:r>
      <w:proofErr w:type="spellEnd"/>
      <w:r>
        <w:t xml:space="preserve"> serves to </w:t>
      </w:r>
      <w:proofErr w:type="spellStart"/>
      <w:r>
        <w:t>promote</w:t>
      </w:r>
      <w:proofErr w:type="spellEnd"/>
      <w:r>
        <w:t xml:space="preserve"> and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>.</w:t>
      </w:r>
      <w:r>
        <w:rPr>
          <w:vertAlign w:val="superscript"/>
        </w:rPr>
        <w:footnoteReference w:id="20"/>
      </w:r>
      <w:r>
        <w:t xml:space="preserve"> Developments in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goods</w:t>
      </w:r>
      <w:proofErr w:type="spellEnd"/>
      <w:r>
        <w:t xml:space="preserve">, services, business </w:t>
      </w:r>
      <w:proofErr w:type="spellStart"/>
      <w:r>
        <w:t>models</w:t>
      </w:r>
      <w:proofErr w:type="spellEnd"/>
      <w:r>
        <w:t xml:space="preserve">,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 and trade </w:t>
      </w:r>
      <w:proofErr w:type="spellStart"/>
      <w:r>
        <w:t>patterns</w:t>
      </w:r>
      <w:proofErr w:type="spellEnd"/>
      <w:r>
        <w:t xml:space="preserve">. In </w:t>
      </w:r>
      <w:proofErr w:type="spellStart"/>
      <w:r>
        <w:t>future</w:t>
      </w:r>
      <w:proofErr w:type="spellEnd"/>
      <w:r>
        <w:t xml:space="preserve">,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in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and </w:t>
      </w:r>
      <w:proofErr w:type="spellStart"/>
      <w:r>
        <w:t>robotics</w:t>
      </w:r>
      <w:proofErr w:type="spellEnd"/>
      <w:r>
        <w:t xml:space="preserve">, 3D </w:t>
      </w:r>
      <w:proofErr w:type="spellStart"/>
      <w:r>
        <w:t>printing</w:t>
      </w:r>
      <w:proofErr w:type="spellEnd"/>
      <w:r>
        <w:t xml:space="preserve">, sensor </w:t>
      </w:r>
      <w:proofErr w:type="spellStart"/>
      <w:r>
        <w:t>networks</w:t>
      </w:r>
      <w:proofErr w:type="spellEnd"/>
      <w:r>
        <w:t xml:space="preserve"> and sensor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make it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and services </w:t>
      </w:r>
      <w:proofErr w:type="spellStart"/>
      <w:r>
        <w:t>competitively</w:t>
      </w:r>
      <w:proofErr w:type="spellEnd"/>
      <w:r>
        <w:t xml:space="preserve"> in </w:t>
      </w:r>
      <w:proofErr w:type="spellStart"/>
      <w:r>
        <w:t>high-cost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  <w:r>
        <w:rPr>
          <w:vertAlign w:val="superscript"/>
        </w:rPr>
        <w:footnoteReference w:id="21"/>
      </w:r>
      <w:r>
        <w:t xml:space="preserve">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developments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bioeconomy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materials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framework</w:t>
      </w:r>
      <w:proofErr w:type="spellEnd"/>
      <w:r>
        <w:t xml:space="preserve"> for green business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knowledge-based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country.</w:t>
      </w:r>
      <w:r>
        <w:rPr>
          <w:vertAlign w:val="superscript"/>
        </w:rPr>
        <w:footnoteReference w:id="22"/>
      </w:r>
      <w:r>
        <w:t xml:space="preserve"> </w:t>
      </w:r>
    </w:p>
    <w:p w:rsidR="007D3CA2" w:rsidRDefault="007D3CA2" w:rsidP="007D3CA2">
      <w:r>
        <w:t xml:space="preserve">To </w:t>
      </w:r>
      <w:proofErr w:type="spellStart"/>
      <w:r>
        <w:t>mitigate</w:t>
      </w:r>
      <w:proofErr w:type="spellEnd"/>
      <w:r>
        <w:t xml:space="preserve"> </w:t>
      </w:r>
      <w:proofErr w:type="spellStart"/>
      <w:r>
        <w:t>climate-related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must be a </w:t>
      </w:r>
      <w:proofErr w:type="spellStart"/>
      <w:r>
        <w:t>restructuring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trade and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low-emission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and an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is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non-</w:t>
      </w:r>
      <w:proofErr w:type="spellStart"/>
      <w:r>
        <w:t>renewable</w:t>
      </w:r>
      <w:proofErr w:type="spellEnd"/>
      <w:r>
        <w:t xml:space="preserve"> and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green </w:t>
      </w:r>
      <w:proofErr w:type="spellStart"/>
      <w:r>
        <w:t>technologies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 for </w:t>
      </w:r>
      <w:proofErr w:type="spellStart"/>
      <w:r>
        <w:t>restructuring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 xml:space="preserve"> to </w:t>
      </w:r>
      <w:proofErr w:type="spellStart"/>
      <w:r>
        <w:t>become</w:t>
      </w:r>
      <w:proofErr w:type="spellEnd"/>
      <w:r>
        <w:t xml:space="preserve"> more </w:t>
      </w:r>
      <w:proofErr w:type="spellStart"/>
      <w:r>
        <w:t>sustainable</w:t>
      </w:r>
      <w:proofErr w:type="spellEnd"/>
      <w:r>
        <w:t xml:space="preserve"> by 2030.</w:t>
      </w:r>
      <w:r>
        <w:rPr>
          <w:vertAlign w:val="superscript"/>
        </w:rPr>
        <w:footnoteReference w:id="23"/>
      </w:r>
      <w:r>
        <w:t xml:space="preserve">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profitable, green </w:t>
      </w:r>
      <w:proofErr w:type="spellStart"/>
      <w:r>
        <w:t>jobs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industries’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roadmaps</w:t>
      </w:r>
      <w:proofErr w:type="spellEnd"/>
      <w:r>
        <w:t xml:space="preserve"> to a </w:t>
      </w:r>
      <w:proofErr w:type="spellStart"/>
      <w:r>
        <w:t>low-emission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and </w:t>
      </w:r>
      <w:proofErr w:type="spellStart"/>
      <w:r>
        <w:t>founded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green </w:t>
      </w:r>
      <w:proofErr w:type="spellStart"/>
      <w:r>
        <w:t>competitiveness</w:t>
      </w:r>
      <w:proofErr w:type="spellEnd"/>
      <w:r>
        <w:t>.</w:t>
      </w:r>
      <w:r>
        <w:rPr>
          <w:vertAlign w:val="superscript"/>
        </w:rPr>
        <w:footnoteReference w:id="24"/>
      </w:r>
      <w:r>
        <w:t xml:space="preserve"> </w:t>
      </w:r>
    </w:p>
    <w:p w:rsidR="007D3CA2" w:rsidRDefault="007D3CA2" w:rsidP="007D3CA2">
      <w:proofErr w:type="spellStart"/>
      <w:r>
        <w:t>Restructuring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lead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eliminated</w:t>
      </w:r>
      <w:proofErr w:type="spellEnd"/>
      <w:r>
        <w:t xml:space="preserve">.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private </w:t>
      </w:r>
      <w:proofErr w:type="spellStart"/>
      <w:r>
        <w:t>sector</w:t>
      </w:r>
      <w:proofErr w:type="spellEnd"/>
      <w:r>
        <w:t xml:space="preserve"> have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substantially</w:t>
      </w:r>
      <w:proofErr w:type="spellEnd"/>
      <w:r>
        <w:t xml:space="preserve">. Public services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encountering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lastRenderedPageBreak/>
        <w:t>opportunities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restructuring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. In a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skills and </w:t>
      </w:r>
      <w:proofErr w:type="spellStart"/>
      <w:r>
        <w:t>encompasses</w:t>
      </w:r>
      <w:proofErr w:type="spellEnd"/>
      <w:r>
        <w:t xml:space="preserve"> </w:t>
      </w:r>
      <w:proofErr w:type="spellStart"/>
      <w:r>
        <w:t>fewer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jobs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exercise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and </w:t>
      </w:r>
      <w:proofErr w:type="spellStart"/>
      <w:r>
        <w:t>creative</w:t>
      </w:r>
      <w:proofErr w:type="spellEnd"/>
      <w:r>
        <w:t xml:space="preserve"> problem </w:t>
      </w:r>
      <w:proofErr w:type="spellStart"/>
      <w:r>
        <w:t>solving</w:t>
      </w:r>
      <w:proofErr w:type="spellEnd"/>
      <w:r>
        <w:t>.</w:t>
      </w:r>
      <w:r>
        <w:rPr>
          <w:vertAlign w:val="superscript"/>
        </w:rPr>
        <w:footnoteReference w:id="25"/>
      </w:r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undergraduate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continuing</w:t>
      </w:r>
      <w:proofErr w:type="spellEnd"/>
      <w:r>
        <w:t xml:space="preserve"> and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have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to play in </w:t>
      </w:r>
      <w:proofErr w:type="spellStart"/>
      <w:r>
        <w:t>equipping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for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under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restructuring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ability</w:t>
      </w:r>
      <w:proofErr w:type="spellEnd"/>
      <w:r>
        <w:t xml:space="preserve"> and </w:t>
      </w:r>
      <w:proofErr w:type="spellStart"/>
      <w:r>
        <w:t>willingness</w:t>
      </w:r>
      <w:proofErr w:type="spellEnd"/>
      <w:r>
        <w:t xml:space="preserve"> to </w:t>
      </w:r>
      <w:proofErr w:type="spellStart"/>
      <w:r>
        <w:t>utilise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to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productivity</w:t>
      </w:r>
      <w:proofErr w:type="spellEnd"/>
      <w:r>
        <w:t xml:space="preserve"> and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>.</w:t>
      </w:r>
      <w:r>
        <w:rPr>
          <w:vertAlign w:val="superscript"/>
        </w:rPr>
        <w:footnoteReference w:id="26"/>
      </w:r>
      <w:r>
        <w:t xml:space="preserve"> This </w:t>
      </w:r>
      <w:proofErr w:type="spellStart"/>
      <w:r>
        <w:t>calls</w:t>
      </w:r>
      <w:proofErr w:type="spellEnd"/>
      <w:r>
        <w:t xml:space="preserve"> for a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competence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and an </w:t>
      </w:r>
      <w:proofErr w:type="spellStart"/>
      <w:r>
        <w:t>adequate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academia</w:t>
      </w:r>
      <w:proofErr w:type="spellEnd"/>
      <w:r>
        <w:t xml:space="preserve"> and </w:t>
      </w:r>
      <w:proofErr w:type="spellStart"/>
      <w:r>
        <w:t>actors</w:t>
      </w:r>
      <w:proofErr w:type="spellEnd"/>
      <w:r>
        <w:t xml:space="preserve"> in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and </w:t>
      </w:r>
      <w:proofErr w:type="spellStart"/>
      <w:r>
        <w:t>industry</w:t>
      </w:r>
      <w:proofErr w:type="spellEnd"/>
      <w:r>
        <w:t xml:space="preserve">. Thus,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more and </w:t>
      </w:r>
      <w:proofErr w:type="gramStart"/>
      <w:r>
        <w:t>more</w:t>
      </w:r>
      <w:proofErr w:type="gram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invest</w:t>
      </w:r>
      <w:proofErr w:type="spellEnd"/>
      <w:r>
        <w:t xml:space="preserve"> in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competence</w:t>
      </w:r>
      <w:proofErr w:type="spellEnd"/>
      <w:r>
        <w:t xml:space="preserve"> in order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for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restructuring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greener business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from </w:t>
      </w:r>
      <w:proofErr w:type="spellStart"/>
      <w:r>
        <w:t>creating</w:t>
      </w:r>
      <w:proofErr w:type="spellEnd"/>
      <w:r>
        <w:t xml:space="preserve"> and </w:t>
      </w:r>
      <w:proofErr w:type="spellStart"/>
      <w:r>
        <w:t>amplifying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inequality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encourage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private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in order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restructuring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greener </w:t>
      </w:r>
      <w:proofErr w:type="spellStart"/>
      <w:r>
        <w:t>economy</w:t>
      </w:r>
      <w:proofErr w:type="spellEnd"/>
      <w:r>
        <w:t xml:space="preserve">,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and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facilitate</w:t>
      </w:r>
      <w:proofErr w:type="spellEnd"/>
      <w:r>
        <w:t xml:space="preserve"> </w:t>
      </w:r>
      <w:proofErr w:type="spellStart"/>
      <w:r>
        <w:t>new</w:t>
      </w:r>
      <w:proofErr w:type="spellEnd"/>
      <w:r>
        <w:t>, research-</w:t>
      </w:r>
      <w:proofErr w:type="spellStart"/>
      <w:r>
        <w:t>based</w:t>
      </w:r>
      <w:proofErr w:type="spellEnd"/>
      <w:r>
        <w:t xml:space="preserve"> business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academia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private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sectors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for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.</w:t>
      </w:r>
    </w:p>
    <w:p w:rsidR="007D3CA2" w:rsidRDefault="007D3CA2" w:rsidP="007D3CA2">
      <w:pPr>
        <w:pStyle w:val="Overskrift2"/>
      </w:pPr>
      <w:proofErr w:type="spellStart"/>
      <w:r>
        <w:t>Resolving</w:t>
      </w:r>
      <w:proofErr w:type="spellEnd"/>
      <w:r>
        <w:t xml:space="preserve"> major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</w:p>
    <w:p w:rsidR="007D3CA2" w:rsidRDefault="007D3CA2" w:rsidP="007D3CA2">
      <w:r>
        <w:t xml:space="preserve">The 2030 Agenda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as </w:t>
      </w:r>
      <w:proofErr w:type="spellStart"/>
      <w:r>
        <w:t>interconnected</w:t>
      </w:r>
      <w:proofErr w:type="spellEnd"/>
      <w:r>
        <w:t xml:space="preserve"> and </w:t>
      </w:r>
      <w:proofErr w:type="spellStart"/>
      <w:r>
        <w:t>thus</w:t>
      </w:r>
      <w:proofErr w:type="spellEnd"/>
      <w:r>
        <w:t xml:space="preserve"> promotes a </w:t>
      </w:r>
      <w:proofErr w:type="spellStart"/>
      <w:r>
        <w:t>better</w:t>
      </w:r>
      <w:proofErr w:type="spellEnd"/>
      <w:r>
        <w:t xml:space="preserve"> overall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today’s</w:t>
      </w:r>
      <w:proofErr w:type="spellEnd"/>
      <w:r>
        <w:t xml:space="preserve"> major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Knowledge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food</w:t>
      </w:r>
      <w:proofErr w:type="spellEnd"/>
      <w:r>
        <w:t xml:space="preserve"> and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shifts</w:t>
      </w:r>
      <w:proofErr w:type="spellEnd"/>
      <w:r>
        <w:t xml:space="preserve"> or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a rising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or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migration</w:t>
      </w:r>
      <w:proofErr w:type="spellEnd"/>
      <w:r>
        <w:t xml:space="preserve">. </w:t>
      </w:r>
      <w:proofErr w:type="spellStart"/>
      <w:r>
        <w:t>Common</w:t>
      </w:r>
      <w:proofErr w:type="spellEnd"/>
      <w:r>
        <w:t xml:space="preserve"> to 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and </w:t>
      </w:r>
      <w:proofErr w:type="spellStart"/>
      <w:r>
        <w:t>transcend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, </w:t>
      </w:r>
      <w:proofErr w:type="spellStart"/>
      <w:r>
        <w:t>sectoral</w:t>
      </w:r>
      <w:proofErr w:type="spellEnd"/>
      <w:r>
        <w:t xml:space="preserve"> and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boundaries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must be </w:t>
      </w:r>
      <w:proofErr w:type="spellStart"/>
      <w:r>
        <w:t>equally</w:t>
      </w:r>
      <w:proofErr w:type="spellEnd"/>
      <w:r>
        <w:t xml:space="preserve"> </w:t>
      </w:r>
      <w:proofErr w:type="spellStart"/>
      <w:r>
        <w:t>expansive</w:t>
      </w:r>
      <w:proofErr w:type="spellEnd"/>
      <w:r>
        <w:t xml:space="preserve">. The </w:t>
      </w:r>
      <w:proofErr w:type="spellStart"/>
      <w:r>
        <w:t>brightest</w:t>
      </w:r>
      <w:proofErr w:type="spellEnd"/>
      <w:r>
        <w:t xml:space="preserve"> </w:t>
      </w:r>
      <w:proofErr w:type="spellStart"/>
      <w:r>
        <w:t>minds</w:t>
      </w:r>
      <w:proofErr w:type="spellEnd"/>
      <w:r>
        <w:t xml:space="preserve">,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, </w:t>
      </w:r>
      <w:proofErr w:type="spellStart"/>
      <w:r>
        <w:t>sectoral</w:t>
      </w:r>
      <w:proofErr w:type="spellEnd"/>
      <w:r>
        <w:t xml:space="preserve"> or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background</w:t>
      </w:r>
      <w:proofErr w:type="spellEnd"/>
      <w:r>
        <w:t xml:space="preserve">, must </w:t>
      </w:r>
      <w:proofErr w:type="spellStart"/>
      <w:r>
        <w:t>join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to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needed</w:t>
      </w:r>
      <w:proofErr w:type="spellEnd"/>
      <w:r>
        <w:t xml:space="preserve">. Global trends </w:t>
      </w:r>
      <w:proofErr w:type="spellStart"/>
      <w:r>
        <w:t>will</w:t>
      </w:r>
      <w:proofErr w:type="spellEnd"/>
      <w:r>
        <w:t xml:space="preserve"> alter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in Norway and </w:t>
      </w:r>
      <w:proofErr w:type="spellStart"/>
      <w:r>
        <w:t>the</w:t>
      </w:r>
      <w:proofErr w:type="spellEnd"/>
      <w:r>
        <w:t xml:space="preserve"> rest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an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. Relevant trends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demographics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and trade </w:t>
      </w:r>
      <w:proofErr w:type="spellStart"/>
      <w:r>
        <w:t>patterns</w:t>
      </w:r>
      <w:proofErr w:type="spellEnd"/>
      <w:r>
        <w:t xml:space="preserve">,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,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constellations</w:t>
      </w:r>
      <w:proofErr w:type="spellEnd"/>
      <w:r>
        <w:t xml:space="preserve"> and </w:t>
      </w:r>
      <w:proofErr w:type="spellStart"/>
      <w:r>
        <w:t>cooperative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, </w:t>
      </w:r>
      <w:proofErr w:type="spellStart"/>
      <w:r>
        <w:t>migration</w:t>
      </w:r>
      <w:proofErr w:type="spellEnd"/>
      <w:r>
        <w:t xml:space="preserve">, </w:t>
      </w:r>
      <w:proofErr w:type="spellStart"/>
      <w:r>
        <w:t>degradation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The </w:t>
      </w:r>
      <w:proofErr w:type="spellStart"/>
      <w:r>
        <w:t>middle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consumes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resources</w:t>
      </w:r>
      <w:proofErr w:type="spellEnd"/>
      <w:r>
        <w:t xml:space="preserve"> and is </w:t>
      </w:r>
      <w:proofErr w:type="spellStart"/>
      <w:r>
        <w:t>exerting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climb</w:t>
      </w:r>
      <w:proofErr w:type="spellEnd"/>
      <w:r>
        <w:t xml:space="preserve"> to </w:t>
      </w:r>
      <w:proofErr w:type="spellStart"/>
      <w:r>
        <w:t>five</w:t>
      </w:r>
      <w:proofErr w:type="spellEnd"/>
      <w:r>
        <w:t xml:space="preserve"> billion </w:t>
      </w:r>
      <w:proofErr w:type="spellStart"/>
      <w:r>
        <w:t>people</w:t>
      </w:r>
      <w:proofErr w:type="spellEnd"/>
      <w:r>
        <w:t xml:space="preserve"> from </w:t>
      </w:r>
      <w:proofErr w:type="spellStart"/>
      <w:r>
        <w:t>today’s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billion.</w:t>
      </w:r>
    </w:p>
    <w:p w:rsidR="007D3CA2" w:rsidRDefault="007D3CA2" w:rsidP="007D3CA2">
      <w:r>
        <w:t xml:space="preserve">The </w:t>
      </w:r>
      <w:proofErr w:type="spellStart"/>
      <w:r>
        <w:t>consumption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materials has </w:t>
      </w:r>
      <w:proofErr w:type="spellStart"/>
      <w:r>
        <w:t>grown</w:t>
      </w:r>
      <w:proofErr w:type="spellEnd"/>
      <w:r>
        <w:t xml:space="preserve"> </w:t>
      </w:r>
      <w:proofErr w:type="spellStart"/>
      <w:r>
        <w:t>tenfold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1900, and it </w:t>
      </w:r>
      <w:proofErr w:type="spellStart"/>
      <w:r>
        <w:t>could</w:t>
      </w:r>
      <w:proofErr w:type="spellEnd"/>
      <w:r>
        <w:t xml:space="preserve"> double </w:t>
      </w:r>
      <w:proofErr w:type="spellStart"/>
      <w:r>
        <w:t>again</w:t>
      </w:r>
      <w:proofErr w:type="spellEnd"/>
      <w:r>
        <w:t xml:space="preserve"> by 2030. The global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energy</w:t>
      </w:r>
      <w:proofErr w:type="spellEnd"/>
      <w:r>
        <w:t xml:space="preserve"> and water is </w:t>
      </w:r>
      <w:proofErr w:type="spellStart"/>
      <w:r>
        <w:t>expected</w:t>
      </w:r>
      <w:proofErr w:type="spellEnd"/>
      <w:r>
        <w:t xml:space="preserve"> to rise </w:t>
      </w:r>
      <w:proofErr w:type="spellStart"/>
      <w:r>
        <w:t>between</w:t>
      </w:r>
      <w:proofErr w:type="spellEnd"/>
      <w:r>
        <w:t xml:space="preserve"> 30 and 40 per cent 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overall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food</w:t>
      </w:r>
      <w:proofErr w:type="spellEnd"/>
      <w:r>
        <w:t xml:space="preserve">, </w:t>
      </w:r>
      <w:proofErr w:type="spellStart"/>
      <w:r>
        <w:t>feed</w:t>
      </w:r>
      <w:proofErr w:type="spellEnd"/>
      <w:r>
        <w:t xml:space="preserve"> and fibres is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by 60 per cent by 2050,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cultivated</w:t>
      </w:r>
      <w:proofErr w:type="spellEnd"/>
      <w:r>
        <w:t xml:space="preserve"> land per person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reduced</w:t>
      </w:r>
      <w:proofErr w:type="spellEnd"/>
      <w:r>
        <w:t xml:space="preserve"> by 1.5 per cent per </w:t>
      </w:r>
      <w:proofErr w:type="spellStart"/>
      <w:r>
        <w:t>year</w:t>
      </w:r>
      <w:proofErr w:type="spellEnd"/>
      <w:r>
        <w:t>.</w:t>
      </w:r>
      <w:r>
        <w:rPr>
          <w:vertAlign w:val="superscript"/>
        </w:rPr>
        <w:footnoteReference w:id="27"/>
      </w:r>
      <w:r>
        <w:t xml:space="preserve"> 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other</w:t>
      </w:r>
      <w:proofErr w:type="spellEnd"/>
      <w:r>
        <w:t xml:space="preserve">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trends </w:t>
      </w:r>
      <w:proofErr w:type="spellStart"/>
      <w:r>
        <w:t>could</w:t>
      </w:r>
      <w:proofErr w:type="spellEnd"/>
      <w:r>
        <w:t xml:space="preserve"> have major </w:t>
      </w:r>
      <w:proofErr w:type="spellStart"/>
      <w:r>
        <w:t>ramifications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for Norway.</w:t>
      </w:r>
    </w:p>
    <w:p w:rsidR="007D3CA2" w:rsidRDefault="007D3CA2" w:rsidP="007D3CA2"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insight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global </w:t>
      </w:r>
      <w:proofErr w:type="spellStart"/>
      <w:r>
        <w:t>development</w:t>
      </w:r>
      <w:proofErr w:type="spellEnd"/>
      <w:r>
        <w:t xml:space="preserve"> trends, </w:t>
      </w:r>
      <w:proofErr w:type="spellStart"/>
      <w:r>
        <w:t>both</w:t>
      </w:r>
      <w:proofErr w:type="spellEnd"/>
      <w:r>
        <w:t xml:space="preserve"> to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and to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constructively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. A </w:t>
      </w:r>
      <w:proofErr w:type="spellStart"/>
      <w:r>
        <w:t>knowledge-based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lastRenderedPageBreak/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up </w:t>
      </w:r>
      <w:proofErr w:type="spellStart"/>
      <w:r>
        <w:t>opportunities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, </w:t>
      </w:r>
      <w:proofErr w:type="spellStart"/>
      <w:r>
        <w:t>future-oriented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>.</w:t>
      </w:r>
    </w:p>
    <w:p w:rsidR="007D3CA2" w:rsidRDefault="007D3CA2" w:rsidP="007D3CA2">
      <w:r>
        <w:t xml:space="preserve">Norway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part in </w:t>
      </w:r>
      <w:proofErr w:type="spellStart"/>
      <w:r>
        <w:t>this</w:t>
      </w:r>
      <w:proofErr w:type="spellEnd"/>
      <w:r>
        <w:t xml:space="preserve"> global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, and is </w:t>
      </w:r>
      <w:proofErr w:type="spellStart"/>
      <w:r>
        <w:t>well-equipped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resolve</w:t>
      </w:r>
      <w:proofErr w:type="spellEnd"/>
      <w:r>
        <w:t xml:space="preserve"> major, global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areas.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science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to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knowledge-building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climate</w:t>
      </w:r>
      <w:proofErr w:type="spellEnd"/>
      <w:r>
        <w:t xml:space="preserve"> scientists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Intergovernmental</w:t>
      </w:r>
      <w:proofErr w:type="spellEnd"/>
      <w:r>
        <w:t xml:space="preserve"> Panel </w:t>
      </w:r>
      <w:proofErr w:type="spellStart"/>
      <w:r>
        <w:t>on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and a </w:t>
      </w:r>
      <w:proofErr w:type="spellStart"/>
      <w:r>
        <w:t>medical</w:t>
      </w:r>
      <w:proofErr w:type="spellEnd"/>
      <w:r>
        <w:t xml:space="preserve"> science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vaccines</w:t>
      </w:r>
      <w:proofErr w:type="spellEnd"/>
      <w:r>
        <w:t>.</w:t>
      </w:r>
    </w:p>
    <w:p w:rsidR="007D3CA2" w:rsidRDefault="007D3CA2" w:rsidP="007D3CA2">
      <w:proofErr w:type="spellStart"/>
      <w:r>
        <w:t>Some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shared</w:t>
      </w:r>
      <w:proofErr w:type="spellEnd"/>
      <w:r>
        <w:t xml:space="preserve"> by a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in </w:t>
      </w:r>
      <w:proofErr w:type="spellStart"/>
      <w:r>
        <w:t>conjunction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ageing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This </w:t>
      </w:r>
      <w:proofErr w:type="spellStart"/>
      <w:r>
        <w:t>issue</w:t>
      </w:r>
      <w:proofErr w:type="spellEnd"/>
      <w:r>
        <w:t xml:space="preserve"> is </w:t>
      </w:r>
      <w:proofErr w:type="spellStart"/>
      <w:r>
        <w:t>particularly</w:t>
      </w:r>
      <w:proofErr w:type="spellEnd"/>
      <w:r>
        <w:t xml:space="preserve"> relevant for Norway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wealthy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well-developed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, </w:t>
      </w:r>
      <w:proofErr w:type="spellStart"/>
      <w:r>
        <w:t>whereas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have a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struggling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problems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poverty</w:t>
      </w:r>
      <w:proofErr w:type="spellEnd"/>
      <w:r>
        <w:t xml:space="preserve"> and </w:t>
      </w:r>
      <w:proofErr w:type="spellStart"/>
      <w:r>
        <w:t>inequality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universal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shifts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differ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shifts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and </w:t>
      </w:r>
      <w:proofErr w:type="spellStart"/>
      <w:r>
        <w:t>entail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have different </w:t>
      </w:r>
      <w:proofErr w:type="spellStart"/>
      <w:r>
        <w:t>implications</w:t>
      </w:r>
      <w:proofErr w:type="spellEnd"/>
      <w:r>
        <w:t xml:space="preserve"> for different </w:t>
      </w:r>
      <w:proofErr w:type="spellStart"/>
      <w:r>
        <w:t>groups</w:t>
      </w:r>
      <w:proofErr w:type="spellEnd"/>
      <w:r>
        <w:t xml:space="preserve"> and stakeholders.</w:t>
      </w:r>
    </w:p>
    <w:p w:rsidR="007D3CA2" w:rsidRDefault="007D3CA2" w:rsidP="007D3CA2">
      <w:r>
        <w:t xml:space="preserve">Most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today’s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have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in human </w:t>
      </w:r>
      <w:proofErr w:type="spellStart"/>
      <w:r>
        <w:t>activity</w:t>
      </w:r>
      <w:proofErr w:type="spellEnd"/>
      <w:r>
        <w:t xml:space="preserve">. In order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it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gain</w:t>
      </w:r>
      <w:proofErr w:type="spellEnd"/>
      <w:r>
        <w:t xml:space="preserve"> </w:t>
      </w:r>
      <w:proofErr w:type="spellStart"/>
      <w:r>
        <w:t>insight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perceptions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and </w:t>
      </w:r>
      <w:proofErr w:type="spellStart"/>
      <w:r>
        <w:t>motives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underly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stakeholders.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underutilised</w:t>
      </w:r>
      <w:proofErr w:type="spellEnd"/>
      <w:r>
        <w:t xml:space="preserve"> as a </w:t>
      </w:r>
      <w:proofErr w:type="spellStart"/>
      <w:r>
        <w:t>resource</w:t>
      </w:r>
      <w:proofErr w:type="spellEnd"/>
      <w:r>
        <w:t xml:space="preserve"> and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expectations</w:t>
      </w:r>
      <w:proofErr w:type="spellEnd"/>
      <w:r>
        <w:t xml:space="preserve"> for </w:t>
      </w:r>
      <w:proofErr w:type="spellStart"/>
      <w:r>
        <w:t>incorporating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, and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scholars</w:t>
      </w:r>
      <w:proofErr w:type="spellEnd"/>
      <w:r>
        <w:t xml:space="preserve"> and </w:t>
      </w:r>
      <w:proofErr w:type="spellStart"/>
      <w:r>
        <w:t>researchers</w:t>
      </w:r>
      <w:proofErr w:type="spellEnd"/>
      <w:r>
        <w:t xml:space="preserve">, more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to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major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>.</w:t>
      </w:r>
      <w:r>
        <w:rPr>
          <w:vertAlign w:val="superscript"/>
        </w:rPr>
        <w:footnoteReference w:id="28"/>
      </w:r>
      <w:r>
        <w:t xml:space="preserve"> </w:t>
      </w:r>
    </w:p>
    <w:p w:rsidR="007D3CA2" w:rsidRDefault="007D3CA2" w:rsidP="007D3CA2">
      <w:r>
        <w:t xml:space="preserve">During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plan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it is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greener </w:t>
      </w:r>
      <w:proofErr w:type="spellStart"/>
      <w:r>
        <w:t>society</w:t>
      </w:r>
      <w:proofErr w:type="spellEnd"/>
      <w:r>
        <w:t xml:space="preserve"> and </w:t>
      </w:r>
      <w:proofErr w:type="spellStart"/>
      <w:r>
        <w:t>achieving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state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invest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targets and promotes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shift</w:t>
      </w:r>
      <w:proofErr w:type="spellEnd"/>
      <w:r>
        <w:t xml:space="preserve"> to a greener </w:t>
      </w:r>
      <w:proofErr w:type="spellStart"/>
      <w:r>
        <w:t>society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facilitate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to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effectiveness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increase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fall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and </w:t>
      </w:r>
      <w:proofErr w:type="spellStart"/>
      <w:r>
        <w:t>keep</w:t>
      </w:r>
      <w:proofErr w:type="spellEnd"/>
      <w:r>
        <w:t xml:space="preserve"> more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longer, and </w:t>
      </w:r>
      <w:proofErr w:type="spellStart"/>
      <w:r>
        <w:t>shed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migration</w:t>
      </w:r>
      <w:proofErr w:type="spellEnd"/>
      <w:r>
        <w:t xml:space="preserve"> and an </w:t>
      </w:r>
      <w:proofErr w:type="spellStart"/>
      <w:r>
        <w:t>ageing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>.</w:t>
      </w:r>
    </w:p>
    <w:p w:rsidR="007D3CA2" w:rsidRDefault="007D3CA2" w:rsidP="007D3CA2">
      <w:pPr>
        <w:pStyle w:val="Overskrift2"/>
      </w:pPr>
      <w:proofErr w:type="spellStart"/>
      <w:r>
        <w:t>Developing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quality</w:t>
      </w:r>
      <w:proofErr w:type="spellEnd"/>
    </w:p>
    <w:p w:rsidR="007D3CA2" w:rsidRDefault="007D3CA2" w:rsidP="007D3CA2">
      <w:proofErr w:type="spellStart"/>
      <w:r>
        <w:t>Excellent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insight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disseminate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. Over time, </w:t>
      </w:r>
      <w:proofErr w:type="spellStart"/>
      <w:r>
        <w:t>there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steady, positive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for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>.</w:t>
      </w:r>
      <w:r>
        <w:rPr>
          <w:vertAlign w:val="superscript"/>
        </w:rPr>
        <w:footnoteReference w:id="29"/>
      </w:r>
      <w:r>
        <w:t xml:space="preserve"> The best </w:t>
      </w:r>
      <w:proofErr w:type="spellStart"/>
      <w:r>
        <w:t>of</w:t>
      </w:r>
      <w:proofErr w:type="spellEnd"/>
      <w:r>
        <w:t xml:space="preserve"> Norwegian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hold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comparisons</w:t>
      </w:r>
      <w:proofErr w:type="spellEnd"/>
      <w:r>
        <w:t xml:space="preserve">,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world-class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>.</w:t>
      </w:r>
    </w:p>
    <w:p w:rsidR="007D3CA2" w:rsidRDefault="007D3CA2" w:rsidP="007D3CA2">
      <w:r>
        <w:t xml:space="preserve">The Norwegian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and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have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over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The last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have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. </w:t>
      </w:r>
      <w:proofErr w:type="spellStart"/>
      <w:r>
        <w:t>Universities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colleges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have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,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to </w:t>
      </w:r>
      <w:proofErr w:type="spellStart"/>
      <w:r>
        <w:t>expand</w:t>
      </w:r>
      <w:proofErr w:type="spellEnd"/>
      <w:r>
        <w:t xml:space="preserve"> and </w:t>
      </w:r>
      <w:proofErr w:type="spellStart"/>
      <w:r>
        <w:t>accommodate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top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and to </w:t>
      </w:r>
      <w:proofErr w:type="spellStart"/>
      <w:r>
        <w:t>recruit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externally</w:t>
      </w:r>
      <w:proofErr w:type="spellEnd"/>
      <w:r>
        <w:t xml:space="preserve">. </w:t>
      </w:r>
    </w:p>
    <w:p w:rsidR="007D3CA2" w:rsidRDefault="007D3CA2" w:rsidP="007D3CA2">
      <w:proofErr w:type="spellStart"/>
      <w:r>
        <w:t>While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moving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right </w:t>
      </w:r>
      <w:proofErr w:type="spellStart"/>
      <w:r>
        <w:t>direction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potential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more. Norway still has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excellence</w:t>
      </w:r>
      <w:proofErr w:type="spellEnd"/>
      <w:r>
        <w:t xml:space="preserve"> in </w:t>
      </w:r>
      <w:proofErr w:type="spellStart"/>
      <w:r>
        <w:t>relation</w:t>
      </w:r>
      <w:proofErr w:type="spellEnd"/>
      <w:r>
        <w:t xml:space="preserve"> to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lastRenderedPageBreak/>
        <w:t>the</w:t>
      </w:r>
      <w:proofErr w:type="spellEnd"/>
      <w:r>
        <w:t xml:space="preserve"> country </w:t>
      </w:r>
      <w:proofErr w:type="spellStart"/>
      <w:r>
        <w:t>invests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The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must be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enhanced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must be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recruitment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best talents,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average</w:t>
      </w:r>
      <w:proofErr w:type="spellEnd"/>
      <w:r>
        <w:t xml:space="preserve"> age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students must be </w:t>
      </w:r>
      <w:proofErr w:type="spellStart"/>
      <w:r>
        <w:t>brought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still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to </w:t>
      </w:r>
      <w:proofErr w:type="spellStart"/>
      <w:r>
        <w:t>go</w:t>
      </w:r>
      <w:proofErr w:type="spellEnd"/>
      <w:r>
        <w:t xml:space="preserve"> in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utilising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as a </w:t>
      </w:r>
      <w:proofErr w:type="spellStart"/>
      <w:r>
        <w:t>whole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in terms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 and in terms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in senior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positions</w:t>
      </w:r>
      <w:proofErr w:type="spellEnd"/>
      <w:r>
        <w:t xml:space="preserve">. It is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openness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and make it </w:t>
      </w:r>
      <w:proofErr w:type="spellStart"/>
      <w:r>
        <w:t>easier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stakeholders to make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.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to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,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to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for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world-leading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Norway.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: </w:t>
      </w:r>
    </w:p>
    <w:p w:rsidR="007D3CA2" w:rsidRDefault="007D3CA2" w:rsidP="007D3CA2">
      <w:pPr>
        <w:pStyle w:val="Liste"/>
      </w:pP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talents to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excellent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lay</w:t>
      </w:r>
      <w:proofErr w:type="spellEnd"/>
      <w:r>
        <w:t xml:space="preserve"> a </w:t>
      </w:r>
      <w:proofErr w:type="spellStart"/>
      <w:r>
        <w:t>foundation</w:t>
      </w:r>
      <w:proofErr w:type="spellEnd"/>
      <w:r>
        <w:t xml:space="preserve"> to </w:t>
      </w:r>
      <w:proofErr w:type="spellStart"/>
      <w:r>
        <w:t>enable</w:t>
      </w:r>
      <w:proofErr w:type="spellEnd"/>
      <w:r>
        <w:t xml:space="preserve"> Norwegian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to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and be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groups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work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students, </w:t>
      </w:r>
      <w:proofErr w:type="spellStart"/>
      <w:r>
        <w:t>lecturers</w:t>
      </w:r>
      <w:proofErr w:type="spellEnd"/>
      <w:r>
        <w:t xml:space="preserve"> and </w:t>
      </w:r>
      <w:proofErr w:type="spellStart"/>
      <w:r>
        <w:t>researchers</w:t>
      </w:r>
      <w:proofErr w:type="spellEnd"/>
      <w:r>
        <w:t xml:space="preserve"> have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world-class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infrastructure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promote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diversity</w:t>
      </w:r>
      <w:proofErr w:type="spellEnd"/>
      <w:r>
        <w:t xml:space="preserve">,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openness</w:t>
      </w:r>
      <w:proofErr w:type="spellEnd"/>
      <w:r>
        <w:t xml:space="preserve"> and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standards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>.</w:t>
      </w:r>
    </w:p>
    <w:p w:rsidR="007D3CA2" w:rsidRDefault="007D3CA2" w:rsidP="007D3CA2">
      <w:pPr>
        <w:pStyle w:val="Overskrift1"/>
      </w:pPr>
      <w:r>
        <w:lastRenderedPageBreak/>
        <w:t xml:space="preserve">Seas and </w:t>
      </w:r>
      <w:proofErr w:type="spellStart"/>
      <w:r>
        <w:t>oceans</w:t>
      </w:r>
      <w:proofErr w:type="spellEnd"/>
    </w:p>
    <w:p w:rsidR="007D3CA2" w:rsidRDefault="007D3CA2" w:rsidP="007D3CA2">
      <w:r>
        <w:t xml:space="preserve">Norway is a maritime </w:t>
      </w:r>
      <w:proofErr w:type="spellStart"/>
      <w:r>
        <w:t>nation</w:t>
      </w:r>
      <w:proofErr w:type="spellEnd"/>
      <w:r>
        <w:t xml:space="preserve"> and must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t>knowledge</w:t>
      </w:r>
      <w:proofErr w:type="spellEnd"/>
      <w:r>
        <w:t xml:space="preserve"> base and a management regime </w:t>
      </w:r>
      <w:proofErr w:type="spellStart"/>
      <w:r>
        <w:t>that</w:t>
      </w:r>
      <w:proofErr w:type="spellEnd"/>
      <w:r>
        <w:t xml:space="preserve"> promotes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a </w:t>
      </w:r>
      <w:proofErr w:type="spellStart"/>
      <w:r>
        <w:t>healthy</w:t>
      </w:r>
      <w:proofErr w:type="spellEnd"/>
      <w:r>
        <w:t xml:space="preserve"> marine </w:t>
      </w:r>
      <w:proofErr w:type="spellStart"/>
      <w:r>
        <w:t>environment</w:t>
      </w:r>
      <w:proofErr w:type="spellEnd"/>
      <w:r>
        <w:t xml:space="preserve">. The </w:t>
      </w:r>
      <w:proofErr w:type="spellStart"/>
      <w:r>
        <w:t>ocean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coastline</w:t>
      </w:r>
      <w:proofErr w:type="spellEnd"/>
      <w:r>
        <w:t xml:space="preserve"> have </w:t>
      </w:r>
      <w:proofErr w:type="spellStart"/>
      <w:r>
        <w:t>played</w:t>
      </w:r>
      <w:proofErr w:type="spellEnd"/>
      <w:r>
        <w:t xml:space="preserve">, and </w:t>
      </w:r>
      <w:proofErr w:type="spellStart"/>
      <w:r>
        <w:t>continue</w:t>
      </w:r>
      <w:proofErr w:type="spellEnd"/>
      <w:r>
        <w:t xml:space="preserve"> to play,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Norwegian </w:t>
      </w:r>
      <w:proofErr w:type="spellStart"/>
      <w:r>
        <w:t>society</w:t>
      </w:r>
      <w:proofErr w:type="spellEnd"/>
      <w:r>
        <w:t xml:space="preserve"> and have </w:t>
      </w:r>
      <w:proofErr w:type="spellStart"/>
      <w:r>
        <w:t>shaped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. The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surroundings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experiences</w:t>
      </w:r>
      <w:proofErr w:type="spellEnd"/>
      <w:r>
        <w:t xml:space="preserve"> </w:t>
      </w:r>
      <w:proofErr w:type="spellStart"/>
      <w:r>
        <w:t>afforded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oceans</w:t>
      </w:r>
      <w:proofErr w:type="spellEnd"/>
      <w:r>
        <w:t xml:space="preserve"> and </w:t>
      </w:r>
      <w:proofErr w:type="spellStart"/>
      <w:r>
        <w:t>coastal</w:t>
      </w:r>
      <w:proofErr w:type="spellEnd"/>
      <w:r>
        <w:t xml:space="preserve"> areas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for Norwegian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recreation</w:t>
      </w:r>
      <w:proofErr w:type="spellEnd"/>
      <w:r>
        <w:t xml:space="preserve"> and </w:t>
      </w:r>
      <w:proofErr w:type="spellStart"/>
      <w:r>
        <w:t>tourism</w:t>
      </w:r>
      <w:proofErr w:type="spellEnd"/>
      <w:r>
        <w:t xml:space="preserve">. </w:t>
      </w:r>
      <w:proofErr w:type="spellStart"/>
      <w:r>
        <w:t>Norway’s</w:t>
      </w:r>
      <w:proofErr w:type="spellEnd"/>
      <w:r>
        <w:t xml:space="preserve"> trade and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, from shipping and </w:t>
      </w:r>
      <w:proofErr w:type="spellStart"/>
      <w:r>
        <w:t>shipbuilding</w:t>
      </w:r>
      <w:proofErr w:type="spellEnd"/>
      <w:r>
        <w:t xml:space="preserve"> to </w:t>
      </w:r>
      <w:proofErr w:type="spellStart"/>
      <w:r>
        <w:t>seafood</w:t>
      </w:r>
      <w:proofErr w:type="spellEnd"/>
      <w:r>
        <w:t xml:space="preserve">, </w:t>
      </w:r>
      <w:proofErr w:type="spellStart"/>
      <w:r>
        <w:t>oil</w:t>
      </w:r>
      <w:proofErr w:type="spellEnd"/>
      <w:r>
        <w:t xml:space="preserve"> and gas. New </w:t>
      </w:r>
      <w:proofErr w:type="spellStart"/>
      <w:r>
        <w:t>ocean-based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innovative </w:t>
      </w:r>
      <w:proofErr w:type="spellStart"/>
      <w:r>
        <w:t>products</w:t>
      </w:r>
      <w:proofErr w:type="spellEnd"/>
      <w:r>
        <w:t xml:space="preserve">, services and </w:t>
      </w:r>
      <w:proofErr w:type="spellStart"/>
      <w:r>
        <w:t>technology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emerging</w:t>
      </w:r>
      <w:proofErr w:type="spellEnd"/>
      <w:r>
        <w:t xml:space="preserve">. A major </w:t>
      </w:r>
      <w:proofErr w:type="spellStart"/>
      <w:r>
        <w:t>proportion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Norwegian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continental</w:t>
      </w:r>
      <w:proofErr w:type="spellEnd"/>
      <w:r>
        <w:t xml:space="preserve"> shelf. </w:t>
      </w:r>
    </w:p>
    <w:p w:rsidR="007D3CA2" w:rsidRDefault="007D3CA2" w:rsidP="007D3CA2">
      <w:r>
        <w:t xml:space="preserve">In spite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ocean’s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and present </w:t>
      </w:r>
      <w:proofErr w:type="spellStart"/>
      <w:r>
        <w:t>significance</w:t>
      </w:r>
      <w:proofErr w:type="spellEnd"/>
      <w:r>
        <w:t xml:space="preserve"> for Norway, </w:t>
      </w:r>
      <w:proofErr w:type="spellStart"/>
      <w:r>
        <w:t>there</w:t>
      </w:r>
      <w:proofErr w:type="spellEnd"/>
      <w:r>
        <w:t xml:space="preserve"> is still </w:t>
      </w:r>
      <w:proofErr w:type="spellStart"/>
      <w:r>
        <w:t>relatively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it </w:t>
      </w:r>
      <w:proofErr w:type="spellStart"/>
      <w:r>
        <w:t>compared</w:t>
      </w:r>
      <w:proofErr w:type="spellEnd"/>
      <w:r>
        <w:t xml:space="preserve"> to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land areas. Thus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seas</w:t>
      </w:r>
      <w:proofErr w:type="spellEnd"/>
      <w:r>
        <w:t xml:space="preserve"> and </w:t>
      </w:r>
      <w:proofErr w:type="spellStart"/>
      <w:r>
        <w:t>oceans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hold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have </w:t>
      </w:r>
      <w:proofErr w:type="spellStart"/>
      <w:r>
        <w:t>yet</w:t>
      </w:r>
      <w:proofErr w:type="spellEnd"/>
      <w:r>
        <w:t xml:space="preserve"> to be </w:t>
      </w:r>
      <w:proofErr w:type="spellStart"/>
      <w:r>
        <w:t>unleashed</w:t>
      </w:r>
      <w:proofErr w:type="spellEnd"/>
      <w:r>
        <w:t xml:space="preserve">.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have </w:t>
      </w:r>
      <w:proofErr w:type="spellStart"/>
      <w:r>
        <w:t>made</w:t>
      </w:r>
      <w:proofErr w:type="spellEnd"/>
      <w:r>
        <w:t xml:space="preserve"> it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and </w:t>
      </w:r>
      <w:proofErr w:type="spellStart"/>
      <w:r>
        <w:t>industries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. Important segments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for </w:t>
      </w:r>
      <w:proofErr w:type="spellStart"/>
      <w:r>
        <w:t>example</w:t>
      </w:r>
      <w:proofErr w:type="spellEnd"/>
      <w:r>
        <w:t xml:space="preserve"> in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exploiting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, in or 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. It is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graduates</w:t>
      </w:r>
      <w:proofErr w:type="spellEnd"/>
      <w:r>
        <w:t xml:space="preserve"> to </w:t>
      </w:r>
      <w:proofErr w:type="spellStart"/>
      <w:r>
        <w:t>utilise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foremost </w:t>
      </w:r>
      <w:proofErr w:type="spellStart"/>
      <w:r>
        <w:t>new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 to </w:t>
      </w:r>
      <w:proofErr w:type="spellStart"/>
      <w:r>
        <w:t>expand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maritime </w:t>
      </w:r>
      <w:proofErr w:type="spellStart"/>
      <w:r>
        <w:t>industries</w:t>
      </w:r>
      <w:proofErr w:type="spellEnd"/>
      <w:r>
        <w:t xml:space="preserve"> and be </w:t>
      </w:r>
      <w:proofErr w:type="spellStart"/>
      <w:r>
        <w:t>better</w:t>
      </w:r>
      <w:proofErr w:type="spellEnd"/>
      <w:r>
        <w:t xml:space="preserve"> stewards </w:t>
      </w:r>
      <w:proofErr w:type="spellStart"/>
      <w:r>
        <w:t>of</w:t>
      </w:r>
      <w:proofErr w:type="spellEnd"/>
      <w:r>
        <w:t xml:space="preserve"> marine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Social</w:t>
      </w:r>
      <w:proofErr w:type="spellEnd"/>
      <w:r>
        <w:t xml:space="preserve"> science and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must be </w:t>
      </w:r>
      <w:proofErr w:type="spellStart"/>
      <w:r>
        <w:t>incorporated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ocean-related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. For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</w:t>
      </w:r>
      <w:proofErr w:type="gramStart"/>
      <w:r>
        <w:t>to understand</w:t>
      </w:r>
      <w:proofErr w:type="gram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at different times and in different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have used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,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interpreting</w:t>
      </w:r>
      <w:proofErr w:type="spellEnd"/>
      <w:r>
        <w:t xml:space="preserve"> and </w:t>
      </w:r>
      <w:proofErr w:type="spellStart"/>
      <w:r>
        <w:t>adapting</w:t>
      </w:r>
      <w:proofErr w:type="spellEnd"/>
      <w:r>
        <w:t xml:space="preserve"> to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species </w:t>
      </w:r>
      <w:proofErr w:type="spellStart"/>
      <w:r>
        <w:t>diversity</w:t>
      </w:r>
      <w:proofErr w:type="spellEnd"/>
      <w:r>
        <w:t xml:space="preserve">. Knowledge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is pivotal to </w:t>
      </w:r>
      <w:proofErr w:type="spellStart"/>
      <w:r>
        <w:t>efforts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a sound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how</w:t>
      </w:r>
      <w:proofErr w:type="spellEnd"/>
      <w:r>
        <w:t xml:space="preserve"> best to </w:t>
      </w:r>
      <w:proofErr w:type="spellStart"/>
      <w:r>
        <w:t>exploit</w:t>
      </w:r>
      <w:proofErr w:type="spellEnd"/>
      <w:r>
        <w:t xml:space="preserve"> it.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seas</w:t>
      </w:r>
      <w:proofErr w:type="spellEnd"/>
      <w:r>
        <w:t xml:space="preserve"> and </w:t>
      </w:r>
      <w:proofErr w:type="spellStart"/>
      <w:r>
        <w:t>oceans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gramStart"/>
      <w:r>
        <w:t>to understand</w:t>
      </w:r>
      <w:proofErr w:type="gramEnd"/>
      <w:r>
        <w:t xml:space="preserve"> and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climate-related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in Norway and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globe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ocean</w:t>
      </w:r>
      <w:proofErr w:type="spellEnd"/>
      <w:r>
        <w:t xml:space="preserve"> is </w:t>
      </w:r>
      <w:proofErr w:type="spellStart"/>
      <w:r>
        <w:t>undergoing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acidification</w:t>
      </w:r>
      <w:proofErr w:type="spellEnd"/>
      <w:r>
        <w:t xml:space="preserve"> and discharges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pollutants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and </w:t>
      </w:r>
      <w:proofErr w:type="spellStart"/>
      <w:r>
        <w:t>plastic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. This </w:t>
      </w:r>
      <w:proofErr w:type="spellStart"/>
      <w:r>
        <w:t>affects</w:t>
      </w:r>
      <w:proofErr w:type="spellEnd"/>
      <w:r>
        <w:t xml:space="preserve">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marine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basis for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. Knowledge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predict</w:t>
      </w:r>
      <w:proofErr w:type="spellEnd"/>
      <w:r>
        <w:t xml:space="preserve"> and </w:t>
      </w:r>
      <w:proofErr w:type="spellStart"/>
      <w:r>
        <w:t>counteract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is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species and </w:t>
      </w:r>
      <w:proofErr w:type="spellStart"/>
      <w:r>
        <w:t>ecosystems</w:t>
      </w:r>
      <w:proofErr w:type="spellEnd"/>
      <w:r>
        <w:t xml:space="preserve"> and for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. This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improvements</w:t>
      </w:r>
      <w:proofErr w:type="spellEnd"/>
      <w:r>
        <w:t xml:space="preserve"> and </w:t>
      </w:r>
      <w:proofErr w:type="spellStart"/>
      <w:r>
        <w:t>strengthen</w:t>
      </w:r>
      <w:proofErr w:type="spellEnd"/>
      <w:r>
        <w:t xml:space="preserve"> green </w:t>
      </w:r>
      <w:proofErr w:type="spellStart"/>
      <w:r>
        <w:t>competitiveness</w:t>
      </w:r>
      <w:proofErr w:type="spellEnd"/>
      <w:r>
        <w:t xml:space="preserve"> in maritime </w:t>
      </w:r>
      <w:proofErr w:type="spellStart"/>
      <w:r>
        <w:t>industries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to matters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seas</w:t>
      </w:r>
      <w:proofErr w:type="spellEnd"/>
      <w:r>
        <w:t xml:space="preserve"> and </w:t>
      </w:r>
      <w:proofErr w:type="spellStart"/>
      <w:r>
        <w:t>oceans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and </w:t>
      </w:r>
      <w:proofErr w:type="spellStart"/>
      <w:r>
        <w:t>employment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maritime </w:t>
      </w:r>
      <w:proofErr w:type="spellStart"/>
      <w:r>
        <w:t>industries</w:t>
      </w:r>
      <w:proofErr w:type="spellEnd"/>
      <w:r>
        <w:t xml:space="preserve"> by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soundly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,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 and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ocean-based</w:t>
      </w:r>
      <w:proofErr w:type="spellEnd"/>
      <w:r>
        <w:t xml:space="preserve"> </w:t>
      </w:r>
      <w:proofErr w:type="spellStart"/>
      <w:r>
        <w:t>industry</w:t>
      </w:r>
      <w:proofErr w:type="spellEnd"/>
      <w:r>
        <w:t xml:space="preserve">. </w:t>
      </w:r>
    </w:p>
    <w:p w:rsidR="007D3CA2" w:rsidRDefault="007D3CA2" w:rsidP="007D3CA2">
      <w:r>
        <w:t xml:space="preserve">A long-term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maritime </w:t>
      </w:r>
      <w:proofErr w:type="spellStart"/>
      <w:r>
        <w:t>industries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make it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exploit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ocean</w:t>
      </w:r>
      <w:proofErr w:type="spellEnd"/>
      <w:r>
        <w:t xml:space="preserve">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continental</w:t>
      </w:r>
      <w:proofErr w:type="spellEnd"/>
      <w:r>
        <w:t xml:space="preserve"> shelf in a </w:t>
      </w:r>
      <w:proofErr w:type="spellStart"/>
      <w:r>
        <w:t>better</w:t>
      </w:r>
      <w:proofErr w:type="spellEnd"/>
      <w:r>
        <w:t xml:space="preserve">, more </w:t>
      </w:r>
      <w:proofErr w:type="spellStart"/>
      <w:r>
        <w:t>sustainable</w:t>
      </w:r>
      <w:proofErr w:type="spellEnd"/>
      <w:r>
        <w:t xml:space="preserve"> manner.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gramStart"/>
      <w:r>
        <w:t>to preserve</w:t>
      </w:r>
      <w:proofErr w:type="gramEnd"/>
      <w:r>
        <w:t xml:space="preserve"> </w:t>
      </w:r>
      <w:proofErr w:type="spellStart"/>
      <w:r>
        <w:t>healthy</w:t>
      </w:r>
      <w:proofErr w:type="spellEnd"/>
      <w:r>
        <w:t xml:space="preserve"> and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oceans</w:t>
      </w:r>
      <w:proofErr w:type="spellEnd"/>
      <w:r>
        <w:t xml:space="preserve"> for </w:t>
      </w:r>
      <w:proofErr w:type="spellStart"/>
      <w:r>
        <w:t>generations</w:t>
      </w:r>
      <w:proofErr w:type="spellEnd"/>
      <w:r>
        <w:t xml:space="preserve"> to </w:t>
      </w:r>
      <w:proofErr w:type="spellStart"/>
      <w:r>
        <w:t>come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strengthen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in order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in </w:t>
      </w:r>
      <w:proofErr w:type="spellStart"/>
      <w:r>
        <w:t>ocean</w:t>
      </w:r>
      <w:proofErr w:type="spellEnd"/>
      <w:r>
        <w:t xml:space="preserve"> and </w:t>
      </w:r>
      <w:proofErr w:type="spellStart"/>
      <w:r>
        <w:t>coastal</w:t>
      </w:r>
      <w:proofErr w:type="spellEnd"/>
      <w:r>
        <w:t xml:space="preserve"> areas and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continental</w:t>
      </w:r>
      <w:proofErr w:type="spellEnd"/>
      <w:r>
        <w:t xml:space="preserve"> shelf; </w:t>
      </w:r>
    </w:p>
    <w:p w:rsidR="007D3CA2" w:rsidRDefault="007D3CA2" w:rsidP="007D3CA2">
      <w:pPr>
        <w:pStyle w:val="Liste"/>
      </w:pPr>
      <w:proofErr w:type="spellStart"/>
      <w:r>
        <w:t>prioritise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as a basis for sound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ecosystems</w:t>
      </w:r>
      <w:proofErr w:type="spellEnd"/>
      <w:r>
        <w:t xml:space="preserve"> and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ocean</w:t>
      </w:r>
      <w:proofErr w:type="spellEnd"/>
      <w:r>
        <w:t xml:space="preserve"> and </w:t>
      </w:r>
      <w:proofErr w:type="spellStart"/>
      <w:r>
        <w:t>coastal</w:t>
      </w:r>
      <w:proofErr w:type="spellEnd"/>
      <w:r>
        <w:t xml:space="preserve"> areas;</w:t>
      </w:r>
    </w:p>
    <w:p w:rsidR="007D3CA2" w:rsidRDefault="007D3CA2" w:rsidP="007D3CA2">
      <w:pPr>
        <w:pStyle w:val="Liste"/>
      </w:pPr>
      <w:proofErr w:type="spellStart"/>
      <w:r>
        <w:t>prioritise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for </w:t>
      </w:r>
      <w:proofErr w:type="spellStart"/>
      <w:r>
        <w:t>clean</w:t>
      </w:r>
      <w:proofErr w:type="spellEnd"/>
      <w:r>
        <w:t xml:space="preserve"> and </w:t>
      </w:r>
      <w:proofErr w:type="spellStart"/>
      <w:r>
        <w:t>productive</w:t>
      </w:r>
      <w:proofErr w:type="spellEnd"/>
      <w:r>
        <w:t xml:space="preserve"> </w:t>
      </w:r>
      <w:proofErr w:type="spellStart"/>
      <w:r>
        <w:t>seas</w:t>
      </w:r>
      <w:proofErr w:type="spellEnd"/>
      <w:r>
        <w:t xml:space="preserve"> and </w:t>
      </w:r>
      <w:proofErr w:type="spellStart"/>
      <w:r>
        <w:t>healthy</w:t>
      </w:r>
      <w:proofErr w:type="spellEnd"/>
      <w:r>
        <w:t xml:space="preserve"> and safe </w:t>
      </w:r>
      <w:proofErr w:type="spellStart"/>
      <w:r>
        <w:t>seafood</w:t>
      </w:r>
      <w:proofErr w:type="spellEnd"/>
      <w:r>
        <w:t>.</w:t>
      </w:r>
    </w:p>
    <w:p w:rsidR="007D3CA2" w:rsidRDefault="007D3CA2" w:rsidP="007D3CA2">
      <w:pPr>
        <w:pStyle w:val="Overskrift1"/>
      </w:pPr>
      <w:proofErr w:type="spellStart"/>
      <w:r>
        <w:lastRenderedPageBreak/>
        <w:t>Climate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clean</w:t>
      </w:r>
      <w:proofErr w:type="spellEnd"/>
      <w:r>
        <w:t xml:space="preserve"> </w:t>
      </w:r>
      <w:proofErr w:type="spellStart"/>
      <w:r>
        <w:t>energy</w:t>
      </w:r>
      <w:proofErr w:type="spellEnd"/>
    </w:p>
    <w:p w:rsidR="007D3CA2" w:rsidRDefault="007D3CA2" w:rsidP="007D3CA2">
      <w:r>
        <w:t xml:space="preserve">It is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Norway </w:t>
      </w:r>
      <w:proofErr w:type="spellStart"/>
      <w:r>
        <w:t>will</w:t>
      </w:r>
      <w:proofErr w:type="spellEnd"/>
      <w:r>
        <w:t xml:space="preserve"> be a driving force in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continue</w:t>
      </w:r>
      <w:proofErr w:type="spellEnd"/>
      <w:r>
        <w:t xml:space="preserve"> </w:t>
      </w:r>
      <w:proofErr w:type="gramStart"/>
      <w:r>
        <w:t>to lead</w:t>
      </w:r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in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. Research and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to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targets. Norway has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area,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and </w:t>
      </w:r>
      <w:proofErr w:type="spellStart"/>
      <w:r>
        <w:t>reinforce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as a basis for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>.</w:t>
      </w:r>
    </w:p>
    <w:p w:rsidR="007D3CA2" w:rsidRDefault="007D3CA2" w:rsidP="007D3CA2">
      <w:r>
        <w:t xml:space="preserve">To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behaviour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it is </w:t>
      </w:r>
      <w:proofErr w:type="spellStart"/>
      <w:r>
        <w:t>necessary</w:t>
      </w:r>
      <w:proofErr w:type="spellEnd"/>
      <w:r>
        <w:t xml:space="preserve"> </w:t>
      </w:r>
      <w:proofErr w:type="gramStart"/>
      <w:r>
        <w:t>to understand</w:t>
      </w:r>
      <w:proofErr w:type="gram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do. This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, </w:t>
      </w:r>
      <w:proofErr w:type="spellStart"/>
      <w:r>
        <w:t>attitudes</w:t>
      </w:r>
      <w:proofErr w:type="spellEnd"/>
      <w:r>
        <w:t xml:space="preserve">, </w:t>
      </w:r>
      <w:proofErr w:type="spellStart"/>
      <w:r>
        <w:t>interests</w:t>
      </w:r>
      <w:proofErr w:type="spellEnd"/>
      <w:r>
        <w:t xml:space="preserve"> and </w:t>
      </w:r>
      <w:proofErr w:type="spellStart"/>
      <w:r>
        <w:t>motives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vital in </w:t>
      </w:r>
      <w:proofErr w:type="spellStart"/>
      <w:r>
        <w:t>producing</w:t>
      </w:r>
      <w:proofErr w:type="spellEnd"/>
      <w:r>
        <w:t xml:space="preserve">. Research </w:t>
      </w:r>
      <w:proofErr w:type="spellStart"/>
      <w:r>
        <w:t>targeting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sustainability</w:t>
      </w:r>
      <w:proofErr w:type="spellEnd"/>
      <w:r>
        <w:t xml:space="preserve"> must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incorporate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, cf. Meld. St. 25 (2016–2017) </w:t>
      </w:r>
      <w:r>
        <w:rPr>
          <w:rStyle w:val="kursiv"/>
          <w:spacing w:val="2"/>
          <w:sz w:val="21"/>
          <w:szCs w:val="21"/>
        </w:rPr>
        <w:t xml:space="preserve">The </w:t>
      </w:r>
      <w:proofErr w:type="spellStart"/>
      <w:r>
        <w:rPr>
          <w:rStyle w:val="kursiv"/>
          <w:spacing w:val="2"/>
          <w:sz w:val="21"/>
          <w:szCs w:val="21"/>
        </w:rPr>
        <w:t>Humanities</w:t>
      </w:r>
      <w:proofErr w:type="spellEnd"/>
      <w:r>
        <w:rPr>
          <w:rStyle w:val="kursiv"/>
          <w:spacing w:val="2"/>
          <w:sz w:val="21"/>
          <w:szCs w:val="21"/>
        </w:rPr>
        <w:t xml:space="preserve"> in Norway.</w:t>
      </w:r>
    </w:p>
    <w:p w:rsidR="007D3CA2" w:rsidRDefault="007D3CA2" w:rsidP="007D3CA2">
      <w:pPr>
        <w:rPr>
          <w:rStyle w:val="kursiv"/>
          <w:sz w:val="21"/>
          <w:szCs w:val="21"/>
        </w:rPr>
      </w:pPr>
      <w:r>
        <w:t xml:space="preserve">Human </w:t>
      </w:r>
      <w:proofErr w:type="spellStart"/>
      <w:r>
        <w:t>activity</w:t>
      </w:r>
      <w:proofErr w:type="spellEnd"/>
      <w:r>
        <w:t xml:space="preserve"> is </w:t>
      </w:r>
      <w:proofErr w:type="spellStart"/>
      <w:r>
        <w:t>resulting</w:t>
      </w:r>
      <w:proofErr w:type="spellEnd"/>
      <w:r>
        <w:t xml:space="preserve"> in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land area,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alien</w:t>
      </w:r>
      <w:proofErr w:type="spellEnd"/>
      <w:r>
        <w:t xml:space="preserve"> species; </w:t>
      </w:r>
      <w:proofErr w:type="spellStart"/>
      <w:r>
        <w:t>outbreaks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plant and animal </w:t>
      </w:r>
      <w:proofErr w:type="spellStart"/>
      <w:r>
        <w:t>diseases</w:t>
      </w:r>
      <w:proofErr w:type="spellEnd"/>
      <w:r>
        <w:t xml:space="preserve">; and more </w:t>
      </w:r>
      <w:proofErr w:type="spellStart"/>
      <w:r>
        <w:t>hazardous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pollution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problems pose a </w:t>
      </w:r>
      <w:proofErr w:type="spellStart"/>
      <w:r>
        <w:t>threat</w:t>
      </w:r>
      <w:proofErr w:type="spellEnd"/>
      <w:r>
        <w:t xml:space="preserve"> to </w:t>
      </w:r>
      <w:proofErr w:type="spellStart"/>
      <w:r>
        <w:t>biodiversity</w:t>
      </w:r>
      <w:proofErr w:type="spellEnd"/>
      <w:r>
        <w:t xml:space="preserve">,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, and </w:t>
      </w:r>
      <w:proofErr w:type="spellStart"/>
      <w:r>
        <w:t>can</w:t>
      </w:r>
      <w:proofErr w:type="spellEnd"/>
      <w:r>
        <w:t xml:space="preserve"> in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instances</w:t>
      </w:r>
      <w:proofErr w:type="spellEnd"/>
      <w:r>
        <w:t xml:space="preserve"> be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exacerbated</w:t>
      </w:r>
      <w:proofErr w:type="spellEnd"/>
      <w:r>
        <w:t xml:space="preserve"> by and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In order to </w:t>
      </w:r>
      <w:proofErr w:type="spellStart"/>
      <w:r>
        <w:t>establish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, it is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. </w:t>
      </w:r>
      <w:proofErr w:type="spellStart"/>
      <w:r>
        <w:t>Next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loss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biodiversity</w:t>
      </w:r>
      <w:proofErr w:type="spellEnd"/>
      <w:r>
        <w:t xml:space="preserve"> poses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is </w:t>
      </w:r>
      <w:proofErr w:type="spellStart"/>
      <w:r>
        <w:t>facing</w:t>
      </w:r>
      <w:proofErr w:type="spellEnd"/>
      <w:r>
        <w:t xml:space="preserve"> </w:t>
      </w:r>
      <w:proofErr w:type="spellStart"/>
      <w:r>
        <w:t>today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must </w:t>
      </w:r>
      <w:proofErr w:type="spellStart"/>
      <w:r>
        <w:t>provide</w:t>
      </w:r>
      <w:proofErr w:type="spellEnd"/>
      <w:r>
        <w:t xml:space="preserve"> students </w:t>
      </w:r>
      <w:proofErr w:type="spellStart"/>
      <w:r>
        <w:t>with</w:t>
      </w:r>
      <w:proofErr w:type="spellEnd"/>
      <w:r>
        <w:t xml:space="preserve"> up-to-date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global and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.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needed</w:t>
      </w:r>
      <w:proofErr w:type="spellEnd"/>
      <w:r>
        <w:t xml:space="preserve"> </w:t>
      </w:r>
      <w:proofErr w:type="gramStart"/>
      <w:r>
        <w:t>to understand</w:t>
      </w:r>
      <w:proofErr w:type="gram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and design </w:t>
      </w:r>
      <w:proofErr w:type="spellStart"/>
      <w:r>
        <w:t>viable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and </w:t>
      </w:r>
      <w:proofErr w:type="spellStart"/>
      <w:r>
        <w:t>solutions</w:t>
      </w:r>
      <w:proofErr w:type="spellEnd"/>
      <w:r>
        <w:t xml:space="preserve">. </w:t>
      </w:r>
      <w:proofErr w:type="spellStart"/>
      <w:r>
        <w:t>Stronger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for to </w:t>
      </w:r>
      <w:proofErr w:type="spellStart"/>
      <w:r>
        <w:t>optimise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and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employers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inspiration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>.</w:t>
      </w:r>
    </w:p>
    <w:p w:rsidR="007D3CA2" w:rsidRDefault="007D3CA2" w:rsidP="007D3CA2">
      <w:r>
        <w:t xml:space="preserve">Norway is an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long-term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and </w:t>
      </w:r>
      <w:proofErr w:type="spellStart"/>
      <w:r>
        <w:t>ensure</w:t>
      </w:r>
      <w:proofErr w:type="spellEnd"/>
      <w:r>
        <w:t xml:space="preserve"> reliable, </w:t>
      </w:r>
      <w:proofErr w:type="spellStart"/>
      <w:r>
        <w:t>cost-effective</w:t>
      </w:r>
      <w:proofErr w:type="spellEnd"/>
      <w:r>
        <w:t xml:space="preserve"> and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Norwegian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Norway has an </w:t>
      </w:r>
      <w:proofErr w:type="spellStart"/>
      <w:r>
        <w:t>excellent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electricity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and </w:t>
      </w:r>
      <w:proofErr w:type="spellStart"/>
      <w:r>
        <w:t>wide</w:t>
      </w:r>
      <w:proofErr w:type="spellEnd"/>
      <w:r>
        <w:t xml:space="preserve">-ranging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Moreover</w:t>
      </w:r>
      <w:proofErr w:type="spellEnd"/>
      <w:r>
        <w:t xml:space="preserve">, Norwegian </w:t>
      </w:r>
      <w:proofErr w:type="spellStart"/>
      <w:r>
        <w:t>companies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have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in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green </w:t>
      </w:r>
      <w:proofErr w:type="spellStart"/>
      <w:r>
        <w:t>technologies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: </w:t>
      </w:r>
    </w:p>
    <w:p w:rsidR="007D3CA2" w:rsidRDefault="007D3CA2" w:rsidP="007D3CA2">
      <w:pPr>
        <w:pStyle w:val="Liste"/>
      </w:pPr>
      <w:proofErr w:type="spellStart"/>
      <w:r>
        <w:t>strengthen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for </w:t>
      </w:r>
      <w:proofErr w:type="spellStart"/>
      <w:r>
        <w:t>restructuring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a </w:t>
      </w:r>
      <w:proofErr w:type="spellStart"/>
      <w:r>
        <w:t>low-emission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give</w:t>
      </w:r>
      <w:proofErr w:type="spellEnd"/>
      <w:r>
        <w:t xml:space="preserve"> </w:t>
      </w:r>
      <w:proofErr w:type="spellStart"/>
      <w:r>
        <w:t>priority</w:t>
      </w:r>
      <w:proofErr w:type="spellEnd"/>
      <w:r>
        <w:t xml:space="preserve"> to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and </w:t>
      </w:r>
      <w:proofErr w:type="spellStart"/>
      <w:r>
        <w:t>solutions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to a greener </w:t>
      </w:r>
      <w:proofErr w:type="spellStart"/>
      <w:r>
        <w:t>society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strengthen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lay</w:t>
      </w:r>
      <w:proofErr w:type="spellEnd"/>
      <w:r>
        <w:t xml:space="preserve"> a </w:t>
      </w:r>
      <w:proofErr w:type="spellStart"/>
      <w:r>
        <w:t>foundation</w:t>
      </w:r>
      <w:proofErr w:type="spellEnd"/>
      <w:r>
        <w:t xml:space="preserve"> for </w:t>
      </w:r>
      <w:proofErr w:type="spellStart"/>
      <w:r>
        <w:t>successful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strengthen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to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an </w:t>
      </w:r>
      <w:proofErr w:type="spellStart"/>
      <w:r>
        <w:t>integrated</w:t>
      </w:r>
      <w:proofErr w:type="spellEnd"/>
      <w:r>
        <w:t xml:space="preserve">, </w:t>
      </w:r>
      <w:proofErr w:type="spellStart"/>
      <w:r>
        <w:t>knowledge-based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safeguards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>.</w:t>
      </w:r>
    </w:p>
    <w:p w:rsidR="007D3CA2" w:rsidRDefault="007D3CA2" w:rsidP="007D3CA2">
      <w:pPr>
        <w:pStyle w:val="Overskrift1"/>
      </w:pPr>
      <w:r>
        <w:lastRenderedPageBreak/>
        <w:t xml:space="preserve">Public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services</w:t>
      </w:r>
    </w:p>
    <w:p w:rsidR="007D3CA2" w:rsidRDefault="007D3CA2" w:rsidP="007D3CA2">
      <w:pPr>
        <w:rPr>
          <w:spacing w:val="2"/>
        </w:rPr>
      </w:pPr>
      <w:r>
        <w:t xml:space="preserve">It is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Norway is a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. High </w:t>
      </w:r>
      <w:proofErr w:type="spellStart"/>
      <w:r>
        <w:t>employment</w:t>
      </w:r>
      <w:proofErr w:type="spellEnd"/>
      <w:r>
        <w:t xml:space="preserve"> and </w:t>
      </w:r>
      <w:proofErr w:type="spellStart"/>
      <w:r>
        <w:t>labour</w:t>
      </w:r>
      <w:proofErr w:type="spellEnd"/>
      <w:r>
        <w:t xml:space="preserve"> force </w:t>
      </w:r>
      <w:proofErr w:type="spellStart"/>
      <w:r>
        <w:t>participation</w:t>
      </w:r>
      <w:proofErr w:type="spellEnd"/>
      <w:r>
        <w:t xml:space="preserve"> and an </w:t>
      </w:r>
      <w:proofErr w:type="spellStart"/>
      <w:r>
        <w:t>effective</w:t>
      </w:r>
      <w:proofErr w:type="spellEnd"/>
      <w:r>
        <w:t xml:space="preserve">, </w:t>
      </w:r>
      <w:proofErr w:type="spellStart"/>
      <w:r>
        <w:t>adaptable</w:t>
      </w:r>
      <w:proofErr w:type="spellEnd"/>
      <w:r>
        <w:t xml:space="preserve"> and innovative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in </w:t>
      </w:r>
      <w:proofErr w:type="spellStart"/>
      <w:r>
        <w:t>future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consists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and </w:t>
      </w:r>
      <w:proofErr w:type="spellStart"/>
      <w:r>
        <w:t>businesses</w:t>
      </w:r>
      <w:proofErr w:type="spellEnd"/>
      <w:r>
        <w:t xml:space="preserve"> and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wholly-owned</w:t>
      </w:r>
      <w:proofErr w:type="spellEnd"/>
      <w:r>
        <w:t xml:space="preserve"> by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.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to problems </w:t>
      </w:r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of</w:t>
      </w:r>
      <w:proofErr w:type="spellEnd"/>
      <w:r>
        <w:t xml:space="preserve"> major </w:t>
      </w:r>
      <w:proofErr w:type="spellStart"/>
      <w:r>
        <w:t>importance</w:t>
      </w:r>
      <w:proofErr w:type="spellEnd"/>
      <w:r>
        <w:t xml:space="preserve"> to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improving</w:t>
      </w:r>
      <w:proofErr w:type="spellEnd"/>
      <w:r>
        <w:t xml:space="preserve"> services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. The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accounts</w:t>
      </w:r>
      <w:proofErr w:type="spellEnd"/>
      <w:r>
        <w:t xml:space="preserve"> for just </w:t>
      </w:r>
      <w:proofErr w:type="spellStart"/>
      <w:r>
        <w:t>below</w:t>
      </w:r>
      <w:proofErr w:type="spellEnd"/>
      <w:r>
        <w:t xml:space="preserve"> 50 per cent </w:t>
      </w:r>
      <w:proofErr w:type="spellStart"/>
      <w:r>
        <w:t>of</w:t>
      </w:r>
      <w:proofErr w:type="spellEnd"/>
      <w:r>
        <w:t xml:space="preserve"> GDP and one-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force. The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delivering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services and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, designing and </w:t>
      </w:r>
      <w:proofErr w:type="spellStart"/>
      <w:r>
        <w:t>implementing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,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and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democratic</w:t>
      </w:r>
      <w:proofErr w:type="spellEnd"/>
      <w:r>
        <w:t xml:space="preserve"> </w:t>
      </w:r>
      <w:proofErr w:type="spellStart"/>
      <w:r>
        <w:t>values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seeks</w:t>
      </w:r>
      <w:proofErr w:type="spellEnd"/>
      <w:r>
        <w:t xml:space="preserve"> </w:t>
      </w:r>
      <w:proofErr w:type="gramStart"/>
      <w:r>
        <w:t xml:space="preserve">to </w:t>
      </w:r>
      <w:proofErr w:type="spellStart"/>
      <w:r>
        <w:t>modernise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in order to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. The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must be </w:t>
      </w:r>
      <w:proofErr w:type="spellStart"/>
      <w:r>
        <w:t>renewed</w:t>
      </w:r>
      <w:proofErr w:type="spellEnd"/>
      <w:r>
        <w:t xml:space="preserve"> and </w:t>
      </w:r>
      <w:proofErr w:type="spellStart"/>
      <w:r>
        <w:t>simplified</w:t>
      </w:r>
      <w:proofErr w:type="spellEnd"/>
      <w:r>
        <w:t xml:space="preserve">, and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needs</w:t>
      </w:r>
      <w:proofErr w:type="spellEnd"/>
      <w:r>
        <w:t xml:space="preserve">-driven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must </w:t>
      </w:r>
      <w:proofErr w:type="spellStart"/>
      <w:r>
        <w:t>therefore</w:t>
      </w:r>
      <w:proofErr w:type="spellEnd"/>
      <w:r>
        <w:t xml:space="preserve"> be </w:t>
      </w:r>
      <w:proofErr w:type="spellStart"/>
      <w:r>
        <w:t>intensified</w:t>
      </w:r>
      <w:proofErr w:type="spellEnd"/>
      <w:r>
        <w:t xml:space="preserve">. The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must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and make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research-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. High-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play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modernisation</w:t>
      </w:r>
      <w:proofErr w:type="spellEnd"/>
      <w:r>
        <w:t xml:space="preserve">, </w:t>
      </w:r>
      <w:proofErr w:type="spellStart"/>
      <w:r>
        <w:t>efficiency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>.</w:t>
      </w:r>
    </w:p>
    <w:p w:rsidR="007D3CA2" w:rsidRDefault="007D3CA2" w:rsidP="007D3CA2">
      <w:r>
        <w:t xml:space="preserve">Public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must be in </w:t>
      </w:r>
      <w:proofErr w:type="spellStart"/>
      <w:r>
        <w:t>possession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foster </w:t>
      </w:r>
      <w:proofErr w:type="spellStart"/>
      <w:r>
        <w:t>new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and </w:t>
      </w:r>
      <w:proofErr w:type="spellStart"/>
      <w:r>
        <w:t>collaborating</w:t>
      </w:r>
      <w:proofErr w:type="spellEnd"/>
      <w:r>
        <w:t xml:space="preserve">. This is imperative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is to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and services in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tomorrow’s</w:t>
      </w:r>
      <w:proofErr w:type="spellEnd"/>
      <w:r>
        <w:t xml:space="preserve"> </w:t>
      </w:r>
      <w:proofErr w:type="spellStart"/>
      <w:r>
        <w:t>stricter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constraints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overall, and </w:t>
      </w:r>
      <w:proofErr w:type="spellStart"/>
      <w:r>
        <w:t>seek</w:t>
      </w:r>
      <w:proofErr w:type="spellEnd"/>
      <w:r>
        <w:t xml:space="preserve"> to </w:t>
      </w:r>
      <w:proofErr w:type="spellStart"/>
      <w:r>
        <w:t>expand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>.</w:t>
      </w:r>
    </w:p>
    <w:p w:rsidR="007D3CA2" w:rsidRDefault="007D3CA2" w:rsidP="007D3CA2">
      <w:r>
        <w:t xml:space="preserve">The business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part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. The business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stakeholders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gramStart"/>
      <w:r>
        <w:t xml:space="preserve">to </w:t>
      </w:r>
      <w:proofErr w:type="spellStart"/>
      <w:r>
        <w:t>modernise</w:t>
      </w:r>
      <w:proofErr w:type="spellEnd"/>
      <w:proofErr w:type="gramEnd"/>
      <w:r>
        <w:t xml:space="preserve">, </w:t>
      </w:r>
      <w:proofErr w:type="spellStart"/>
      <w:r>
        <w:t>streamline</w:t>
      </w:r>
      <w:proofErr w:type="spellEnd"/>
      <w:r>
        <w:t xml:space="preserve">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services.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services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by or in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private </w:t>
      </w:r>
      <w:proofErr w:type="spellStart"/>
      <w:r>
        <w:t>actors</w:t>
      </w:r>
      <w:proofErr w:type="spellEnd"/>
      <w:r>
        <w:t xml:space="preserve">. The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procures</w:t>
      </w:r>
      <w:proofErr w:type="spellEnd"/>
      <w:r>
        <w:t xml:space="preserve"> </w:t>
      </w:r>
      <w:proofErr w:type="spellStart"/>
      <w:r>
        <w:t>goods</w:t>
      </w:r>
      <w:proofErr w:type="spellEnd"/>
      <w:r>
        <w:t xml:space="preserve"> and services </w:t>
      </w:r>
      <w:proofErr w:type="spellStart"/>
      <w:r>
        <w:t>worth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NOK 500 billion per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unrealised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for </w:t>
      </w:r>
      <w:proofErr w:type="gramStart"/>
      <w:r>
        <w:t>more</w:t>
      </w:r>
      <w:proofErr w:type="gram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pre-</w:t>
      </w:r>
      <w:proofErr w:type="spellStart"/>
      <w:r>
        <w:t>commercial</w:t>
      </w:r>
      <w:proofErr w:type="spellEnd"/>
      <w:r>
        <w:t xml:space="preserve"> and innovative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step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pace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. Automation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artificial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, over time,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and make it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services, </w:t>
      </w:r>
      <w:proofErr w:type="spellStart"/>
      <w:r>
        <w:t>thereby</w:t>
      </w:r>
      <w:proofErr w:type="spellEnd"/>
      <w:r>
        <w:t xml:space="preserve"> </w:t>
      </w:r>
      <w:proofErr w:type="spellStart"/>
      <w:r>
        <w:t>enhancing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state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thus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for </w:t>
      </w:r>
      <w:proofErr w:type="gramStart"/>
      <w:r>
        <w:t>more</w:t>
      </w:r>
      <w:proofErr w:type="gramEnd"/>
      <w:r>
        <w:t xml:space="preserve"> research-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make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. </w:t>
      </w:r>
      <w:proofErr w:type="spellStart"/>
      <w:r>
        <w:t>Moving</w:t>
      </w:r>
      <w:proofErr w:type="spellEnd"/>
      <w:r>
        <w:t xml:space="preserve"> forward, digital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incorporated</w:t>
      </w:r>
      <w:proofErr w:type="spellEnd"/>
      <w:r>
        <w:t xml:space="preserve"> as a more integral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aimed</w:t>
      </w:r>
      <w:proofErr w:type="spellEnd"/>
      <w:r>
        <w:t xml:space="preserve"> at </w:t>
      </w:r>
      <w:proofErr w:type="spellStart"/>
      <w:r>
        <w:t>jobs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.</w:t>
      </w:r>
    </w:p>
    <w:p w:rsidR="007D3CA2" w:rsidRDefault="007D3CA2" w:rsidP="007D3CA2">
      <w:proofErr w:type="spellStart"/>
      <w:r>
        <w:t>Making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data more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for </w:t>
      </w:r>
      <w:proofErr w:type="spellStart"/>
      <w:r>
        <w:t>researchers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at </w:t>
      </w:r>
      <w:proofErr w:type="spellStart"/>
      <w:r>
        <w:t>large</w:t>
      </w:r>
      <w:proofErr w:type="spellEnd"/>
      <w:r>
        <w:t xml:space="preserve"> is an </w:t>
      </w:r>
      <w:proofErr w:type="spellStart"/>
      <w:r>
        <w:t>established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.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by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actors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. Better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public</w:t>
      </w:r>
      <w:proofErr w:type="spellEnd"/>
      <w:r>
        <w:t xml:space="preserve"> data, for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data, for </w:t>
      </w:r>
      <w:proofErr w:type="spellStart"/>
      <w:r>
        <w:t>researchers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lead to </w:t>
      </w:r>
      <w:proofErr w:type="spellStart"/>
      <w:r>
        <w:t>better</w:t>
      </w:r>
      <w:proofErr w:type="spellEnd"/>
      <w:r>
        <w:t xml:space="preserve"> and more relevant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smarter</w:t>
      </w:r>
      <w:proofErr w:type="spellEnd"/>
      <w:r>
        <w:t xml:space="preserve"> service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</w:t>
      </w:r>
      <w:proofErr w:type="spellStart"/>
      <w:r>
        <w:t>targeted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renewal</w:t>
      </w:r>
      <w:proofErr w:type="spellEnd"/>
      <w:r>
        <w:t xml:space="preserve">, </w:t>
      </w:r>
      <w:proofErr w:type="spellStart"/>
      <w:r>
        <w:t>improvement</w:t>
      </w:r>
      <w:proofErr w:type="spellEnd"/>
      <w:r>
        <w:t xml:space="preserve"> and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lead to </w:t>
      </w:r>
      <w:proofErr w:type="spellStart"/>
      <w:r>
        <w:t>better</w:t>
      </w:r>
      <w:proofErr w:type="spellEnd"/>
      <w:r>
        <w:t xml:space="preserve">, more </w:t>
      </w:r>
      <w:proofErr w:type="spellStart"/>
      <w:r>
        <w:t>effective</w:t>
      </w:r>
      <w:proofErr w:type="spellEnd"/>
      <w:r>
        <w:t xml:space="preserve"> services and </w:t>
      </w:r>
      <w:proofErr w:type="spellStart"/>
      <w:r>
        <w:t>measures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encourage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and </w:t>
      </w:r>
      <w:proofErr w:type="spellStart"/>
      <w:r>
        <w:t>relevance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to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for a more </w:t>
      </w:r>
      <w:proofErr w:type="spellStart"/>
      <w:r>
        <w:t>knowledge-based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better</w:t>
      </w:r>
      <w:proofErr w:type="spellEnd"/>
      <w:r>
        <w:t xml:space="preserve"> service </w:t>
      </w:r>
      <w:proofErr w:type="spellStart"/>
      <w:r>
        <w:t>production</w:t>
      </w:r>
      <w:proofErr w:type="spellEnd"/>
      <w:r>
        <w:t xml:space="preserve">; </w:t>
      </w:r>
    </w:p>
    <w:p w:rsidR="007D3CA2" w:rsidRDefault="007D3CA2" w:rsidP="007D3CA2">
      <w:pPr>
        <w:pStyle w:val="Liste"/>
      </w:pPr>
      <w:proofErr w:type="spellStart"/>
      <w:r>
        <w:t>expand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and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facilitate</w:t>
      </w:r>
      <w:proofErr w:type="spellEnd"/>
      <w:r>
        <w:t xml:space="preserve"> more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needs</w:t>
      </w:r>
      <w:proofErr w:type="spellEnd"/>
      <w:r>
        <w:t xml:space="preserve">-driven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encourage</w:t>
      </w:r>
      <w:proofErr w:type="spellEnd"/>
      <w:r>
        <w:t xml:space="preserve"> </w:t>
      </w:r>
      <w:proofErr w:type="spellStart"/>
      <w:r>
        <w:t>broader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business </w:t>
      </w:r>
      <w:proofErr w:type="spellStart"/>
      <w:r>
        <w:t>sector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innovative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lay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foundation</w:t>
      </w:r>
      <w:proofErr w:type="spellEnd"/>
      <w:r>
        <w:t xml:space="preserve"> for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data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>.</w:t>
      </w:r>
    </w:p>
    <w:p w:rsidR="007D3CA2" w:rsidRDefault="007D3CA2" w:rsidP="007D3CA2">
      <w:pPr>
        <w:pStyle w:val="Overskrift1"/>
      </w:pPr>
      <w:proofErr w:type="spellStart"/>
      <w:r>
        <w:lastRenderedPageBreak/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</w:p>
    <w:p w:rsidR="007D3CA2" w:rsidRDefault="007D3CA2" w:rsidP="007D3CA2">
      <w:proofErr w:type="spellStart"/>
      <w:r>
        <w:t>Enabling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used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</w:t>
      </w:r>
      <w:proofErr w:type="spellStart"/>
      <w:r>
        <w:t>products</w:t>
      </w:r>
      <w:proofErr w:type="spellEnd"/>
      <w:r>
        <w:t xml:space="preserve"> and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areas and </w:t>
      </w:r>
      <w:proofErr w:type="spellStart"/>
      <w:r>
        <w:t>can</w:t>
      </w:r>
      <w:proofErr w:type="spellEnd"/>
      <w:r>
        <w:t xml:space="preserve"> lead to major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letterpress</w:t>
      </w:r>
      <w:proofErr w:type="spellEnd"/>
      <w:r>
        <w:t xml:space="preserve"> </w:t>
      </w:r>
      <w:proofErr w:type="spellStart"/>
      <w:r>
        <w:t>printing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and </w:t>
      </w:r>
      <w:proofErr w:type="spellStart"/>
      <w:r>
        <w:t>electricity</w:t>
      </w:r>
      <w:proofErr w:type="spellEnd"/>
      <w:r>
        <w:t xml:space="preserve">.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encompass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communications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(ICT), </w:t>
      </w:r>
      <w:proofErr w:type="spellStart"/>
      <w:r>
        <w:t>nanotechnology</w:t>
      </w:r>
      <w:proofErr w:type="spellEnd"/>
      <w:r>
        <w:t xml:space="preserve">, </w:t>
      </w:r>
      <w:proofErr w:type="spellStart"/>
      <w:r>
        <w:t>biotechnology</w:t>
      </w:r>
      <w:proofErr w:type="spellEnd"/>
      <w:r>
        <w:t xml:space="preserve"> and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The </w:t>
      </w:r>
      <w:proofErr w:type="spellStart"/>
      <w:r>
        <w:t>focus</w:t>
      </w:r>
      <w:proofErr w:type="spellEnd"/>
      <w:r>
        <w:t xml:space="preserve"> areas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coincide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«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Technologies» under </w:t>
      </w:r>
      <w:proofErr w:type="spellStart"/>
      <w:r>
        <w:t>the</w:t>
      </w:r>
      <w:proofErr w:type="spellEnd"/>
      <w:r>
        <w:t xml:space="preserve"> EU Framework </w:t>
      </w:r>
      <w:proofErr w:type="spellStart"/>
      <w:r>
        <w:t>Programme</w:t>
      </w:r>
      <w:proofErr w:type="spellEnd"/>
      <w:r>
        <w:t xml:space="preserve"> for Research and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Horizon</w:t>
      </w:r>
      <w:proofErr w:type="spellEnd"/>
      <w:r>
        <w:t xml:space="preserve"> 2020.</w:t>
      </w:r>
    </w:p>
    <w:p w:rsidR="007D3CA2" w:rsidRDefault="007D3CA2" w:rsidP="007D3CA2">
      <w:r>
        <w:t xml:space="preserve">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facilitates</w:t>
      </w:r>
      <w:proofErr w:type="spellEnd"/>
      <w:r>
        <w:t xml:space="preserve"> </w:t>
      </w:r>
      <w:proofErr w:type="spellStart"/>
      <w:r>
        <w:t>knowledge-based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restructuring</w:t>
      </w:r>
      <w:proofErr w:type="spellEnd"/>
      <w:r>
        <w:t xml:space="preserve"> in all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have </w:t>
      </w:r>
      <w:proofErr w:type="spellStart"/>
      <w:r>
        <w:t>broad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different </w:t>
      </w:r>
      <w:proofErr w:type="spellStart"/>
      <w:r>
        <w:t>sectors</w:t>
      </w:r>
      <w:proofErr w:type="spellEnd"/>
      <w:r>
        <w:t xml:space="preserve"> and </w:t>
      </w:r>
      <w:proofErr w:type="spellStart"/>
      <w:r>
        <w:t>industries</w:t>
      </w:r>
      <w:proofErr w:type="spellEnd"/>
      <w:r>
        <w:t xml:space="preserve"> and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of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in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major </w:t>
      </w:r>
      <w:proofErr w:type="spellStart"/>
      <w:r>
        <w:t>challenges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 and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competitiveness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Norwegian trade and </w:t>
      </w:r>
      <w:proofErr w:type="spellStart"/>
      <w:r>
        <w:t>industry</w:t>
      </w:r>
      <w:proofErr w:type="spellEnd"/>
      <w:r>
        <w:t xml:space="preserve">. Development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facilitates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in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Things, </w:t>
      </w:r>
      <w:proofErr w:type="spellStart"/>
      <w:r>
        <w:t>robotics</w:t>
      </w:r>
      <w:proofErr w:type="spellEnd"/>
      <w:r>
        <w:t xml:space="preserve"> and </w:t>
      </w:r>
      <w:proofErr w:type="spellStart"/>
      <w:r>
        <w:t>automation</w:t>
      </w:r>
      <w:proofErr w:type="spellEnd"/>
      <w:r>
        <w:t xml:space="preserve">, </w:t>
      </w:r>
      <w:proofErr w:type="spellStart"/>
      <w:r>
        <w:t>virtual</w:t>
      </w:r>
      <w:proofErr w:type="spellEnd"/>
      <w:r>
        <w:t xml:space="preserve"> or </w:t>
      </w:r>
      <w:proofErr w:type="spellStart"/>
      <w:r>
        <w:t>augmented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, Big Data, additive </w:t>
      </w:r>
      <w:proofErr w:type="spellStart"/>
      <w:r>
        <w:t>layer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and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biorefining</w:t>
      </w:r>
      <w:proofErr w:type="spellEnd"/>
      <w:r>
        <w:t xml:space="preserve"> and </w:t>
      </w:r>
      <w:proofErr w:type="spellStart"/>
      <w:r>
        <w:t>processing</w:t>
      </w:r>
      <w:proofErr w:type="spellEnd"/>
      <w:r>
        <w:t xml:space="preserve">. This forms </w:t>
      </w:r>
      <w:proofErr w:type="spellStart"/>
      <w:r>
        <w:t>the</w:t>
      </w:r>
      <w:proofErr w:type="spellEnd"/>
      <w:r>
        <w:t xml:space="preserve"> basis for a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array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and </w:t>
      </w:r>
      <w:proofErr w:type="spellStart"/>
      <w:r>
        <w:t>products</w:t>
      </w:r>
      <w:proofErr w:type="spellEnd"/>
      <w:r>
        <w:t>.</w:t>
      </w:r>
    </w:p>
    <w:p w:rsidR="007D3CA2" w:rsidRDefault="007D3CA2" w:rsidP="007D3CA2">
      <w:r>
        <w:t xml:space="preserve">Technology </w:t>
      </w:r>
      <w:proofErr w:type="spellStart"/>
      <w:r>
        <w:t>development</w:t>
      </w:r>
      <w:proofErr w:type="spellEnd"/>
      <w:r>
        <w:t xml:space="preserve"> is rapid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gain</w:t>
      </w:r>
      <w:proofErr w:type="spellEnd"/>
      <w:r>
        <w:t xml:space="preserve"> in </w:t>
      </w:r>
      <w:proofErr w:type="spellStart"/>
      <w:r>
        <w:t>importance</w:t>
      </w:r>
      <w:proofErr w:type="spellEnd"/>
      <w:r>
        <w:t xml:space="preserve">. Research and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is a </w:t>
      </w:r>
      <w:proofErr w:type="spellStart"/>
      <w:r>
        <w:t>key</w:t>
      </w:r>
      <w:proofErr w:type="spellEnd"/>
      <w:r>
        <w:t xml:space="preserve"> instrument for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areas. The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is for Norway to be at </w:t>
      </w:r>
      <w:proofErr w:type="spellStart"/>
      <w:r>
        <w:t>the</w:t>
      </w:r>
      <w:proofErr w:type="spellEnd"/>
      <w:r>
        <w:t xml:space="preserve"> forefront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. This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applies</w:t>
      </w:r>
      <w:proofErr w:type="spellEnd"/>
      <w:r>
        <w:t xml:space="preserve"> in areas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and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business </w:t>
      </w:r>
      <w:proofErr w:type="spellStart"/>
      <w:r>
        <w:t>development</w:t>
      </w:r>
      <w:proofErr w:type="spellEnd"/>
      <w:r>
        <w:t xml:space="preserve"> or play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resolving</w:t>
      </w:r>
      <w:proofErr w:type="spellEnd"/>
      <w:r>
        <w:t xml:space="preserve"> major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from different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>, and a cross-</w:t>
      </w:r>
      <w:proofErr w:type="spellStart"/>
      <w:r>
        <w:t>disciplinary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, e.g.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a </w:t>
      </w:r>
      <w:proofErr w:type="spellStart"/>
      <w:r>
        <w:t>responsible</w:t>
      </w:r>
      <w:proofErr w:type="spellEnd"/>
      <w:r>
        <w:t xml:space="preserve"> manner.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emphasise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interconnections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different </w:t>
      </w:r>
      <w:proofErr w:type="spellStart"/>
      <w:r>
        <w:t>technology</w:t>
      </w:r>
      <w:proofErr w:type="spellEnd"/>
      <w:r>
        <w:t xml:space="preserve"> areas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applied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mathematics have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stronger</w:t>
      </w:r>
      <w:proofErr w:type="spellEnd"/>
      <w:r>
        <w:t xml:space="preserve">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This has led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emergence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multiple </w:t>
      </w:r>
      <w:proofErr w:type="spellStart"/>
      <w:r>
        <w:t>convergent</w:t>
      </w:r>
      <w:proofErr w:type="spellEnd"/>
      <w:r>
        <w:t xml:space="preserve"> and to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ground-breaking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.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convergence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different </w:t>
      </w:r>
      <w:proofErr w:type="spellStart"/>
      <w:r>
        <w:t>technologies</w:t>
      </w:r>
      <w:proofErr w:type="spellEnd"/>
      <w:r>
        <w:t xml:space="preserve"> and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must be </w:t>
      </w:r>
      <w:proofErr w:type="spellStart"/>
      <w:r>
        <w:t>sufficiently</w:t>
      </w:r>
      <w:proofErr w:type="spellEnd"/>
      <w:r>
        <w:t xml:space="preserve"> </w:t>
      </w:r>
      <w:proofErr w:type="spellStart"/>
      <w:r>
        <w:t>flexible</w:t>
      </w:r>
      <w:proofErr w:type="spellEnd"/>
      <w:r>
        <w:t xml:space="preserve"> to </w:t>
      </w:r>
      <w:proofErr w:type="spellStart"/>
      <w:r>
        <w:t>accommodate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rapid </w:t>
      </w:r>
      <w:proofErr w:type="spellStart"/>
      <w:r>
        <w:t>development</w:t>
      </w:r>
      <w:proofErr w:type="spellEnd"/>
      <w:r>
        <w:t xml:space="preserve"> in </w:t>
      </w:r>
      <w:proofErr w:type="spellStart"/>
      <w:r>
        <w:t>technology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disruptive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>.</w:t>
      </w:r>
    </w:p>
    <w:p w:rsidR="007D3CA2" w:rsidRDefault="007D3CA2" w:rsidP="007D3CA2">
      <w:r>
        <w:t xml:space="preserve">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four-year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for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in </w:t>
      </w:r>
      <w:proofErr w:type="spellStart"/>
      <w:r>
        <w:t>technology</w:t>
      </w:r>
      <w:proofErr w:type="spellEnd"/>
      <w:r>
        <w:t xml:space="preserve"> by NOK 800 million, cf. Chapter 1.2. Relevant </w:t>
      </w:r>
      <w:proofErr w:type="spellStart"/>
      <w:r>
        <w:t>focus</w:t>
      </w:r>
      <w:proofErr w:type="spellEnd"/>
      <w:r>
        <w:t xml:space="preserve"> areas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escalation</w:t>
      </w:r>
      <w:proofErr w:type="spellEnd"/>
      <w:r>
        <w:t xml:space="preserve"> plan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ICT </w:t>
      </w:r>
      <w:proofErr w:type="spellStart"/>
      <w:r>
        <w:t>research</w:t>
      </w:r>
      <w:proofErr w:type="spellEnd"/>
      <w:r>
        <w:t xml:space="preserve"> and ICT </w:t>
      </w:r>
      <w:proofErr w:type="spellStart"/>
      <w:r>
        <w:t>security</w:t>
      </w:r>
      <w:proofErr w:type="spellEnd"/>
      <w:r>
        <w:t xml:space="preserve">. The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supports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plan’s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long-term </w:t>
      </w:r>
      <w:proofErr w:type="spellStart"/>
      <w:r>
        <w:t>priorities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: </w:t>
      </w:r>
    </w:p>
    <w:p w:rsidR="007D3CA2" w:rsidRDefault="007D3CA2" w:rsidP="007D3CA2">
      <w:pPr>
        <w:pStyle w:val="Liste"/>
      </w:pPr>
      <w:proofErr w:type="spellStart"/>
      <w:r>
        <w:t>employ</w:t>
      </w:r>
      <w:proofErr w:type="spellEnd"/>
      <w:r>
        <w:t xml:space="preserve"> </w:t>
      </w:r>
      <w:proofErr w:type="spellStart"/>
      <w:r>
        <w:t>capacity-building</w:t>
      </w:r>
      <w:proofErr w:type="spellEnd"/>
      <w:r>
        <w:t xml:space="preserve">, </w:t>
      </w:r>
      <w:proofErr w:type="spellStart"/>
      <w:r>
        <w:t>competence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to </w:t>
      </w:r>
      <w:proofErr w:type="spellStart"/>
      <w:r>
        <w:t>strengthen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developing</w:t>
      </w:r>
      <w:proofErr w:type="spellEnd"/>
      <w:r>
        <w:t xml:space="preserve"> and </w:t>
      </w:r>
      <w:proofErr w:type="spellStart"/>
      <w:r>
        <w:t>utilising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; </w:t>
      </w:r>
    </w:p>
    <w:p w:rsidR="007D3CA2" w:rsidRDefault="007D3CA2" w:rsidP="007D3CA2">
      <w:pPr>
        <w:pStyle w:val="Liste"/>
      </w:pPr>
      <w:r>
        <w:t xml:space="preserve">design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gramStart"/>
      <w:r>
        <w:t>to support</w:t>
      </w:r>
      <w:proofErr w:type="gram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, </w:t>
      </w:r>
      <w:proofErr w:type="spellStart"/>
      <w:r>
        <w:t>restructuring</w:t>
      </w:r>
      <w:proofErr w:type="spellEnd"/>
      <w:r>
        <w:t xml:space="preserve"> and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initiative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and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is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concrete</w:t>
      </w:r>
      <w:proofErr w:type="spellEnd"/>
      <w:r>
        <w:t xml:space="preserve">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digitalisation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to a greener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renewal</w:t>
      </w:r>
      <w:proofErr w:type="spellEnd"/>
      <w:r>
        <w:t xml:space="preserve"> and </w:t>
      </w:r>
      <w:proofErr w:type="spellStart"/>
      <w:r>
        <w:t>improved</w:t>
      </w:r>
      <w:proofErr w:type="spellEnd"/>
      <w:r>
        <w:t xml:space="preserve"> services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sector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facilitate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convergence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areas and </w:t>
      </w:r>
      <w:proofErr w:type="spellStart"/>
      <w:r>
        <w:t>interaction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areas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>.</w:t>
      </w:r>
    </w:p>
    <w:p w:rsidR="007D3CA2" w:rsidRDefault="007D3CA2" w:rsidP="007D3CA2">
      <w:pPr>
        <w:pStyle w:val="Overskrift1"/>
      </w:pPr>
      <w:proofErr w:type="spellStart"/>
      <w:r>
        <w:lastRenderedPageBreak/>
        <w:t>Societal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in a </w:t>
      </w:r>
      <w:proofErr w:type="spellStart"/>
      <w:r>
        <w:t>globalised</w:t>
      </w:r>
      <w:proofErr w:type="spellEnd"/>
      <w:r>
        <w:t xml:space="preserve"> </w:t>
      </w:r>
      <w:proofErr w:type="spellStart"/>
      <w:r>
        <w:t>world</w:t>
      </w:r>
      <w:proofErr w:type="spellEnd"/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aspires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a Norway </w:t>
      </w:r>
      <w:proofErr w:type="spellStart"/>
      <w:r>
        <w:t>that</w:t>
      </w:r>
      <w:proofErr w:type="spellEnd"/>
      <w:r>
        <w:t xml:space="preserve"> is safe and </w:t>
      </w:r>
      <w:proofErr w:type="spellStart"/>
      <w:r>
        <w:t>secure</w:t>
      </w:r>
      <w:proofErr w:type="spellEnd"/>
      <w:r>
        <w:t xml:space="preserve"> for all. This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insight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, </w:t>
      </w:r>
      <w:proofErr w:type="spellStart"/>
      <w:r>
        <w:t>well-functioning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a </w:t>
      </w:r>
      <w:proofErr w:type="spellStart"/>
      <w:r>
        <w:t>need</w:t>
      </w:r>
      <w:proofErr w:type="spellEnd"/>
      <w:r>
        <w:t xml:space="preserve"> for up-to-date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and global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Norway is </w:t>
      </w:r>
      <w:proofErr w:type="spellStart"/>
      <w:r>
        <w:t>facing</w:t>
      </w:r>
      <w:proofErr w:type="spellEnd"/>
      <w:r>
        <w:t>.</w:t>
      </w:r>
    </w:p>
    <w:p w:rsidR="007D3CA2" w:rsidRDefault="007D3CA2" w:rsidP="007D3CA2">
      <w:r>
        <w:t xml:space="preserve">Questions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and </w:t>
      </w:r>
      <w:proofErr w:type="spellStart"/>
      <w:r>
        <w:t>identity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aspect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proofErr w:type="spellStart"/>
      <w:r>
        <w:t>inclusive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and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an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input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legal science,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, and </w:t>
      </w:r>
      <w:proofErr w:type="spellStart"/>
      <w:r>
        <w:t>economics</w:t>
      </w:r>
      <w:proofErr w:type="spellEnd"/>
      <w:r>
        <w:t xml:space="preserve"> and business </w:t>
      </w:r>
      <w:proofErr w:type="spellStart"/>
      <w:r>
        <w:t>administration</w:t>
      </w:r>
      <w:proofErr w:type="spellEnd"/>
      <w:r>
        <w:t xml:space="preserve">. In a time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widening</w:t>
      </w:r>
      <w:proofErr w:type="spellEnd"/>
      <w:r>
        <w:t xml:space="preserve"> gaps and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polarisation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media,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 and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to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play in </w:t>
      </w:r>
      <w:proofErr w:type="spellStart"/>
      <w:r>
        <w:t>democracy</w:t>
      </w:r>
      <w:proofErr w:type="spellEnd"/>
      <w:r>
        <w:t xml:space="preserve">,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fellowship</w:t>
      </w:r>
      <w:proofErr w:type="spellEnd"/>
      <w:r>
        <w:t xml:space="preserve">, </w:t>
      </w:r>
      <w:proofErr w:type="spellStart"/>
      <w:r>
        <w:t>integration</w:t>
      </w:r>
      <w:proofErr w:type="spellEnd"/>
      <w:r>
        <w:t xml:space="preserve"> and trust.</w:t>
      </w:r>
    </w:p>
    <w:p w:rsidR="007D3CA2" w:rsidRDefault="007D3CA2" w:rsidP="007D3CA2">
      <w:r>
        <w:t xml:space="preserve">The rapid pace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affects</w:t>
      </w:r>
      <w:proofErr w:type="spellEnd"/>
      <w:r>
        <w:t xml:space="preserve"> Norway as a </w:t>
      </w:r>
      <w:proofErr w:type="spellStart"/>
      <w:r>
        <w:t>society</w:t>
      </w:r>
      <w:proofErr w:type="spellEnd"/>
      <w:r>
        <w:t xml:space="preserve"> and Norwegians as </w:t>
      </w:r>
      <w:proofErr w:type="spellStart"/>
      <w:r>
        <w:t>individuals</w:t>
      </w:r>
      <w:proofErr w:type="spellEnd"/>
      <w:r>
        <w:t xml:space="preserve">. It </w:t>
      </w:r>
      <w:proofErr w:type="spellStart"/>
      <w:r>
        <w:t>creates</w:t>
      </w:r>
      <w:proofErr w:type="spellEnd"/>
      <w:r>
        <w:t xml:space="preserve"> vast </w:t>
      </w:r>
      <w:proofErr w:type="spellStart"/>
      <w:r>
        <w:t>opportunities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entails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and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>.</w:t>
      </w:r>
    </w:p>
    <w:p w:rsidR="007D3CA2" w:rsidRDefault="007D3CA2" w:rsidP="007D3CA2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2008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uncertainty</w:t>
      </w:r>
      <w:proofErr w:type="spellEnd"/>
      <w:r>
        <w:t xml:space="preserve"> has risen </w:t>
      </w:r>
      <w:proofErr w:type="spellStart"/>
      <w:r>
        <w:t>widely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mounting</w:t>
      </w:r>
      <w:proofErr w:type="spellEnd"/>
      <w:r>
        <w:t xml:space="preserve"> </w:t>
      </w:r>
      <w:proofErr w:type="spellStart"/>
      <w:r>
        <w:t>tendencies</w:t>
      </w:r>
      <w:proofErr w:type="spellEnd"/>
      <w:r>
        <w:t xml:space="preserve"> </w:t>
      </w:r>
      <w:proofErr w:type="spellStart"/>
      <w:r>
        <w:t>toward</w:t>
      </w:r>
      <w:proofErr w:type="spellEnd"/>
      <w:r>
        <w:t xml:space="preserve"> </w:t>
      </w:r>
      <w:proofErr w:type="spellStart"/>
      <w:r>
        <w:t>populism</w:t>
      </w:r>
      <w:proofErr w:type="spellEnd"/>
      <w:r>
        <w:t xml:space="preserve"> and </w:t>
      </w:r>
      <w:proofErr w:type="spellStart"/>
      <w:r>
        <w:t>protectionism</w:t>
      </w:r>
      <w:proofErr w:type="spellEnd"/>
      <w:r>
        <w:t xml:space="preserve">. In Europe, </w:t>
      </w:r>
      <w:proofErr w:type="spellStart"/>
      <w:r>
        <w:t>Brexit</w:t>
      </w:r>
      <w:proofErr w:type="spellEnd"/>
      <w:r>
        <w:t xml:space="preserve"> is putting a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cooperative</w:t>
      </w:r>
      <w:proofErr w:type="spellEnd"/>
      <w:r>
        <w:t xml:space="preserve"> relationships </w:t>
      </w:r>
      <w:proofErr w:type="spellStart"/>
      <w:r>
        <w:t>established</w:t>
      </w:r>
      <w:proofErr w:type="spellEnd"/>
      <w:r>
        <w:t xml:space="preserve"> in </w:t>
      </w:r>
      <w:proofErr w:type="spellStart"/>
      <w:r>
        <w:t>economic</w:t>
      </w:r>
      <w:proofErr w:type="spellEnd"/>
      <w:r>
        <w:t xml:space="preserve">, </w:t>
      </w:r>
      <w:proofErr w:type="spellStart"/>
      <w:r>
        <w:t>political</w:t>
      </w:r>
      <w:proofErr w:type="spellEnd"/>
      <w:r>
        <w:t xml:space="preserve"> and legal areas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and EEA. </w:t>
      </w:r>
      <w:proofErr w:type="spellStart"/>
      <w:r>
        <w:t>Globalisation</w:t>
      </w:r>
      <w:proofErr w:type="spellEnd"/>
      <w:r>
        <w:t xml:space="preserve">,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and </w:t>
      </w:r>
      <w:proofErr w:type="spellStart"/>
      <w:r>
        <w:t>migration</w:t>
      </w:r>
      <w:proofErr w:type="spellEnd"/>
      <w:r>
        <w:t xml:space="preserve"> </w:t>
      </w:r>
      <w:proofErr w:type="gramStart"/>
      <w:r>
        <w:t>all hold</w:t>
      </w:r>
      <w:proofErr w:type="gram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same time lead to </w:t>
      </w:r>
      <w:proofErr w:type="spellStart"/>
      <w:r>
        <w:t>uncertainty</w:t>
      </w:r>
      <w:proofErr w:type="spellEnd"/>
      <w:r>
        <w:t xml:space="preserve"> and a risk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incidents</w:t>
      </w:r>
      <w:proofErr w:type="spellEnd"/>
      <w:r>
        <w:t xml:space="preserve"> and </w:t>
      </w:r>
      <w:proofErr w:type="spellStart"/>
      <w:r>
        <w:t>diminished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, </w:t>
      </w:r>
      <w:proofErr w:type="spellStart"/>
      <w:r>
        <w:t>effectiveness</w:t>
      </w:r>
      <w:proofErr w:type="spellEnd"/>
      <w:r>
        <w:t xml:space="preserve"> and </w:t>
      </w:r>
      <w:proofErr w:type="spellStart"/>
      <w:r>
        <w:t>legitimacy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 to </w:t>
      </w:r>
      <w:proofErr w:type="spellStart"/>
      <w:r>
        <w:t>societal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trends,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disasters, global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threats</w:t>
      </w:r>
      <w:proofErr w:type="spellEnd"/>
      <w:r>
        <w:t xml:space="preserve">,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or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or </w:t>
      </w:r>
      <w:proofErr w:type="spellStart"/>
      <w:r>
        <w:t>intentional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terrorism</w:t>
      </w:r>
      <w:proofErr w:type="spellEnd"/>
      <w:r>
        <w:t xml:space="preserve">, </w:t>
      </w:r>
      <w:proofErr w:type="spellStart"/>
      <w:r>
        <w:t>sabotage</w:t>
      </w:r>
      <w:proofErr w:type="spellEnd"/>
      <w:r>
        <w:t xml:space="preserve"> and </w:t>
      </w:r>
      <w:proofErr w:type="spellStart"/>
      <w:r>
        <w:t>crime</w:t>
      </w:r>
      <w:proofErr w:type="spellEnd"/>
      <w:r>
        <w:t xml:space="preserve">. This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instrumental in </w:t>
      </w:r>
      <w:proofErr w:type="spellStart"/>
      <w:r>
        <w:t>achieving</w:t>
      </w:r>
      <w:proofErr w:type="spellEnd"/>
      <w:r>
        <w:t xml:space="preserve"> more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Goals, for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vaccines</w:t>
      </w:r>
      <w:proofErr w:type="spellEnd"/>
      <w:r>
        <w:t xml:space="preserve"> and </w:t>
      </w:r>
      <w:proofErr w:type="spellStart"/>
      <w:r>
        <w:t>medicines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>.</w:t>
      </w:r>
    </w:p>
    <w:p w:rsidR="007D3CA2" w:rsidRDefault="007D3CA2" w:rsidP="007D3CA2">
      <w:bookmarkStart w:id="0" w:name="_GoBack"/>
      <w:bookmarkEnd w:id="0"/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work</w:t>
      </w:r>
      <w:proofErr w:type="spellEnd"/>
      <w:r>
        <w:t xml:space="preserve"> to </w:t>
      </w:r>
      <w:proofErr w:type="spellStart"/>
      <w:r>
        <w:t>establish</w:t>
      </w:r>
      <w:proofErr w:type="spellEnd"/>
      <w:r>
        <w:t xml:space="preserve"> a reliable, up-to-date </w:t>
      </w:r>
      <w:proofErr w:type="spellStart"/>
      <w:r>
        <w:t>knowledge</w:t>
      </w:r>
      <w:proofErr w:type="spellEnd"/>
      <w:r>
        <w:t xml:space="preserve"> base </w:t>
      </w:r>
      <w:proofErr w:type="spellStart"/>
      <w:r>
        <w:t>on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for 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cohesion</w:t>
      </w:r>
      <w:proofErr w:type="spellEnd"/>
      <w:r>
        <w:t xml:space="preserve"> and </w:t>
      </w:r>
      <w:proofErr w:type="spellStart"/>
      <w:r>
        <w:t>stability</w:t>
      </w:r>
      <w:proofErr w:type="spellEnd"/>
      <w:r>
        <w:t xml:space="preserve"> and a safe, </w:t>
      </w:r>
      <w:proofErr w:type="spellStart"/>
      <w:r>
        <w:t>secure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strengthen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awareness</w:t>
      </w:r>
      <w:proofErr w:type="spellEnd"/>
      <w:r>
        <w:t xml:space="preserve"> in relevant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negative </w:t>
      </w:r>
      <w:proofErr w:type="spellStart"/>
      <w:r>
        <w:t>impacts</w:t>
      </w:r>
      <w:proofErr w:type="spellEnd"/>
      <w:r>
        <w:t xml:space="preserve"> and </w:t>
      </w:r>
      <w:proofErr w:type="spellStart"/>
      <w:r>
        <w:t>vulnerability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and </w:t>
      </w:r>
      <w:proofErr w:type="spellStart"/>
      <w:r>
        <w:t>digitalisation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prioritise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man-</w:t>
      </w:r>
      <w:proofErr w:type="spellStart"/>
      <w:r>
        <w:t>made</w:t>
      </w:r>
      <w:proofErr w:type="spellEnd"/>
      <w:r>
        <w:t xml:space="preserve"> and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threats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strengthen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rapid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>.</w:t>
      </w:r>
    </w:p>
    <w:p w:rsidR="007D3CA2" w:rsidRDefault="007D3CA2" w:rsidP="007D3CA2">
      <w:pPr>
        <w:pStyle w:val="Overskrift1"/>
      </w:pPr>
      <w:r>
        <w:lastRenderedPageBreak/>
        <w:t xml:space="preserve">Planning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and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: </w:t>
      </w:r>
      <w:proofErr w:type="spellStart"/>
      <w:r>
        <w:t>development</w:t>
      </w:r>
      <w:proofErr w:type="spellEnd"/>
      <w:r>
        <w:t xml:space="preserve">, management and </w:t>
      </w:r>
      <w:proofErr w:type="spellStart"/>
      <w:r>
        <w:t>priorities</w:t>
      </w:r>
      <w:proofErr w:type="spellEnd"/>
      <w:r>
        <w:t xml:space="preserve"> </w:t>
      </w:r>
    </w:p>
    <w:p w:rsidR="007D3CA2" w:rsidRDefault="007D3CA2" w:rsidP="007D3CA2">
      <w:pPr>
        <w:pStyle w:val="blokksit"/>
      </w:pPr>
      <w:proofErr w:type="spellStart"/>
      <w:r>
        <w:t>Those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campus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pretend</w:t>
      </w:r>
      <w:proofErr w:type="spellEnd"/>
      <w:r>
        <w:t xml:space="preserve"> to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holds.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hope </w:t>
      </w:r>
      <w:proofErr w:type="spellStart"/>
      <w:r>
        <w:t>they’re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malleable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to handle it.</w:t>
      </w:r>
    </w:p>
    <w:p w:rsidR="007D3CA2" w:rsidRDefault="007D3CA2" w:rsidP="007D3CA2">
      <w:pPr>
        <w:pStyle w:val="Petit"/>
      </w:pPr>
      <w:r>
        <w:t xml:space="preserve">Dan </w:t>
      </w:r>
      <w:proofErr w:type="spellStart"/>
      <w:r>
        <w:t>Huttenlocher</w:t>
      </w:r>
      <w:proofErr w:type="spellEnd"/>
      <w:r>
        <w:t xml:space="preserve">, Dean and Vice Provost </w:t>
      </w:r>
      <w:proofErr w:type="spellStart"/>
      <w:r>
        <w:t>of</w:t>
      </w:r>
      <w:proofErr w:type="spellEnd"/>
      <w:r>
        <w:t xml:space="preserve"> Cornell Tech</w:t>
      </w:r>
    </w:p>
    <w:p w:rsidR="007D3CA2" w:rsidRDefault="007D3CA2" w:rsidP="007D3CA2">
      <w:pPr>
        <w:pStyle w:val="Overskrift2"/>
      </w:pPr>
      <w:r>
        <w:t xml:space="preserve">The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well-designed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</w:p>
    <w:p w:rsidR="007D3CA2" w:rsidRDefault="007D3CA2" w:rsidP="007D3CA2">
      <w:proofErr w:type="spellStart"/>
      <w:r>
        <w:t>Buildings</w:t>
      </w:r>
      <w:proofErr w:type="spellEnd"/>
      <w:r>
        <w:t xml:space="preserve">,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vital input </w:t>
      </w:r>
      <w:proofErr w:type="spellStart"/>
      <w:r>
        <w:t>factor</w:t>
      </w:r>
      <w:proofErr w:type="spellEnd"/>
      <w:r>
        <w:t xml:space="preserve"> for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policy. </w:t>
      </w:r>
      <w:proofErr w:type="spellStart"/>
      <w:r>
        <w:t>Well-designed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and </w:t>
      </w:r>
      <w:proofErr w:type="spellStart"/>
      <w:r>
        <w:t>multidisciplinary</w:t>
      </w:r>
      <w:proofErr w:type="spellEnd"/>
      <w:r>
        <w:t xml:space="preserve"> and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, and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students, </w:t>
      </w:r>
      <w:proofErr w:type="spellStart"/>
      <w:r>
        <w:t>between</w:t>
      </w:r>
      <w:proofErr w:type="spellEnd"/>
      <w:r>
        <w:t xml:space="preserve"> students and </w:t>
      </w:r>
      <w:proofErr w:type="spellStart"/>
      <w:r>
        <w:t>researchers</w:t>
      </w:r>
      <w:proofErr w:type="spellEnd"/>
      <w:r>
        <w:t xml:space="preserve">, and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academia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business </w:t>
      </w:r>
      <w:proofErr w:type="spellStart"/>
      <w:r>
        <w:t>community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. </w:t>
      </w:r>
      <w:proofErr w:type="spellStart"/>
      <w:r>
        <w:t>Poorly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hamper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promote</w:t>
      </w:r>
      <w:proofErr w:type="spellEnd"/>
      <w:r>
        <w:t xml:space="preserve"> one-</w:t>
      </w:r>
      <w:proofErr w:type="spellStart"/>
      <w:r>
        <w:t>way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from </w:t>
      </w:r>
      <w:proofErr w:type="spellStart"/>
      <w:r>
        <w:t>teachers</w:t>
      </w:r>
      <w:proofErr w:type="spellEnd"/>
      <w:r>
        <w:t xml:space="preserve"> to students, and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 xml:space="preserve">, </w:t>
      </w:r>
      <w:proofErr w:type="spellStart"/>
      <w:r>
        <w:t>entrepreneurship</w:t>
      </w:r>
      <w:proofErr w:type="spellEnd"/>
      <w:r>
        <w:t xml:space="preserve">, and </w:t>
      </w:r>
      <w:proofErr w:type="spellStart"/>
      <w:r>
        <w:t>outreach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</w:p>
    <w:p w:rsidR="007D3CA2" w:rsidRDefault="007D3CA2" w:rsidP="007D3CA2">
      <w:r>
        <w:t xml:space="preserve">A campus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consist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from a single </w:t>
      </w:r>
      <w:proofErr w:type="spellStart"/>
      <w:r>
        <w:t>building</w:t>
      </w:r>
      <w:proofErr w:type="spellEnd"/>
      <w:r>
        <w:t xml:space="preserve"> to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grounds</w:t>
      </w:r>
      <w:proofErr w:type="spellEnd"/>
      <w:r>
        <w:t xml:space="preserve">.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students, </w:t>
      </w:r>
      <w:proofErr w:type="spellStart"/>
      <w:r>
        <w:t>academic</w:t>
      </w:r>
      <w:proofErr w:type="spellEnd"/>
      <w:r>
        <w:t xml:space="preserve"> staff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live, </w:t>
      </w:r>
      <w:proofErr w:type="spellStart"/>
      <w:r>
        <w:t>learn</w:t>
      </w:r>
      <w:proofErr w:type="spellEnd"/>
      <w:r>
        <w:t xml:space="preserve">,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innovate</w:t>
      </w:r>
      <w:proofErr w:type="spellEnd"/>
      <w:r>
        <w:t xml:space="preserve"> and </w:t>
      </w:r>
      <w:proofErr w:type="spellStart"/>
      <w:r>
        <w:t>communicate</w:t>
      </w:r>
      <w:proofErr w:type="spellEnd"/>
      <w:r>
        <w:t xml:space="preserve">. A campus </w:t>
      </w:r>
      <w:proofErr w:type="spellStart"/>
      <w:r>
        <w:t>may</w:t>
      </w:r>
      <w:proofErr w:type="spellEnd"/>
      <w:r>
        <w:t xml:space="preserve"> be an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and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to </w:t>
      </w:r>
      <w:proofErr w:type="spellStart"/>
      <w:r>
        <w:t>which</w:t>
      </w:r>
      <w:proofErr w:type="spellEnd"/>
      <w:r>
        <w:t xml:space="preserve"> it </w:t>
      </w:r>
      <w:proofErr w:type="spellStart"/>
      <w:r>
        <w:t>belongs</w:t>
      </w:r>
      <w:proofErr w:type="spellEnd"/>
      <w:r>
        <w:t xml:space="preserve">. </w:t>
      </w:r>
    </w:p>
    <w:p w:rsidR="007D3CA2" w:rsidRDefault="007D3CA2" w:rsidP="007D3CA2">
      <w:pPr>
        <w:pStyle w:val="Figur"/>
      </w:pPr>
      <w:proofErr w:type="gramStart"/>
      <w:r>
        <w:t>[:figur</w:t>
      </w:r>
      <w:proofErr w:type="gramEnd"/>
      <w:r>
        <w:t>:fig8-1.jpg]</w:t>
      </w:r>
    </w:p>
    <w:p w:rsidR="007D3CA2" w:rsidRDefault="007D3CA2" w:rsidP="007D3CA2">
      <w:pPr>
        <w:pStyle w:val="figur-tittel"/>
      </w:pPr>
      <w:r>
        <w:t xml:space="preserve">Area </w:t>
      </w:r>
      <w:proofErr w:type="spellStart"/>
      <w:r>
        <w:t>of</w:t>
      </w:r>
      <w:proofErr w:type="spellEnd"/>
      <w:r>
        <w:t xml:space="preserve"> purpose-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belonging</w:t>
      </w:r>
      <w:proofErr w:type="spellEnd"/>
      <w:r>
        <w:t xml:space="preserve"> to regional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colleges, prisons and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Defence</w:t>
      </w:r>
      <w:proofErr w:type="spellEnd"/>
      <w:r>
        <w:t xml:space="preserve"> Estates </w:t>
      </w:r>
      <w:proofErr w:type="spellStart"/>
      <w:r>
        <w:t>Agency</w:t>
      </w:r>
      <w:proofErr w:type="spellEnd"/>
      <w:r>
        <w:t xml:space="preserve">, in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metres</w:t>
      </w:r>
      <w:proofErr w:type="spellEnd"/>
    </w:p>
    <w:p w:rsidR="007D3CA2" w:rsidRDefault="007D3CA2" w:rsidP="007D3CA2">
      <w:proofErr w:type="spellStart"/>
      <w:r>
        <w:t>Norway’s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a total </w:t>
      </w:r>
      <w:proofErr w:type="spellStart"/>
      <w:r>
        <w:t>of</w:t>
      </w:r>
      <w:proofErr w:type="spellEnd"/>
      <w:r>
        <w:t xml:space="preserve"> 3.4 million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metres</w:t>
      </w:r>
      <w:proofErr w:type="spellEnd"/>
      <w:r>
        <w:t xml:space="preserve">, has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portfolios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country. The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 is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can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</w:p>
    <w:p w:rsidR="007D3CA2" w:rsidRDefault="007D3CA2" w:rsidP="007D3CA2">
      <w:r>
        <w:t xml:space="preserve">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major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or planning </w:t>
      </w:r>
      <w:proofErr w:type="spellStart"/>
      <w:r>
        <w:t>phases</w:t>
      </w:r>
      <w:proofErr w:type="spellEnd"/>
      <w:r>
        <w:t xml:space="preserve"> and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</w:t>
      </w:r>
      <w:proofErr w:type="spellStart"/>
      <w:r>
        <w:t>Tables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an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. The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have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drawn</w:t>
      </w:r>
      <w:proofErr w:type="spellEnd"/>
      <w:r>
        <w:t xml:space="preserve"> up campus </w:t>
      </w:r>
      <w:proofErr w:type="spellStart"/>
      <w:r>
        <w:t>development</w:t>
      </w:r>
      <w:proofErr w:type="spellEnd"/>
      <w:r>
        <w:t xml:space="preserve"> plans or </w:t>
      </w:r>
      <w:proofErr w:type="spellStart"/>
      <w:r>
        <w:t>are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so, and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have </w:t>
      </w:r>
      <w:proofErr w:type="spellStart"/>
      <w:r>
        <w:t>identified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adaptation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lastRenderedPageBreak/>
        <w:t>their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functionality</w:t>
      </w:r>
      <w:proofErr w:type="spellEnd"/>
      <w:r>
        <w:t xml:space="preserve"> and make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to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, for </w:t>
      </w:r>
      <w:proofErr w:type="spellStart"/>
      <w:r>
        <w:t>renovation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or </w:t>
      </w:r>
      <w:proofErr w:type="spellStart"/>
      <w:r>
        <w:t>alterations</w:t>
      </w:r>
      <w:proofErr w:type="spellEnd"/>
      <w:r>
        <w:t xml:space="preserve"> to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, and to lease </w:t>
      </w:r>
      <w:proofErr w:type="spellStart"/>
      <w:r>
        <w:t>buildings</w:t>
      </w:r>
      <w:proofErr w:type="spellEnd"/>
      <w:r>
        <w:t xml:space="preserve">. Adaptation is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to be </w:t>
      </w:r>
      <w:proofErr w:type="spellStart"/>
      <w:r>
        <w:t>cost-effective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same time </w:t>
      </w:r>
      <w:proofErr w:type="spellStart"/>
      <w:r>
        <w:t>contributing</w:t>
      </w:r>
      <w:proofErr w:type="spellEnd"/>
      <w:r>
        <w:t xml:space="preserve"> to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it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t>clearer</w:t>
      </w:r>
      <w:proofErr w:type="spellEnd"/>
      <w:r>
        <w:t xml:space="preserve"> policy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developing</w:t>
      </w:r>
      <w:proofErr w:type="spellEnd"/>
      <w:r>
        <w:t xml:space="preserve">, </w:t>
      </w:r>
      <w:proofErr w:type="spellStart"/>
      <w:r>
        <w:t>managing</w:t>
      </w:r>
      <w:proofErr w:type="spellEnd"/>
      <w:r>
        <w:t xml:space="preserve"> and setting </w:t>
      </w:r>
      <w:proofErr w:type="spellStart"/>
      <w:r>
        <w:t>priorities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and </w:t>
      </w:r>
      <w:proofErr w:type="spellStart"/>
      <w:r>
        <w:t>campuses</w:t>
      </w:r>
      <w:proofErr w:type="spellEnd"/>
      <w:r>
        <w:t xml:space="preserve">. The </w:t>
      </w:r>
      <w:proofErr w:type="spellStart"/>
      <w:r>
        <w:t>point</w:t>
      </w:r>
      <w:proofErr w:type="spellEnd"/>
      <w:r>
        <w:t xml:space="preserve"> is not </w:t>
      </w:r>
      <w:proofErr w:type="spellStart"/>
      <w:r>
        <w:t>necessarily</w:t>
      </w:r>
      <w:proofErr w:type="spellEnd"/>
      <w:r>
        <w:t xml:space="preserve"> to </w:t>
      </w:r>
      <w:proofErr w:type="spellStart"/>
      <w:r>
        <w:t>expand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right </w:t>
      </w:r>
      <w:proofErr w:type="spellStart"/>
      <w:r>
        <w:t>kinds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. Norway </w:t>
      </w:r>
      <w:proofErr w:type="spellStart"/>
      <w:r>
        <w:t>needs</w:t>
      </w:r>
      <w:proofErr w:type="spellEnd"/>
      <w:r>
        <w:t xml:space="preserve"> a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lends </w:t>
      </w:r>
      <w:proofErr w:type="spellStart"/>
      <w:r>
        <w:t>itself</w:t>
      </w:r>
      <w:proofErr w:type="spellEnd"/>
      <w:r>
        <w:t xml:space="preserve"> to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, promotes a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and </w:t>
      </w:r>
      <w:proofErr w:type="spellStart"/>
      <w:r>
        <w:t>conveys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>.</w:t>
      </w:r>
    </w:p>
    <w:p w:rsidR="007D3CA2" w:rsidRDefault="007D3CA2" w:rsidP="007D3CA2">
      <w:pPr>
        <w:pStyle w:val="Overskrift3"/>
      </w:pPr>
      <w:proofErr w:type="spellStart"/>
      <w:r>
        <w:t>Capacity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adaptation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society</w:t>
      </w:r>
      <w:proofErr w:type="spellEnd"/>
    </w:p>
    <w:p w:rsidR="007D3CA2" w:rsidRDefault="007D3CA2" w:rsidP="007D3CA2">
      <w:proofErr w:type="spellStart"/>
      <w:r>
        <w:t>Buildings</w:t>
      </w:r>
      <w:proofErr w:type="spellEnd"/>
      <w:r>
        <w:t xml:space="preserve"> and </w:t>
      </w:r>
      <w:proofErr w:type="spellStart"/>
      <w:r>
        <w:t>campuses</w:t>
      </w:r>
      <w:proofErr w:type="spellEnd"/>
      <w:r>
        <w:t xml:space="preserve"> at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adapted</w:t>
      </w:r>
      <w:proofErr w:type="spellEnd"/>
      <w:r>
        <w:t xml:space="preserve"> and </w:t>
      </w:r>
      <w:proofErr w:type="spellStart"/>
      <w:r>
        <w:t>changed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developments</w:t>
      </w:r>
      <w:proofErr w:type="spellEnd"/>
      <w:r>
        <w:t xml:space="preserve"> in </w:t>
      </w:r>
      <w:proofErr w:type="spellStart"/>
      <w:r>
        <w:t>society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. </w:t>
      </w:r>
      <w:proofErr w:type="spellStart"/>
      <w:r>
        <w:t>Norway’s</w:t>
      </w:r>
      <w:proofErr w:type="spellEnd"/>
      <w:r>
        <w:t xml:space="preserve"> first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played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as drivers for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nation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.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became</w:t>
      </w:r>
      <w:proofErr w:type="spellEnd"/>
      <w:r>
        <w:t xml:space="preserve"> more </w:t>
      </w:r>
      <w:proofErr w:type="spellStart"/>
      <w:r>
        <w:t>industrialised</w:t>
      </w:r>
      <w:proofErr w:type="spellEnd"/>
      <w:r>
        <w:t xml:space="preserve"> and later </w:t>
      </w:r>
      <w:proofErr w:type="spellStart"/>
      <w:r>
        <w:t>on</w:t>
      </w:r>
      <w:proofErr w:type="spellEnd"/>
      <w:r>
        <w:t xml:space="preserve"> service-driven,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educated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.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country to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qualified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and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wealth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. Expansion </w:t>
      </w:r>
      <w:proofErr w:type="spellStart"/>
      <w:r>
        <w:t>began</w:t>
      </w:r>
      <w:proofErr w:type="spellEnd"/>
      <w:r>
        <w:t xml:space="preserve"> in </w:t>
      </w:r>
      <w:proofErr w:type="spellStart"/>
      <w:r>
        <w:t>earnest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1970s.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1990s, Norway </w:t>
      </w:r>
      <w:proofErr w:type="spellStart"/>
      <w:r>
        <w:t>had</w:t>
      </w:r>
      <w:proofErr w:type="spellEnd"/>
      <w:r>
        <w:t xml:space="preserve"> over 100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More </w:t>
      </w:r>
      <w:proofErr w:type="spellStart"/>
      <w:r>
        <w:t>recently</w:t>
      </w:r>
      <w:proofErr w:type="spellEnd"/>
      <w:r>
        <w:t xml:space="preserve">, major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and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mergers</w:t>
      </w:r>
      <w:proofErr w:type="spellEnd"/>
      <w:r>
        <w:t xml:space="preserve"> have </w:t>
      </w:r>
      <w:proofErr w:type="spellStart"/>
      <w:r>
        <w:t>resulted</w:t>
      </w:r>
      <w:proofErr w:type="spellEnd"/>
      <w:r>
        <w:t xml:space="preserve"> in </w:t>
      </w:r>
      <w:proofErr w:type="spellStart"/>
      <w:r>
        <w:t>new</w:t>
      </w:r>
      <w:proofErr w:type="spellEnd"/>
      <w:r>
        <w:t xml:space="preserve"> trends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>.</w:t>
      </w:r>
    </w:p>
    <w:p w:rsidR="007D3CA2" w:rsidRDefault="007D3CA2" w:rsidP="007D3CA2">
      <w:proofErr w:type="spellStart"/>
      <w:r>
        <w:t>Buildings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an instrument and an input </w:t>
      </w:r>
      <w:proofErr w:type="spellStart"/>
      <w:r>
        <w:t>factor</w:t>
      </w:r>
      <w:proofErr w:type="spellEnd"/>
      <w:r>
        <w:t xml:space="preserve"> in </w:t>
      </w:r>
      <w:proofErr w:type="spellStart"/>
      <w:r>
        <w:t>industrial</w:t>
      </w:r>
      <w:proofErr w:type="spellEnd"/>
      <w:r>
        <w:t xml:space="preserve"> policy.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used </w:t>
      </w:r>
      <w:proofErr w:type="spellStart"/>
      <w:r>
        <w:t>jointly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business </w:t>
      </w:r>
      <w:proofErr w:type="spellStart"/>
      <w:r>
        <w:t>communities</w:t>
      </w:r>
      <w:proofErr w:type="spellEnd"/>
      <w:r>
        <w:t xml:space="preserve">. </w:t>
      </w:r>
      <w:proofErr w:type="spellStart"/>
      <w:r>
        <w:t>Carrying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,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site</w:t>
      </w:r>
      <w:proofErr w:type="spellEnd"/>
      <w:r>
        <w:t xml:space="preserve"> is an </w:t>
      </w:r>
      <w:proofErr w:type="spellStart"/>
      <w:r>
        <w:t>excellent</w:t>
      </w:r>
      <w:proofErr w:type="spellEnd"/>
      <w:r>
        <w:t xml:space="preserve"> basis for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. The marine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 (NTNU) in Trondheim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oldest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joint </w:t>
      </w:r>
      <w:proofErr w:type="spellStart"/>
      <w:r>
        <w:t>use</w:t>
      </w:r>
      <w:proofErr w:type="spellEnd"/>
      <w:r>
        <w:t xml:space="preserve">. The first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Towing</w:t>
      </w:r>
      <w:proofErr w:type="spellEnd"/>
      <w:r>
        <w:t xml:space="preserve"> Tank,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as </w:t>
      </w:r>
      <w:proofErr w:type="spellStart"/>
      <w:r>
        <w:t>early</w:t>
      </w:r>
      <w:proofErr w:type="spellEnd"/>
      <w:r>
        <w:t xml:space="preserve"> as 1939. Ever </w:t>
      </w:r>
      <w:proofErr w:type="spellStart"/>
      <w:r>
        <w:t>since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marine </w:t>
      </w:r>
      <w:proofErr w:type="spellStart"/>
      <w:r>
        <w:t>industries</w:t>
      </w:r>
      <w:proofErr w:type="spellEnd"/>
      <w:r>
        <w:t xml:space="preserve"> in Norway. See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Ocean Space Centre in Chapter 1.6.2.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NTNU in Ålesund is 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GCE Blue Maritime Cluster,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a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maritime business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. The </w:t>
      </w:r>
      <w:proofErr w:type="spellStart"/>
      <w:r>
        <w:t>Mechatronics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Lab</w:t>
      </w:r>
      <w:r>
        <w:rPr>
          <w:vertAlign w:val="superscript"/>
        </w:rPr>
        <w:footnoteReference w:id="30"/>
      </w:r>
      <w:r>
        <w:t xml:space="preserve"> has </w:t>
      </w:r>
      <w:proofErr w:type="spellStart"/>
      <w:r>
        <w:t>been</w:t>
      </w:r>
      <w:proofErr w:type="spellEnd"/>
      <w:r>
        <w:t xml:space="preserve"> co-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Agder to </w:t>
      </w:r>
      <w:proofErr w:type="spellStart"/>
      <w:r>
        <w:t>allow</w:t>
      </w:r>
      <w:proofErr w:type="spellEnd"/>
      <w:r>
        <w:t xml:space="preserve"> for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industry</w:t>
      </w:r>
      <w:proofErr w:type="spellEnd"/>
      <w:r>
        <w:t xml:space="preserve">. </w:t>
      </w:r>
    </w:p>
    <w:p w:rsidR="007D3CA2" w:rsidRDefault="007D3CA2" w:rsidP="007D3CA2">
      <w:proofErr w:type="spellStart"/>
      <w:r>
        <w:t>Furthermore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overlaps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different </w:t>
      </w:r>
      <w:proofErr w:type="spellStart"/>
      <w:r>
        <w:t>disciplines</w:t>
      </w:r>
      <w:proofErr w:type="spellEnd"/>
      <w:r>
        <w:t xml:space="preserve">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major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precisely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spatial </w:t>
      </w:r>
      <w:proofErr w:type="spellStart"/>
      <w:r>
        <w:t>dimension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rise to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. This </w:t>
      </w:r>
      <w:proofErr w:type="spellStart"/>
      <w:r>
        <w:t>was</w:t>
      </w:r>
      <w:proofErr w:type="spellEnd"/>
      <w:r>
        <w:t xml:space="preserve"> a major </w:t>
      </w:r>
      <w:proofErr w:type="spellStart"/>
      <w:r>
        <w:t>reason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Government’s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science </w:t>
      </w:r>
      <w:proofErr w:type="spellStart"/>
      <w:r>
        <w:t>building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Oslo, </w:t>
      </w:r>
      <w:proofErr w:type="spellStart"/>
      <w:r>
        <w:t>see</w:t>
      </w:r>
      <w:proofErr w:type="spellEnd"/>
      <w:r>
        <w:t xml:space="preserve"> Chapter 1.6.2.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higher-quality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considerations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unified</w:t>
      </w:r>
      <w:proofErr w:type="spellEnd"/>
      <w:r>
        <w:t xml:space="preserve"> campus </w:t>
      </w:r>
      <w:proofErr w:type="spellStart"/>
      <w:r>
        <w:t>concept</w:t>
      </w:r>
      <w:proofErr w:type="spellEnd"/>
      <w:r>
        <w:t xml:space="preserve"> for NTNU in Trondheim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faculties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located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Dragvoll and Midtbyen areas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city, </w:t>
      </w:r>
      <w:proofErr w:type="spellStart"/>
      <w:r>
        <w:t>see</w:t>
      </w:r>
      <w:proofErr w:type="spellEnd"/>
      <w:r>
        <w:t xml:space="preserve"> Box 8.2. </w:t>
      </w:r>
    </w:p>
    <w:p w:rsidR="007D3CA2" w:rsidRDefault="007D3CA2" w:rsidP="007D3CA2">
      <w:r>
        <w:t xml:space="preserve">The </w:t>
      </w:r>
      <w:proofErr w:type="spellStart"/>
      <w:r>
        <w:t>way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, </w:t>
      </w:r>
      <w:proofErr w:type="spellStart"/>
      <w:r>
        <w:t>properties</w:t>
      </w:r>
      <w:proofErr w:type="spellEnd"/>
      <w:r>
        <w:t xml:space="preserve"> and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driven by </w:t>
      </w:r>
      <w:proofErr w:type="spellStart"/>
      <w:r>
        <w:t>digitalisation</w:t>
      </w:r>
      <w:proofErr w:type="spellEnd"/>
      <w:r>
        <w:t xml:space="preserve"> and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ambition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play a part in </w:t>
      </w:r>
      <w:proofErr w:type="spellStart"/>
      <w:r>
        <w:t>achieving</w:t>
      </w:r>
      <w:proofErr w:type="spellEnd"/>
      <w:r>
        <w:t xml:space="preserve"> overall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targets.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steadily</w:t>
      </w:r>
      <w:proofErr w:type="spellEnd"/>
      <w:r>
        <w:t xml:space="preserve"> more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technologically</w:t>
      </w:r>
      <w:proofErr w:type="spellEnd"/>
      <w:r>
        <w:t xml:space="preserve"> and in order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universal design and </w:t>
      </w:r>
      <w:proofErr w:type="spellStart"/>
      <w:r>
        <w:t>other</w:t>
      </w:r>
      <w:proofErr w:type="spellEnd"/>
      <w:r>
        <w:t xml:space="preserve"> standards.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developments</w:t>
      </w:r>
      <w:proofErr w:type="spellEnd"/>
      <w:r>
        <w:t xml:space="preserve"> have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implications</w:t>
      </w:r>
      <w:proofErr w:type="spellEnd"/>
      <w:r>
        <w:t xml:space="preserve">. </w:t>
      </w:r>
    </w:p>
    <w:p w:rsidR="007D3CA2" w:rsidRDefault="007D3CA2" w:rsidP="007D3CA2">
      <w:pPr>
        <w:pStyle w:val="Overskrift3"/>
      </w:pPr>
      <w:proofErr w:type="spellStart"/>
      <w:r>
        <w:t>Government</w:t>
      </w:r>
      <w:proofErr w:type="spellEnd"/>
      <w:r>
        <w:t xml:space="preserve"> policy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at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</w:t>
      </w:r>
    </w:p>
    <w:p w:rsidR="007D3CA2" w:rsidRDefault="007D3CA2" w:rsidP="007D3CA2">
      <w:r>
        <w:t xml:space="preserve">The </w:t>
      </w:r>
      <w:proofErr w:type="spellStart"/>
      <w:r>
        <w:t>aim</w:t>
      </w:r>
      <w:proofErr w:type="spellEnd"/>
      <w:r>
        <w:t xml:space="preserve"> is to </w:t>
      </w:r>
      <w:proofErr w:type="spellStart"/>
      <w:r>
        <w:t>pursue</w:t>
      </w:r>
      <w:proofErr w:type="spellEnd"/>
      <w:r>
        <w:t xml:space="preserve"> a long-term, </w:t>
      </w:r>
      <w:proofErr w:type="spellStart"/>
      <w:r>
        <w:t>predictable</w:t>
      </w:r>
      <w:proofErr w:type="spellEnd"/>
      <w:r>
        <w:t xml:space="preserve"> policy for </w:t>
      </w:r>
      <w:proofErr w:type="spellStart"/>
      <w:r>
        <w:t>buildings</w:t>
      </w:r>
      <w:proofErr w:type="spellEnd"/>
      <w:r>
        <w:t xml:space="preserve"> and campus </w:t>
      </w:r>
      <w:proofErr w:type="spellStart"/>
      <w:r>
        <w:t>development</w:t>
      </w:r>
      <w:proofErr w:type="spellEnd"/>
      <w:r>
        <w:t xml:space="preserve"> at Norwegian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that</w:t>
      </w:r>
      <w:proofErr w:type="spellEnd"/>
      <w:r>
        <w:t xml:space="preserve"> supports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objectives</w:t>
      </w:r>
      <w:proofErr w:type="spellEnd"/>
      <w:r>
        <w:t xml:space="preserve"> for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incentives</w:t>
      </w:r>
      <w:proofErr w:type="spellEnd"/>
      <w:r>
        <w:t xml:space="preserve"> for </w:t>
      </w:r>
      <w:proofErr w:type="spellStart"/>
      <w:r>
        <w:t>investments</w:t>
      </w:r>
      <w:proofErr w:type="spellEnd"/>
      <w:r>
        <w:t xml:space="preserve"> in and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>:</w:t>
      </w:r>
    </w:p>
    <w:p w:rsidR="007D3CA2" w:rsidRDefault="007D3CA2" w:rsidP="007D3CA2">
      <w:pPr>
        <w:pStyle w:val="friliste"/>
      </w:pPr>
      <w:r>
        <w:lastRenderedPageBreak/>
        <w:t>1.</w:t>
      </w:r>
      <w:r>
        <w:tab/>
      </w:r>
      <w:r>
        <w:rPr>
          <w:rStyle w:val="kursiv"/>
          <w:sz w:val="21"/>
          <w:szCs w:val="21"/>
        </w:rPr>
        <w:t>Policy instrument</w:t>
      </w:r>
      <w:r>
        <w:t xml:space="preserve"> –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an input </w:t>
      </w:r>
      <w:proofErr w:type="spellStart"/>
      <w:r>
        <w:t>factor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way</w:t>
      </w:r>
      <w:proofErr w:type="spellEnd"/>
      <w:r>
        <w:t xml:space="preserve"> as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</w:p>
    <w:p w:rsidR="007D3CA2" w:rsidRDefault="007D3CA2" w:rsidP="007D3CA2">
      <w:pPr>
        <w:pStyle w:val="friliste"/>
      </w:pPr>
      <w:r>
        <w:t>2.</w:t>
      </w:r>
      <w:r>
        <w:tab/>
      </w:r>
      <w:r>
        <w:rPr>
          <w:rStyle w:val="kursiv"/>
          <w:sz w:val="21"/>
          <w:szCs w:val="21"/>
        </w:rPr>
        <w:t>Adaptation</w:t>
      </w:r>
      <w:r>
        <w:t xml:space="preserve"> –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maintenance</w:t>
      </w:r>
      <w:proofErr w:type="spellEnd"/>
    </w:p>
    <w:p w:rsidR="007D3CA2" w:rsidRDefault="007D3CA2" w:rsidP="007D3CA2">
      <w:pPr>
        <w:pStyle w:val="friliste"/>
      </w:pPr>
      <w:r>
        <w:t>3.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Sustainability</w:t>
      </w:r>
      <w:proofErr w:type="spellEnd"/>
      <w:r>
        <w:rPr>
          <w:rStyle w:val="kursiv"/>
          <w:sz w:val="21"/>
          <w:szCs w:val="21"/>
        </w:rPr>
        <w:t xml:space="preserve"> –</w:t>
      </w:r>
      <w:r>
        <w:t xml:space="preserve"> Investments in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must be </w:t>
      </w:r>
      <w:proofErr w:type="spellStart"/>
      <w:r>
        <w:t>cost-effective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play a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. </w:t>
      </w:r>
    </w:p>
    <w:p w:rsidR="007D3CA2" w:rsidRDefault="007D3CA2" w:rsidP="007D3CA2">
      <w:pPr>
        <w:pStyle w:val="friliste"/>
      </w:pPr>
      <w:r>
        <w:t>4.</w:t>
      </w:r>
      <w:r>
        <w:tab/>
      </w:r>
      <w:r>
        <w:rPr>
          <w:rStyle w:val="kursiv"/>
          <w:sz w:val="21"/>
          <w:szCs w:val="21"/>
        </w:rPr>
        <w:t xml:space="preserve">The </w:t>
      </w:r>
      <w:proofErr w:type="spellStart"/>
      <w:r>
        <w:rPr>
          <w:rStyle w:val="kursiv"/>
          <w:sz w:val="21"/>
          <w:szCs w:val="21"/>
        </w:rPr>
        <w:t>university</w:t>
      </w:r>
      <w:proofErr w:type="spellEnd"/>
      <w:r>
        <w:rPr>
          <w:rStyle w:val="kursiv"/>
          <w:sz w:val="21"/>
          <w:szCs w:val="21"/>
        </w:rPr>
        <w:t xml:space="preserve"> museums</w:t>
      </w:r>
      <w:r>
        <w:t xml:space="preserve"> –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for Norwegian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and </w:t>
      </w:r>
      <w:proofErr w:type="spellStart"/>
      <w:r>
        <w:t>identity</w:t>
      </w:r>
      <w:proofErr w:type="spellEnd"/>
      <w:r>
        <w:t xml:space="preserve"> must be </w:t>
      </w:r>
      <w:proofErr w:type="spellStart"/>
      <w:r>
        <w:t>safeguarded</w:t>
      </w:r>
      <w:proofErr w:type="spellEnd"/>
      <w:r>
        <w:t xml:space="preserve">. </w:t>
      </w:r>
    </w:p>
    <w:p w:rsidR="007D3CA2" w:rsidRDefault="007D3CA2" w:rsidP="007D3CA2">
      <w:proofErr w:type="spellStart"/>
      <w:r>
        <w:t>These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framework</w:t>
      </w:r>
      <w:proofErr w:type="spellEnd"/>
      <w:r>
        <w:t xml:space="preserve"> for an </w:t>
      </w:r>
      <w:proofErr w:type="spellStart"/>
      <w:r>
        <w:t>integrated</w:t>
      </w:r>
      <w:proofErr w:type="spellEnd"/>
      <w:r>
        <w:t xml:space="preserve"> policy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later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an overall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and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at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and </w:t>
      </w:r>
      <w:proofErr w:type="spellStart"/>
      <w:r>
        <w:t>the</w:t>
      </w:r>
      <w:proofErr w:type="spellEnd"/>
      <w:r>
        <w:t xml:space="preserve"> status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:rsidR="007D3CA2" w:rsidRDefault="007D3CA2" w:rsidP="007D3CA2">
      <w:r>
        <w:t xml:space="preserve">The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Knowledge Centre for </w:t>
      </w:r>
      <w:proofErr w:type="spellStart"/>
      <w:r>
        <w:t>Education</w:t>
      </w:r>
      <w:proofErr w:type="spellEnd"/>
      <w:r>
        <w:t xml:space="preserve"> to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campus design </w:t>
      </w:r>
      <w:proofErr w:type="spellStart"/>
      <w:r>
        <w:t>that</w:t>
      </w:r>
      <w:proofErr w:type="spellEnd"/>
      <w:r>
        <w:t xml:space="preserve"> have a positive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cooperation</w:t>
      </w:r>
      <w:proofErr w:type="spellEnd"/>
      <w:r>
        <w:t xml:space="preserve"> and </w:t>
      </w:r>
      <w:proofErr w:type="spellStart"/>
      <w:r>
        <w:t>learning</w:t>
      </w:r>
      <w:proofErr w:type="spellEnd"/>
      <w:r>
        <w:t>.</w:t>
      </w:r>
      <w:r>
        <w:rPr>
          <w:vertAlign w:val="superscript"/>
        </w:rPr>
        <w:footnoteReference w:id="31"/>
      </w:r>
      <w:r>
        <w:t xml:space="preserve"> In </w:t>
      </w:r>
      <w:proofErr w:type="spellStart"/>
      <w:r>
        <w:t>addition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asked</w:t>
      </w:r>
      <w:proofErr w:type="spellEnd"/>
      <w:r>
        <w:t xml:space="preserve"> Statsbygg to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for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data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, i.e.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element </w:t>
      </w:r>
      <w:proofErr w:type="spellStart"/>
      <w:r>
        <w:t>of</w:t>
      </w:r>
      <w:proofErr w:type="spellEnd"/>
      <w:r>
        <w:t xml:space="preserve"> a campus.</w:t>
      </w:r>
      <w:r>
        <w:rPr>
          <w:vertAlign w:val="superscript"/>
        </w:rPr>
        <w:footnoteReference w:id="32"/>
      </w:r>
      <w:r>
        <w:t xml:space="preserve"> Statsbygg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element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students and staff (</w:t>
      </w:r>
      <w:proofErr w:type="spellStart"/>
      <w:r>
        <w:t>the</w:t>
      </w:r>
      <w:proofErr w:type="spellEnd"/>
      <w:r>
        <w:t xml:space="preserve"> human element), </w:t>
      </w:r>
      <w:proofErr w:type="spellStart"/>
      <w:r>
        <w:t>costs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element),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suited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purpose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element)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element).</w:t>
      </w:r>
    </w:p>
    <w:p w:rsidR="007D3CA2" w:rsidRDefault="007D3CA2" w:rsidP="007D3CA2">
      <w:r>
        <w:t xml:space="preserve">A </w:t>
      </w:r>
      <w:proofErr w:type="spellStart"/>
      <w:r>
        <w:t>knowledge</w:t>
      </w:r>
      <w:proofErr w:type="spellEnd"/>
      <w:r>
        <w:t xml:space="preserve"> base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up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basis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campus management and </w:t>
      </w:r>
      <w:proofErr w:type="spellStart"/>
      <w:r>
        <w:t>development</w:t>
      </w:r>
      <w:proofErr w:type="spellEnd"/>
      <w:r>
        <w:t>.</w:t>
      </w:r>
      <w:r>
        <w:rPr>
          <w:vertAlign w:val="superscript"/>
        </w:rPr>
        <w:footnoteReference w:id="33"/>
      </w:r>
    </w:p>
    <w:p w:rsidR="007D3CA2" w:rsidRDefault="007D3CA2" w:rsidP="007D3CA2">
      <w:r>
        <w:t xml:space="preserve">The </w:t>
      </w:r>
      <w:proofErr w:type="spellStart"/>
      <w:r>
        <w:t>knowledge</w:t>
      </w:r>
      <w:proofErr w:type="spellEnd"/>
      <w:r>
        <w:t xml:space="preserve"> base,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colleges,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ministries</w:t>
      </w:r>
      <w:proofErr w:type="spellEnd"/>
      <w:r>
        <w:t xml:space="preserve"> and </w:t>
      </w:r>
      <w:proofErr w:type="spellStart"/>
      <w:r>
        <w:t>comparisons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manage</w:t>
      </w:r>
      <w:proofErr w:type="spellEnd"/>
      <w:r>
        <w:t xml:space="preserve"> a </w:t>
      </w:r>
      <w:proofErr w:type="spellStart"/>
      <w:r>
        <w:t>substantial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infrastructure</w:t>
      </w:r>
      <w:proofErr w:type="spellEnd"/>
      <w:r>
        <w:t xml:space="preserve">, forms </w:t>
      </w:r>
      <w:proofErr w:type="spellStart"/>
      <w:r>
        <w:t>the</w:t>
      </w:r>
      <w:proofErr w:type="spellEnd"/>
      <w:r>
        <w:t xml:space="preserve"> basis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Government’s</w:t>
      </w:r>
      <w:proofErr w:type="spellEnd"/>
      <w:r>
        <w:t xml:space="preserve"> policy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>.</w:t>
      </w:r>
    </w:p>
    <w:p w:rsidR="007D3CA2" w:rsidRDefault="007D3CA2" w:rsidP="007D3CA2">
      <w:pPr>
        <w:pStyle w:val="Overskrift2"/>
      </w:pPr>
      <w:r>
        <w:t xml:space="preserve">A </w:t>
      </w:r>
      <w:proofErr w:type="spellStart"/>
      <w:r>
        <w:t>clear</w:t>
      </w:r>
      <w:proofErr w:type="spellEnd"/>
      <w:r>
        <w:t xml:space="preserve"> planning, </w:t>
      </w:r>
      <w:proofErr w:type="spellStart"/>
      <w:r>
        <w:t>construction</w:t>
      </w:r>
      <w:proofErr w:type="spellEnd"/>
      <w:r>
        <w:t xml:space="preserve"> and management system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</w:p>
    <w:p w:rsidR="007D3CA2" w:rsidRDefault="007D3CA2" w:rsidP="007D3CA2">
      <w:r>
        <w:t xml:space="preserve">In order to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at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efficiently</w:t>
      </w:r>
      <w:proofErr w:type="spellEnd"/>
      <w:r>
        <w:t xml:space="preserve"> and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promotes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, it is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, </w:t>
      </w:r>
      <w:proofErr w:type="spellStart"/>
      <w:r>
        <w:t>constructed</w:t>
      </w:r>
      <w:proofErr w:type="spellEnd"/>
      <w:r>
        <w:t xml:space="preserve"> and </w:t>
      </w:r>
      <w:proofErr w:type="spellStart"/>
      <w:r>
        <w:t>managed</w:t>
      </w:r>
      <w:proofErr w:type="spellEnd"/>
      <w:r>
        <w:t xml:space="preserve">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decades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pass </w:t>
      </w:r>
      <w:proofErr w:type="spellStart"/>
      <w:r>
        <w:t>between</w:t>
      </w:r>
      <w:proofErr w:type="spellEnd"/>
      <w:r>
        <w:t xml:space="preserve"> a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building</w:t>
      </w:r>
      <w:proofErr w:type="spellEnd"/>
      <w:r>
        <w:t xml:space="preserve">. A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stakeholders and different types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different management regimes and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.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variation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and type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different </w:t>
      </w:r>
      <w:proofErr w:type="spellStart"/>
      <w:r>
        <w:t>institutions</w:t>
      </w:r>
      <w:proofErr w:type="spellEnd"/>
      <w:r>
        <w:t xml:space="preserve"> have at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. This is </w:t>
      </w:r>
      <w:proofErr w:type="spellStart"/>
      <w:r>
        <w:t>explained</w:t>
      </w:r>
      <w:proofErr w:type="spellEnd"/>
      <w:r>
        <w:t xml:space="preserve"> by </w:t>
      </w:r>
      <w:proofErr w:type="spellStart"/>
      <w:r>
        <w:t>differences</w:t>
      </w:r>
      <w:proofErr w:type="spellEnd"/>
      <w:r>
        <w:t xml:space="preserve"> in </w:t>
      </w:r>
      <w:proofErr w:type="spellStart"/>
      <w:r>
        <w:t>size</w:t>
      </w:r>
      <w:proofErr w:type="spellEnd"/>
      <w:r>
        <w:t xml:space="preserve">,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portfolio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profile</w:t>
      </w:r>
      <w:proofErr w:type="spellEnd"/>
      <w:r>
        <w:t xml:space="preserve">.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, animal </w:t>
      </w:r>
      <w:proofErr w:type="spellStart"/>
      <w:r>
        <w:t>accommodation</w:t>
      </w:r>
      <w:proofErr w:type="spellEnd"/>
      <w:r>
        <w:t xml:space="preserve">, </w:t>
      </w:r>
      <w:proofErr w:type="spellStart"/>
      <w:r>
        <w:t>towing</w:t>
      </w:r>
      <w:proofErr w:type="spellEnd"/>
      <w:r>
        <w:t xml:space="preserve"> tanks or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different types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from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offices</w:t>
      </w:r>
      <w:proofErr w:type="spellEnd"/>
      <w:r>
        <w:t xml:space="preserve"> and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. It is </w:t>
      </w:r>
      <w:proofErr w:type="spellStart"/>
      <w:r>
        <w:t>common</w:t>
      </w:r>
      <w:proofErr w:type="spellEnd"/>
      <w:r>
        <w:t xml:space="preserve"> to </w:t>
      </w:r>
      <w:proofErr w:type="spellStart"/>
      <w:r>
        <w:t>distinguish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«</w:t>
      </w:r>
      <w:proofErr w:type="spellStart"/>
      <w:r>
        <w:t>wet</w:t>
      </w:r>
      <w:proofErr w:type="spellEnd"/>
      <w:r>
        <w:t>» areas (</w:t>
      </w:r>
      <w:proofErr w:type="spellStart"/>
      <w:r>
        <w:t>wet</w:t>
      </w:r>
      <w:proofErr w:type="spellEnd"/>
      <w:r>
        <w:t xml:space="preserve"> labs, </w:t>
      </w:r>
      <w:proofErr w:type="spellStart"/>
      <w:r>
        <w:t>clinics</w:t>
      </w:r>
      <w:proofErr w:type="spellEnd"/>
      <w:r>
        <w:t xml:space="preserve"> etc.) and «dry» areas (</w:t>
      </w:r>
      <w:proofErr w:type="spellStart"/>
      <w:r>
        <w:t>analytical</w:t>
      </w:r>
      <w:proofErr w:type="spellEnd"/>
      <w:r>
        <w:t xml:space="preserve"> labs,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, auditoriums, </w:t>
      </w:r>
      <w:proofErr w:type="spellStart"/>
      <w:r>
        <w:t>offices</w:t>
      </w:r>
      <w:proofErr w:type="spellEnd"/>
      <w:r>
        <w:t xml:space="preserve">). This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an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different elements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system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: management regimes,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and management, types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’ plans, </w:t>
      </w:r>
      <w:proofErr w:type="spellStart"/>
      <w:r>
        <w:t>opportunities</w:t>
      </w:r>
      <w:proofErr w:type="spellEnd"/>
      <w:r>
        <w:t xml:space="preserve"> and </w:t>
      </w:r>
      <w:proofErr w:type="spellStart"/>
      <w:r>
        <w:t>responsibilities</w:t>
      </w:r>
      <w:proofErr w:type="spellEnd"/>
      <w:r>
        <w:t xml:space="preserve">. It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an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different </w:t>
      </w:r>
      <w:proofErr w:type="spellStart"/>
      <w:r>
        <w:t>phases</w:t>
      </w:r>
      <w:proofErr w:type="spellEnd"/>
      <w:r>
        <w:t>.</w:t>
      </w:r>
    </w:p>
    <w:p w:rsidR="007D3CA2" w:rsidRDefault="007D3CA2" w:rsidP="007D3CA2">
      <w:pPr>
        <w:pStyle w:val="Overskrift3"/>
      </w:pPr>
      <w:r>
        <w:lastRenderedPageBreak/>
        <w:t xml:space="preserve">Management regimes </w:t>
      </w:r>
    </w:p>
    <w:p w:rsidR="007D3CA2" w:rsidRDefault="007D3CA2" w:rsidP="007D3CA2">
      <w:r>
        <w:t xml:space="preserve">The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disposal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has </w:t>
      </w:r>
      <w:proofErr w:type="spellStart"/>
      <w:r>
        <w:t>a</w:t>
      </w:r>
      <w:proofErr w:type="spellEnd"/>
      <w:r>
        <w:t xml:space="preserve"> total 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3.4 million </w:t>
      </w:r>
      <w:proofErr w:type="spellStart"/>
      <w:r>
        <w:t>square</w:t>
      </w:r>
      <w:proofErr w:type="spellEnd"/>
      <w:r>
        <w:t xml:space="preserve"> </w:t>
      </w:r>
      <w:proofErr w:type="spellStart"/>
      <w:r>
        <w:t>metres</w:t>
      </w:r>
      <w:proofErr w:type="spellEnd"/>
      <w:r>
        <w:t xml:space="preserve">. The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, </w:t>
      </w:r>
      <w:proofErr w:type="spellStart"/>
      <w:r>
        <w:t>about</w:t>
      </w:r>
      <w:proofErr w:type="spellEnd"/>
      <w:r>
        <w:t xml:space="preserve"> half, is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for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</w:t>
      </w:r>
      <w:proofErr w:type="spellStart"/>
      <w:r>
        <w:t>property</w:t>
      </w:r>
      <w:proofErr w:type="spellEnd"/>
      <w:r>
        <w:t xml:space="preserve"> managers. One quarter is </w:t>
      </w:r>
      <w:proofErr w:type="spellStart"/>
      <w:r>
        <w:t>managed</w:t>
      </w:r>
      <w:proofErr w:type="spellEnd"/>
      <w:r>
        <w:t xml:space="preserve"> by Statsbygg, and </w:t>
      </w:r>
      <w:proofErr w:type="spellStart"/>
      <w:r>
        <w:t>one</w:t>
      </w:r>
      <w:proofErr w:type="spellEnd"/>
      <w:r>
        <w:t xml:space="preserve"> quarter is </w:t>
      </w:r>
      <w:proofErr w:type="spellStart"/>
      <w:r>
        <w:t>leased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private </w:t>
      </w:r>
      <w:proofErr w:type="spellStart"/>
      <w:r>
        <w:t>market</w:t>
      </w:r>
      <w:proofErr w:type="spellEnd"/>
      <w:r>
        <w:t xml:space="preserve">.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reform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most </w:t>
      </w:r>
      <w:proofErr w:type="spellStart"/>
      <w:r>
        <w:t>institutions</w:t>
      </w:r>
      <w:proofErr w:type="spellEnd"/>
      <w:r>
        <w:t xml:space="preserve"> have </w:t>
      </w:r>
      <w:proofErr w:type="spellStart"/>
      <w:r>
        <w:t>buildings</w:t>
      </w:r>
      <w:proofErr w:type="spellEnd"/>
      <w:r>
        <w:t xml:space="preserve"> in all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categories</w:t>
      </w:r>
      <w:proofErr w:type="spellEnd"/>
      <w:r>
        <w:t xml:space="preserve">. </w:t>
      </w:r>
      <w:proofErr w:type="spellStart"/>
      <w:r>
        <w:t>Acting</w:t>
      </w:r>
      <w:proofErr w:type="spellEnd"/>
      <w:r>
        <w:t xml:space="preserve"> as </w:t>
      </w:r>
      <w:proofErr w:type="spellStart"/>
      <w:r>
        <w:t>property</w:t>
      </w:r>
      <w:proofErr w:type="spellEnd"/>
      <w:r>
        <w:t xml:space="preserve"> manager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an </w:t>
      </w:r>
      <w:proofErr w:type="spellStart"/>
      <w:r>
        <w:t>institution</w:t>
      </w:r>
      <w:proofErr w:type="spellEnd"/>
      <w:r>
        <w:t xml:space="preserve"> is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managing</w:t>
      </w:r>
      <w:proofErr w:type="spellEnd"/>
      <w:r>
        <w:t xml:space="preserve">, </w:t>
      </w:r>
      <w:proofErr w:type="spellStart"/>
      <w:r>
        <w:t>maintaining</w:t>
      </w:r>
      <w:proofErr w:type="spellEnd"/>
      <w:r>
        <w:t xml:space="preserve"> and operating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. Seven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Oslo, UiT The Arctic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Norway,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Bergen,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Technology,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Life Sciences, NHH Norwegian School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Norwegian School </w:t>
      </w:r>
      <w:proofErr w:type="spellStart"/>
      <w:r>
        <w:t>of</w:t>
      </w:r>
      <w:proofErr w:type="spellEnd"/>
      <w:r>
        <w:t xml:space="preserve"> Sport Sciences, </w:t>
      </w:r>
      <w:proofErr w:type="spellStart"/>
      <w:r>
        <w:t>manage</w:t>
      </w:r>
      <w:proofErr w:type="spellEnd"/>
      <w:r>
        <w:t xml:space="preserve"> most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to be </w:t>
      </w:r>
      <w:proofErr w:type="spellStart"/>
      <w:r>
        <w:t>property</w:t>
      </w:r>
      <w:proofErr w:type="spellEnd"/>
      <w:r>
        <w:t xml:space="preserve"> managers.</w:t>
      </w:r>
      <w:r>
        <w:rPr>
          <w:vertAlign w:val="superscript"/>
        </w:rPr>
        <w:footnoteReference w:id="34"/>
      </w:r>
      <w:r>
        <w:t xml:space="preserve"> For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by Statsbygg,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rent to cover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management, </w:t>
      </w:r>
      <w:proofErr w:type="spellStart"/>
      <w:r>
        <w:t>operation</w:t>
      </w:r>
      <w:proofErr w:type="spellEnd"/>
      <w:r>
        <w:t xml:space="preserve"> and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to preserve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plus</w:t>
      </w:r>
      <w:proofErr w:type="spellEnd"/>
      <w:r>
        <w:t xml:space="preserve"> a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invested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. </w:t>
      </w:r>
    </w:p>
    <w:p w:rsidR="007D3CA2" w:rsidRDefault="006E6F2E" w:rsidP="006E6F2E">
      <w:pPr>
        <w:pStyle w:val="Figur"/>
      </w:pPr>
      <w:proofErr w:type="gramStart"/>
      <w:r>
        <w:t>[:figur</w:t>
      </w:r>
      <w:proofErr w:type="gramEnd"/>
      <w:r>
        <w:t>:fig8-2.jpg]</w:t>
      </w:r>
    </w:p>
    <w:p w:rsidR="007D3CA2" w:rsidRDefault="007D3CA2" w:rsidP="007D3CA2">
      <w:pPr>
        <w:pStyle w:val="figur-tittel"/>
      </w:pPr>
      <w:r>
        <w:t xml:space="preserve">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(m</w:t>
      </w:r>
      <w:r>
        <w:rPr>
          <w:rStyle w:val="skrift-hevet"/>
          <w:sz w:val="21"/>
          <w:szCs w:val="21"/>
        </w:rPr>
        <w:t>2</w:t>
      </w:r>
      <w:r>
        <w:t>) and management regimes 2016 (Source Norwegian Centre for Research Data)</w:t>
      </w:r>
    </w:p>
    <w:p w:rsidR="007D3CA2" w:rsidRDefault="007D3CA2" w:rsidP="007D3CA2">
      <w:pPr>
        <w:pStyle w:val="Overskrift3"/>
      </w:pPr>
      <w:r>
        <w:t xml:space="preserve">The </w:t>
      </w:r>
      <w:proofErr w:type="spellStart"/>
      <w:r>
        <w:t>Ministry’s</w:t>
      </w:r>
      <w:proofErr w:type="spellEnd"/>
      <w:r>
        <w:t xml:space="preserve"> management </w:t>
      </w:r>
      <w:proofErr w:type="spellStart"/>
      <w:r>
        <w:t>framework</w:t>
      </w:r>
      <w:proofErr w:type="spellEnd"/>
    </w:p>
    <w:p w:rsidR="007D3CA2" w:rsidRDefault="007D3CA2" w:rsidP="007D3CA2">
      <w:r>
        <w:t xml:space="preserve">The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is </w:t>
      </w:r>
      <w:proofErr w:type="spellStart"/>
      <w:r>
        <w:t>responsible</w:t>
      </w:r>
      <w:proofErr w:type="spellEnd"/>
      <w:r>
        <w:t xml:space="preserve"> for overall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colleges. Public and private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governed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funding</w:t>
      </w:r>
      <w:proofErr w:type="spellEnd"/>
      <w:r>
        <w:t xml:space="preserve"> and </w:t>
      </w:r>
      <w:proofErr w:type="spellStart"/>
      <w:r>
        <w:t>accreditation</w:t>
      </w:r>
      <w:proofErr w:type="spellEnd"/>
      <w:r>
        <w:t xml:space="preserve"> system and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. </w:t>
      </w:r>
    </w:p>
    <w:p w:rsidR="007D3CA2" w:rsidRDefault="007D3CA2" w:rsidP="007D3CA2">
      <w:r>
        <w:t xml:space="preserve">In 2017,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had</w:t>
      </w:r>
      <w:proofErr w:type="spellEnd"/>
      <w:r>
        <w:t xml:space="preserve"> a total </w:t>
      </w:r>
      <w:proofErr w:type="spellStart"/>
      <w:r>
        <w:t>income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NOK 43 billion. Direct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up </w:t>
      </w:r>
      <w:proofErr w:type="spellStart"/>
      <w:r>
        <w:t>around</w:t>
      </w:r>
      <w:proofErr w:type="spellEnd"/>
      <w:r>
        <w:t xml:space="preserve"> NOK 33.9 billion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and </w:t>
      </w:r>
      <w:proofErr w:type="spellStart"/>
      <w:r>
        <w:t>commissions</w:t>
      </w:r>
      <w:proofErr w:type="spellEnd"/>
      <w:r>
        <w:t xml:space="preserve"> </w:t>
      </w:r>
      <w:proofErr w:type="spellStart"/>
      <w:r>
        <w:t>constituted</w:t>
      </w:r>
      <w:proofErr w:type="spellEnd"/>
      <w:r>
        <w:t xml:space="preserve"> most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remaining</w:t>
      </w:r>
      <w:proofErr w:type="spellEnd"/>
      <w:r>
        <w:t xml:space="preserve"> </w:t>
      </w:r>
      <w:proofErr w:type="spellStart"/>
      <w:r>
        <w:t>income</w:t>
      </w:r>
      <w:proofErr w:type="spellEnd"/>
      <w:r>
        <w:t xml:space="preserve">. </w:t>
      </w:r>
      <w:proofErr w:type="spellStart"/>
      <w:r>
        <w:t>Recruitment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students and staff,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equipment</w:t>
      </w:r>
      <w:proofErr w:type="spellEnd"/>
      <w:r>
        <w:t xml:space="preserve"> and </w:t>
      </w:r>
      <w:proofErr w:type="spellStart"/>
      <w:r>
        <w:t>ambitious</w:t>
      </w:r>
      <w:proofErr w:type="spellEnd"/>
      <w:r>
        <w:t xml:space="preserve"> plans for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all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’ </w:t>
      </w:r>
      <w:proofErr w:type="spellStart"/>
      <w:r>
        <w:t>budgets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considering</w:t>
      </w:r>
      <w:proofErr w:type="spellEnd"/>
      <w:r>
        <w:t xml:space="preserve"> all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. </w:t>
      </w:r>
    </w:p>
    <w:p w:rsidR="007D3CA2" w:rsidRDefault="007D3CA2" w:rsidP="007D3CA2">
      <w:r>
        <w:t xml:space="preserve">As a basis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boards</w:t>
      </w:r>
      <w:proofErr w:type="spellEnd"/>
      <w:r>
        <w:t xml:space="preserve">’ </w:t>
      </w:r>
      <w:proofErr w:type="spellStart"/>
      <w:r>
        <w:t>priorities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to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all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follow</w:t>
      </w:r>
      <w:proofErr w:type="spellEnd"/>
      <w:r>
        <w:t xml:space="preserve">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reform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(Meld. St. 18 (2014–2015)) by preparing campus </w:t>
      </w:r>
      <w:proofErr w:type="spellStart"/>
      <w:r>
        <w:t>development</w:t>
      </w:r>
      <w:proofErr w:type="spellEnd"/>
      <w:r>
        <w:t xml:space="preserve"> plans.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overall plans for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and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and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efficiently</w:t>
      </w:r>
      <w:proofErr w:type="spellEnd"/>
      <w:r>
        <w:t xml:space="preserve">. In </w:t>
      </w:r>
      <w:proofErr w:type="spellStart"/>
      <w:r>
        <w:t>each</w:t>
      </w:r>
      <w:proofErr w:type="spellEnd"/>
      <w:r>
        <w:t xml:space="preserve"> plan,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is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and </w:t>
      </w:r>
      <w:proofErr w:type="spellStart"/>
      <w:r>
        <w:t>investments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to make </w:t>
      </w:r>
      <w:proofErr w:type="spellStart"/>
      <w:r>
        <w:t>the</w:t>
      </w:r>
      <w:proofErr w:type="spellEnd"/>
      <w:r>
        <w:t xml:space="preserve"> campus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for </w:t>
      </w:r>
      <w:proofErr w:type="spellStart"/>
      <w:r>
        <w:t>rese</w:t>
      </w:r>
      <w:r>
        <w:lastRenderedPageBreak/>
        <w:t>arch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.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 must </w:t>
      </w:r>
      <w:proofErr w:type="spellStart"/>
      <w:r>
        <w:t>also</w:t>
      </w:r>
      <w:proofErr w:type="spellEnd"/>
      <w:r>
        <w:t xml:space="preserve"> have long-term plans for </w:t>
      </w:r>
      <w:proofErr w:type="spellStart"/>
      <w:r>
        <w:t>maintenance</w:t>
      </w:r>
      <w:proofErr w:type="spellEnd"/>
      <w:r>
        <w:t xml:space="preserve"> </w:t>
      </w:r>
      <w:proofErr w:type="gramStart"/>
      <w:r>
        <w:t>to preserve</w:t>
      </w:r>
      <w:proofErr w:type="gram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and for </w:t>
      </w:r>
      <w:proofErr w:type="spellStart"/>
      <w:r>
        <w:t>upgrades</w:t>
      </w:r>
      <w:proofErr w:type="spellEnd"/>
      <w:r>
        <w:t xml:space="preserve">,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>.</w:t>
      </w:r>
    </w:p>
    <w:p w:rsidR="007D3CA2" w:rsidRDefault="007D3CA2" w:rsidP="007D3CA2">
      <w:proofErr w:type="spellStart"/>
      <w:r>
        <w:t>Before</w:t>
      </w:r>
      <w:proofErr w:type="spellEnd"/>
      <w:r>
        <w:t xml:space="preserve"> an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notifies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space</w:t>
      </w:r>
      <w:proofErr w:type="spellEnd"/>
      <w:r>
        <w:t xml:space="preserve">, it must have </w:t>
      </w:r>
      <w:proofErr w:type="spellStart"/>
      <w:r>
        <w:t>assessed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overall </w:t>
      </w:r>
      <w:proofErr w:type="spellStart"/>
      <w:r>
        <w:t>strategy</w:t>
      </w:r>
      <w:proofErr w:type="spellEnd"/>
      <w:r>
        <w:t xml:space="preserve">.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and </w:t>
      </w:r>
      <w:proofErr w:type="spellStart"/>
      <w:r>
        <w:t>alterations</w:t>
      </w:r>
      <w:proofErr w:type="spellEnd"/>
      <w:r>
        <w:t xml:space="preserve"> to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must </w:t>
      </w:r>
      <w:proofErr w:type="spellStart"/>
      <w:r>
        <w:t>always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as an alternative to a </w:t>
      </w:r>
      <w:proofErr w:type="spellStart"/>
      <w:r>
        <w:t>newbuild</w:t>
      </w:r>
      <w:proofErr w:type="spellEnd"/>
      <w:r>
        <w:t xml:space="preserve">. The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decides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Ministry. </w:t>
      </w:r>
    </w:p>
    <w:p w:rsidR="007D3CA2" w:rsidRDefault="007D3CA2" w:rsidP="007D3CA2">
      <w:proofErr w:type="spellStart"/>
      <w:r>
        <w:t>When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assess</w:t>
      </w:r>
      <w:proofErr w:type="spellEnd"/>
      <w:r>
        <w:t xml:space="preserve"> plans and </w:t>
      </w:r>
      <w:proofErr w:type="spellStart"/>
      <w:r>
        <w:t>needs</w:t>
      </w:r>
      <w:proofErr w:type="spellEnd"/>
      <w:r>
        <w:t xml:space="preserve"> for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and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Ministry, </w:t>
      </w:r>
      <w:proofErr w:type="spellStart"/>
      <w:r>
        <w:t>they</w:t>
      </w:r>
      <w:proofErr w:type="spellEnd"/>
      <w:r>
        <w:t xml:space="preserve"> must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analyses and </w:t>
      </w:r>
      <w:proofErr w:type="spellStart"/>
      <w:r>
        <w:t>preparations</w:t>
      </w:r>
      <w:proofErr w:type="spellEnd"/>
      <w:r>
        <w:t xml:space="preserve"> in line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, </w:t>
      </w:r>
      <w:proofErr w:type="spellStart"/>
      <w:r>
        <w:t>legislation</w:t>
      </w:r>
      <w:proofErr w:type="spellEnd"/>
      <w:r>
        <w:t xml:space="preserve"> and </w:t>
      </w:r>
      <w:proofErr w:type="spellStart"/>
      <w:r>
        <w:t>procedures</w:t>
      </w:r>
      <w:proofErr w:type="spellEnd"/>
      <w:r>
        <w:t xml:space="preserve">. The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for planning and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 and </w:t>
      </w:r>
      <w:proofErr w:type="spellStart"/>
      <w:r>
        <w:t>projects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 for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and leasing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civilian</w:t>
      </w:r>
      <w:proofErr w:type="spellEnd"/>
      <w:r>
        <w:t xml:space="preserve"> </w:t>
      </w:r>
      <w:proofErr w:type="spellStart"/>
      <w:r>
        <w:t>sector</w:t>
      </w:r>
      <w:proofErr w:type="spellEnd"/>
      <w:r>
        <w:t>.</w:t>
      </w:r>
      <w:r>
        <w:rPr>
          <w:vertAlign w:val="superscript"/>
        </w:rPr>
        <w:footnoteReference w:id="35"/>
      </w:r>
      <w:r>
        <w:t xml:space="preserve"> The </w:t>
      </w:r>
      <w:proofErr w:type="spellStart"/>
      <w:r>
        <w:t>institutions</w:t>
      </w:r>
      <w:proofErr w:type="spellEnd"/>
      <w:r>
        <w:t xml:space="preserve"> must </w:t>
      </w:r>
      <w:proofErr w:type="spellStart"/>
      <w:r>
        <w:t>always</w:t>
      </w:r>
      <w:proofErr w:type="spellEnd"/>
      <w:r>
        <w:t xml:space="preserve"> make it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alternative </w:t>
      </w:r>
      <w:proofErr w:type="spellStart"/>
      <w:r>
        <w:t>solutions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. The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planning guidelines for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housing</w:t>
      </w:r>
      <w:proofErr w:type="spellEnd"/>
      <w:r>
        <w:t>, land-</w:t>
      </w:r>
      <w:proofErr w:type="spellStart"/>
      <w:r>
        <w:t>use</w:t>
      </w:r>
      <w:proofErr w:type="spellEnd"/>
      <w:r>
        <w:t xml:space="preserve"> and transport planning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govern</w:t>
      </w:r>
      <w:proofErr w:type="spellEnd"/>
      <w:r>
        <w:t xml:space="preserve"> land </w:t>
      </w:r>
      <w:proofErr w:type="spellStart"/>
      <w:r>
        <w:t>use</w:t>
      </w:r>
      <w:proofErr w:type="spellEnd"/>
      <w:r>
        <w:t>, re-</w:t>
      </w:r>
      <w:proofErr w:type="spellStart"/>
      <w:r>
        <w:t>use</w:t>
      </w:r>
      <w:proofErr w:type="spellEnd"/>
      <w:r>
        <w:t xml:space="preserve"> and </w:t>
      </w:r>
      <w:proofErr w:type="spellStart"/>
      <w:r>
        <w:t>quality</w:t>
      </w:r>
      <w:proofErr w:type="spellEnd"/>
      <w:r>
        <w:t xml:space="preserve"> for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>.</w:t>
      </w:r>
    </w:p>
    <w:p w:rsidR="007D3CA2" w:rsidRDefault="007D3CA2" w:rsidP="007D3CA2">
      <w:pPr>
        <w:pStyle w:val="Overskrift3"/>
      </w:pPr>
      <w:proofErr w:type="spellStart"/>
      <w:r>
        <w:t>Funding</w:t>
      </w:r>
      <w:proofErr w:type="spellEnd"/>
      <w:r>
        <w:t xml:space="preserve"> </w:t>
      </w:r>
      <w:proofErr w:type="spellStart"/>
      <w:r>
        <w:t>models</w:t>
      </w:r>
      <w:proofErr w:type="spellEnd"/>
    </w:p>
    <w:p w:rsidR="007D3CA2" w:rsidRDefault="007D3CA2" w:rsidP="007D3CA2">
      <w:r>
        <w:t xml:space="preserve">Construction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range from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alterations</w:t>
      </w:r>
      <w:proofErr w:type="spellEnd"/>
      <w:r>
        <w:t xml:space="preserve"> and </w:t>
      </w:r>
      <w:proofErr w:type="spellStart"/>
      <w:r>
        <w:t>adaptations</w:t>
      </w:r>
      <w:proofErr w:type="spellEnd"/>
      <w:r>
        <w:t xml:space="preserve"> to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to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newbuilds</w:t>
      </w:r>
      <w:proofErr w:type="spellEnd"/>
      <w:r>
        <w:t xml:space="preserve"> and </w:t>
      </w:r>
      <w:proofErr w:type="spellStart"/>
      <w:r>
        <w:t>renovation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a </w:t>
      </w:r>
      <w:proofErr w:type="spellStart"/>
      <w:r>
        <w:t>distinction</w:t>
      </w:r>
      <w:proofErr w:type="spellEnd"/>
      <w:r>
        <w:t xml:space="preserve"> is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purpose-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leased</w:t>
      </w:r>
      <w:proofErr w:type="spellEnd"/>
      <w:r>
        <w:t xml:space="preserve"> or </w:t>
      </w:r>
      <w:proofErr w:type="spellStart"/>
      <w:r>
        <w:t>purchased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terms. Central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 must </w:t>
      </w:r>
      <w:proofErr w:type="spellStart"/>
      <w:r>
        <w:t>determine</w:t>
      </w:r>
      <w:proofErr w:type="spellEnd"/>
      <w:r>
        <w:t xml:space="preserve"> at an </w:t>
      </w:r>
      <w:proofErr w:type="spellStart"/>
      <w:r>
        <w:t>early</w:t>
      </w:r>
      <w:proofErr w:type="spellEnd"/>
      <w:r>
        <w:t xml:space="preserve"> stage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 is </w:t>
      </w:r>
      <w:proofErr w:type="spellStart"/>
      <w:r>
        <w:t>appropriate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</w:t>
      </w:r>
      <w:proofErr w:type="spellStart"/>
      <w:r>
        <w:t>Building</w:t>
      </w:r>
      <w:proofErr w:type="spellEnd"/>
      <w:r>
        <w:t xml:space="preserve"> types for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no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as purpose-</w:t>
      </w:r>
      <w:proofErr w:type="spellStart"/>
      <w:r>
        <w:t>built</w:t>
      </w:r>
      <w:proofErr w:type="spellEnd"/>
      <w:r>
        <w:t xml:space="preserve">. Most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purpose-</w:t>
      </w:r>
      <w:proofErr w:type="spellStart"/>
      <w:r>
        <w:t>built</w:t>
      </w:r>
      <w:proofErr w:type="spellEnd"/>
      <w:r>
        <w:t xml:space="preserve">. Construction </w:t>
      </w:r>
      <w:proofErr w:type="spellStart"/>
      <w:r>
        <w:t>projects</w:t>
      </w:r>
      <w:proofErr w:type="spellEnd"/>
      <w:r>
        <w:t xml:space="preserve"> at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financed</w:t>
      </w:r>
      <w:proofErr w:type="spellEnd"/>
      <w:r>
        <w:t xml:space="preserve"> in </w:t>
      </w:r>
      <w:proofErr w:type="spellStart"/>
      <w:r>
        <w:t>several</w:t>
      </w:r>
      <w:proofErr w:type="spellEnd"/>
      <w:r>
        <w:t xml:space="preserve"> different </w:t>
      </w:r>
      <w:proofErr w:type="spellStart"/>
      <w:r>
        <w:t>ways</w:t>
      </w:r>
      <w:proofErr w:type="spellEnd"/>
      <w:r>
        <w:t>:</w:t>
      </w:r>
    </w:p>
    <w:p w:rsidR="007D3CA2" w:rsidRDefault="007D3CA2" w:rsidP="007D3CA2">
      <w:pPr>
        <w:pStyle w:val="friliste"/>
      </w:pPr>
      <w:r>
        <w:t>i)</w:t>
      </w:r>
      <w:r>
        <w:rPr>
          <w:rStyle w:val="kursiv"/>
          <w:sz w:val="21"/>
          <w:szCs w:val="21"/>
        </w:rPr>
        <w:tab/>
        <w:t xml:space="preserve">Projects </w:t>
      </w:r>
      <w:proofErr w:type="spellStart"/>
      <w:r>
        <w:rPr>
          <w:rStyle w:val="kursiv"/>
          <w:sz w:val="21"/>
          <w:szCs w:val="21"/>
        </w:rPr>
        <w:t>managed</w:t>
      </w:r>
      <w:proofErr w:type="spellEnd"/>
      <w:r>
        <w:rPr>
          <w:rStyle w:val="kursiv"/>
          <w:sz w:val="21"/>
          <w:szCs w:val="21"/>
        </w:rPr>
        <w:t xml:space="preserve"> by </w:t>
      </w:r>
      <w:proofErr w:type="spellStart"/>
      <w:r>
        <w:rPr>
          <w:rStyle w:val="kursiv"/>
          <w:sz w:val="21"/>
          <w:szCs w:val="21"/>
        </w:rPr>
        <w:t>the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institution</w:t>
      </w:r>
      <w:proofErr w:type="spellEnd"/>
      <w:r>
        <w:rPr>
          <w:rStyle w:val="kursiv"/>
          <w:sz w:val="21"/>
          <w:szCs w:val="21"/>
        </w:rPr>
        <w:t>. C</w:t>
      </w:r>
      <w:r>
        <w:t xml:space="preserve">onstruction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by an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a </w:t>
      </w:r>
      <w:proofErr w:type="spellStart"/>
      <w:r>
        <w:t>property</w:t>
      </w:r>
      <w:proofErr w:type="spellEnd"/>
      <w:r>
        <w:t xml:space="preserve"> manager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. </w:t>
      </w:r>
    </w:p>
    <w:p w:rsidR="007D3CA2" w:rsidRDefault="007D3CA2" w:rsidP="007D3CA2">
      <w:pPr>
        <w:pStyle w:val="friliste"/>
      </w:pPr>
      <w:r>
        <w:t>ii)</w:t>
      </w:r>
      <w:r>
        <w:rPr>
          <w:rStyle w:val="kursiv"/>
          <w:sz w:val="21"/>
          <w:szCs w:val="21"/>
        </w:rPr>
        <w:tab/>
        <w:t>User-</w:t>
      </w:r>
      <w:proofErr w:type="spellStart"/>
      <w:r>
        <w:rPr>
          <w:rStyle w:val="kursiv"/>
          <w:sz w:val="21"/>
          <w:szCs w:val="21"/>
        </w:rPr>
        <w:t>financed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construction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projects</w:t>
      </w:r>
      <w:proofErr w:type="spellEnd"/>
      <w:r>
        <w:rPr>
          <w:rStyle w:val="kursiv"/>
          <w:sz w:val="21"/>
          <w:szCs w:val="21"/>
        </w:rPr>
        <w:t>. C</w:t>
      </w:r>
      <w:r>
        <w:t xml:space="preserve">onstruction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rent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(s) from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unchanged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. This form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is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rent to Statsbygg. </w:t>
      </w:r>
      <w:proofErr w:type="spellStart"/>
      <w:r>
        <w:t>Funding</w:t>
      </w:r>
      <w:proofErr w:type="spellEnd"/>
      <w:r>
        <w:t xml:space="preserve"> is </w:t>
      </w:r>
      <w:proofErr w:type="spellStart"/>
      <w:r>
        <w:t>allocated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</w:t>
      </w:r>
      <w:proofErr w:type="spellEnd"/>
      <w:r>
        <w:t xml:space="preserve"> (Chapter 2445 Statsbygg). </w:t>
      </w:r>
    </w:p>
    <w:p w:rsidR="007D3CA2" w:rsidRDefault="007D3CA2" w:rsidP="007D3CA2">
      <w:pPr>
        <w:pStyle w:val="friliste"/>
      </w:pPr>
      <w:r>
        <w:t>iii)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Ordinary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construction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projects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 major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has pre-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phases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planning and </w:t>
      </w:r>
      <w:proofErr w:type="spellStart"/>
      <w:r>
        <w:t>implementation</w:t>
      </w:r>
      <w:proofErr w:type="spellEnd"/>
      <w:r>
        <w:t xml:space="preserve">,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and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gates. </w:t>
      </w:r>
      <w:proofErr w:type="spellStart"/>
      <w:r>
        <w:t>Proposed</w:t>
      </w:r>
      <w:proofErr w:type="spellEnd"/>
      <w:r>
        <w:t xml:space="preserve"> initial </w:t>
      </w:r>
      <w:proofErr w:type="spellStart"/>
      <w:r>
        <w:t>appropriations</w:t>
      </w:r>
      <w:proofErr w:type="spellEnd"/>
      <w:r>
        <w:t xml:space="preserve"> and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ceilings</w:t>
      </w:r>
      <w:proofErr w:type="spellEnd"/>
      <w:r>
        <w:t xml:space="preserve"> for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to grant </w:t>
      </w:r>
      <w:proofErr w:type="spellStart"/>
      <w:r>
        <w:t>compensation</w:t>
      </w:r>
      <w:proofErr w:type="spellEnd"/>
      <w:r>
        <w:t xml:space="preserve"> for an </w:t>
      </w:r>
      <w:proofErr w:type="spellStart"/>
      <w:r>
        <w:t>increase</w:t>
      </w:r>
      <w:proofErr w:type="spellEnd"/>
      <w:r>
        <w:t xml:space="preserve"> in rent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initial </w:t>
      </w:r>
      <w:proofErr w:type="spellStart"/>
      <w:r>
        <w:t>appropriation</w:t>
      </w:r>
      <w:proofErr w:type="spellEnd"/>
      <w:r>
        <w:t xml:space="preserve"> for a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As a general </w:t>
      </w:r>
      <w:proofErr w:type="spellStart"/>
      <w:r>
        <w:t>rule</w:t>
      </w:r>
      <w:proofErr w:type="spellEnd"/>
      <w:r>
        <w:t xml:space="preserve">,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rent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. </w:t>
      </w:r>
      <w:proofErr w:type="spellStart"/>
      <w:r>
        <w:t>Compensation</w:t>
      </w:r>
      <w:proofErr w:type="spellEnd"/>
      <w:r>
        <w:t xml:space="preserve"> is not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for </w:t>
      </w:r>
      <w:proofErr w:type="gramStart"/>
      <w:r>
        <w:t>more</w:t>
      </w:r>
      <w:proofErr w:type="gramEnd"/>
      <w:r>
        <w:t xml:space="preserve"> </w:t>
      </w:r>
      <w:proofErr w:type="spellStart"/>
      <w:r>
        <w:t>than</w:t>
      </w:r>
      <w:proofErr w:type="spellEnd"/>
      <w:r>
        <w:t xml:space="preserve"> 75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rent. </w:t>
      </w:r>
      <w:proofErr w:type="spellStart"/>
      <w:r>
        <w:t>Principles</w:t>
      </w:r>
      <w:proofErr w:type="spellEnd"/>
      <w:r>
        <w:t xml:space="preserve"> for rent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laid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 in a Royal </w:t>
      </w:r>
      <w:proofErr w:type="spellStart"/>
      <w:r>
        <w:t>Decree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7 </w:t>
      </w:r>
      <w:proofErr w:type="spellStart"/>
      <w:r>
        <w:t>October</w:t>
      </w:r>
      <w:proofErr w:type="spellEnd"/>
      <w:r>
        <w:t xml:space="preserve"> 1997. </w:t>
      </w:r>
    </w:p>
    <w:p w:rsidR="007D3CA2" w:rsidRDefault="007D3CA2" w:rsidP="007D3CA2">
      <w:pPr>
        <w:pStyle w:val="friliste"/>
      </w:pPr>
      <w:r>
        <w:t>iv)</w:t>
      </w:r>
      <w:r>
        <w:rPr>
          <w:rStyle w:val="kursiv"/>
          <w:sz w:val="21"/>
          <w:szCs w:val="21"/>
        </w:rPr>
        <w:tab/>
      </w:r>
      <w:proofErr w:type="spellStart"/>
      <w:r>
        <w:rPr>
          <w:rStyle w:val="kursiv"/>
          <w:sz w:val="21"/>
          <w:szCs w:val="21"/>
        </w:rPr>
        <w:t>University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premises</w:t>
      </w:r>
      <w:proofErr w:type="spellEnd"/>
      <w:r>
        <w:rPr>
          <w:rStyle w:val="kursiv"/>
          <w:sz w:val="21"/>
          <w:szCs w:val="21"/>
        </w:rPr>
        <w:t xml:space="preserve"> in hospitals. </w:t>
      </w:r>
      <w:r>
        <w:t xml:space="preserve">The Storting has </w:t>
      </w:r>
      <w:proofErr w:type="spellStart"/>
      <w:r>
        <w:t>adopted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for planning, </w:t>
      </w:r>
      <w:proofErr w:type="spellStart"/>
      <w:r>
        <w:t>construction</w:t>
      </w:r>
      <w:proofErr w:type="spellEnd"/>
      <w:r>
        <w:t xml:space="preserve"> and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 in </w:t>
      </w:r>
      <w:proofErr w:type="spellStart"/>
      <w:r>
        <w:t>new</w:t>
      </w:r>
      <w:proofErr w:type="spellEnd"/>
      <w:r>
        <w:t xml:space="preserve"> hospital </w:t>
      </w:r>
      <w:proofErr w:type="spellStart"/>
      <w:r>
        <w:t>buildings</w:t>
      </w:r>
      <w:proofErr w:type="spellEnd"/>
      <w:r>
        <w:t xml:space="preserve">, </w:t>
      </w:r>
      <w:proofErr w:type="spellStart"/>
      <w:r>
        <w:t>effective</w:t>
      </w:r>
      <w:proofErr w:type="spellEnd"/>
      <w:r>
        <w:t xml:space="preserve"> from 2018. This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trusts plan and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training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students in </w:t>
      </w:r>
      <w:proofErr w:type="spellStart"/>
      <w:r>
        <w:t>new</w:t>
      </w:r>
      <w:proofErr w:type="spellEnd"/>
      <w:r>
        <w:t xml:space="preserve"> hospital </w:t>
      </w:r>
      <w:proofErr w:type="spellStart"/>
      <w:r>
        <w:t>buildings</w:t>
      </w:r>
      <w:proofErr w:type="spellEnd"/>
      <w:r>
        <w:t xml:space="preserve">. The </w:t>
      </w:r>
      <w:proofErr w:type="spellStart"/>
      <w:r>
        <w:t>health</w:t>
      </w:r>
      <w:proofErr w:type="spellEnd"/>
      <w:r>
        <w:t xml:space="preserve"> trust </w:t>
      </w:r>
      <w:proofErr w:type="spellStart"/>
      <w:r>
        <w:t>owns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leases </w:t>
      </w:r>
      <w:proofErr w:type="spellStart"/>
      <w:r>
        <w:t>them</w:t>
      </w:r>
      <w:proofErr w:type="spellEnd"/>
      <w:r>
        <w:t xml:space="preserve">. </w:t>
      </w:r>
      <w:proofErr w:type="spellStart"/>
      <w:r>
        <w:t>Compensation</w:t>
      </w:r>
      <w:proofErr w:type="spellEnd"/>
      <w:r>
        <w:t xml:space="preserve"> for rent </w:t>
      </w:r>
      <w:proofErr w:type="spellStart"/>
      <w:r>
        <w:t>increases</w:t>
      </w:r>
      <w:proofErr w:type="spellEnd"/>
      <w:r>
        <w:t xml:space="preserve"> is </w:t>
      </w:r>
      <w:proofErr w:type="spellStart"/>
      <w:r>
        <w:t>dealt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under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rules</w:t>
      </w:r>
      <w:proofErr w:type="spellEnd"/>
      <w:r>
        <w:t xml:space="preserve"> as for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</w:t>
      </w:r>
      <w:proofErr w:type="spellStart"/>
      <w:r>
        <w:t>Proposals</w:t>
      </w:r>
      <w:proofErr w:type="spellEnd"/>
      <w:r>
        <w:t xml:space="preserve"> to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appropriations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’ rent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proposed</w:t>
      </w:r>
      <w:proofErr w:type="spellEnd"/>
      <w:r>
        <w:t xml:space="preserve"> </w:t>
      </w:r>
      <w:proofErr w:type="spellStart"/>
      <w:r>
        <w:t>appropriations</w:t>
      </w:r>
      <w:proofErr w:type="spellEnd"/>
      <w:r>
        <w:t xml:space="preserve"> for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loans</w:t>
      </w:r>
      <w:proofErr w:type="spellEnd"/>
      <w:r>
        <w:t xml:space="preserve">. </w:t>
      </w:r>
      <w:proofErr w:type="spellStart"/>
      <w:r>
        <w:t>Compensation</w:t>
      </w:r>
      <w:proofErr w:type="spellEnd"/>
      <w:r>
        <w:t xml:space="preserve"> must not </w:t>
      </w:r>
      <w:proofErr w:type="spellStart"/>
      <w:r>
        <w:t>exceed</w:t>
      </w:r>
      <w:proofErr w:type="spellEnd"/>
      <w:r>
        <w:t xml:space="preserve"> 75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rent </w:t>
      </w:r>
      <w:proofErr w:type="spellStart"/>
      <w:r>
        <w:t>costs</w:t>
      </w:r>
      <w:proofErr w:type="spellEnd"/>
      <w:r>
        <w:t xml:space="preserve">. The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trusts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as </w:t>
      </w:r>
      <w:proofErr w:type="spellStart"/>
      <w:r>
        <w:t>university</w:t>
      </w:r>
      <w:proofErr w:type="spellEnd"/>
      <w:r>
        <w:t xml:space="preserve"> hospitals: Haukeland </w:t>
      </w:r>
      <w:proofErr w:type="spellStart"/>
      <w:r>
        <w:t>University</w:t>
      </w:r>
      <w:proofErr w:type="spellEnd"/>
      <w:r>
        <w:t xml:space="preserve"> Hospital, </w:t>
      </w:r>
      <w:r>
        <w:lastRenderedPageBreak/>
        <w:t xml:space="preserve">Stavanger </w:t>
      </w:r>
      <w:proofErr w:type="spellStart"/>
      <w:r>
        <w:t>University</w:t>
      </w:r>
      <w:proofErr w:type="spellEnd"/>
      <w:r>
        <w:t xml:space="preserve"> Hospital, St. </w:t>
      </w:r>
      <w:proofErr w:type="spellStart"/>
      <w:r>
        <w:t>Olav’s</w:t>
      </w:r>
      <w:proofErr w:type="spellEnd"/>
      <w:r>
        <w:t xml:space="preserve"> Hospital, </w:t>
      </w:r>
      <w:proofErr w:type="spellStart"/>
      <w:r>
        <w:t>University</w:t>
      </w:r>
      <w:proofErr w:type="spellEnd"/>
      <w:r>
        <w:t xml:space="preserve"> Hospital </w:t>
      </w:r>
      <w:proofErr w:type="spellStart"/>
      <w:r>
        <w:t>of</w:t>
      </w:r>
      <w:proofErr w:type="spellEnd"/>
      <w:r>
        <w:t xml:space="preserve"> North Norway, Akershus </w:t>
      </w:r>
      <w:proofErr w:type="spellStart"/>
      <w:r>
        <w:t>University</w:t>
      </w:r>
      <w:proofErr w:type="spellEnd"/>
      <w:r>
        <w:t xml:space="preserve"> Hospital and Oslo </w:t>
      </w:r>
      <w:proofErr w:type="spellStart"/>
      <w:r>
        <w:t>University</w:t>
      </w:r>
      <w:proofErr w:type="spellEnd"/>
      <w:r>
        <w:t xml:space="preserve"> Hospital. For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hospitals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practised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, as </w:t>
      </w:r>
      <w:proofErr w:type="spellStart"/>
      <w:r>
        <w:t>described</w:t>
      </w:r>
      <w:proofErr w:type="spellEnd"/>
      <w:r>
        <w:t xml:space="preserve"> in a </w:t>
      </w:r>
      <w:proofErr w:type="spellStart"/>
      <w:r>
        <w:t>commissioned</w:t>
      </w:r>
      <w:proofErr w:type="spellEnd"/>
      <w:r>
        <w:t xml:space="preserve"> report.</w:t>
      </w:r>
      <w:r>
        <w:rPr>
          <w:vertAlign w:val="superscript"/>
        </w:rPr>
        <w:footnoteReference w:id="36"/>
      </w:r>
      <w:r>
        <w:t xml:space="preserve"> </w:t>
      </w:r>
      <w:proofErr w:type="spellStart"/>
      <w:r>
        <w:t>Work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at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is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trusts, hospitals and </w:t>
      </w:r>
      <w:proofErr w:type="spellStart"/>
      <w:r>
        <w:t>universities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hospitals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classified</w:t>
      </w:r>
      <w:proofErr w:type="spellEnd"/>
      <w:r>
        <w:t xml:space="preserve"> as </w:t>
      </w:r>
      <w:proofErr w:type="spellStart"/>
      <w:r>
        <w:t>university</w:t>
      </w:r>
      <w:proofErr w:type="spellEnd"/>
      <w:r>
        <w:t xml:space="preserve"> hospitals.</w:t>
      </w:r>
    </w:p>
    <w:p w:rsidR="007D3CA2" w:rsidRDefault="007D3CA2" w:rsidP="007D3CA2">
      <w:pPr>
        <w:pStyle w:val="friliste"/>
      </w:pPr>
      <w:r>
        <w:t>v)</w:t>
      </w:r>
      <w:r>
        <w:rPr>
          <w:rStyle w:val="kursiv"/>
          <w:sz w:val="21"/>
          <w:szCs w:val="21"/>
        </w:rPr>
        <w:tab/>
        <w:t xml:space="preserve">Projects in </w:t>
      </w:r>
      <w:proofErr w:type="spellStart"/>
      <w:r>
        <w:rPr>
          <w:rStyle w:val="kursiv"/>
          <w:sz w:val="21"/>
          <w:szCs w:val="21"/>
        </w:rPr>
        <w:t>cooperation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with</w:t>
      </w:r>
      <w:proofErr w:type="spellEnd"/>
      <w:r>
        <w:rPr>
          <w:rStyle w:val="kursiv"/>
          <w:sz w:val="21"/>
          <w:szCs w:val="21"/>
        </w:rPr>
        <w:t xml:space="preserve"> private </w:t>
      </w:r>
      <w:proofErr w:type="spellStart"/>
      <w:r>
        <w:rPr>
          <w:rStyle w:val="kursiv"/>
          <w:sz w:val="21"/>
          <w:szCs w:val="21"/>
        </w:rPr>
        <w:t>lessors</w:t>
      </w:r>
      <w:proofErr w:type="spellEnd"/>
      <w:r>
        <w:rPr>
          <w:rStyle w:val="kursiv"/>
          <w:sz w:val="21"/>
          <w:szCs w:val="21"/>
        </w:rPr>
        <w:t xml:space="preserve">.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private </w:t>
      </w:r>
      <w:proofErr w:type="spellStart"/>
      <w:r>
        <w:t>owners</w:t>
      </w:r>
      <w:proofErr w:type="spellEnd"/>
      <w:r>
        <w:t xml:space="preserve">, in </w:t>
      </w:r>
      <w:proofErr w:type="spellStart"/>
      <w:r>
        <w:t>which</w:t>
      </w:r>
      <w:proofErr w:type="spellEnd"/>
      <w:r>
        <w:t xml:space="preserve"> case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lease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commercial</w:t>
      </w:r>
      <w:proofErr w:type="spellEnd"/>
      <w:r>
        <w:t xml:space="preserve"> terms and </w:t>
      </w:r>
      <w:proofErr w:type="spellStart"/>
      <w:r>
        <w:t>conditions</w:t>
      </w:r>
      <w:proofErr w:type="spellEnd"/>
      <w:r>
        <w:t xml:space="preserve">. The rent must cover </w:t>
      </w:r>
      <w:proofErr w:type="spellStart"/>
      <w:r>
        <w:t>the</w:t>
      </w:r>
      <w:proofErr w:type="spellEnd"/>
      <w:r>
        <w:t xml:space="preserve"> same elements as rent </w:t>
      </w:r>
      <w:proofErr w:type="spellStart"/>
      <w:r>
        <w:t>paid</w:t>
      </w:r>
      <w:proofErr w:type="spellEnd"/>
      <w:r>
        <w:t xml:space="preserve"> to Statsbygg, and is </w:t>
      </w:r>
      <w:proofErr w:type="spellStart"/>
      <w:r>
        <w:t>determined</w:t>
      </w:r>
      <w:proofErr w:type="spellEnd"/>
      <w:r>
        <w:t xml:space="preserve"> in an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lessor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assessing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a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covered</w:t>
      </w:r>
      <w:proofErr w:type="spellEnd"/>
      <w:r>
        <w:t xml:space="preserve"> by leasing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or </w:t>
      </w:r>
      <w:proofErr w:type="spellStart"/>
      <w:r>
        <w:t>through</w:t>
      </w:r>
      <w:proofErr w:type="spellEnd"/>
      <w:r>
        <w:t xml:space="preserve">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must be </w:t>
      </w:r>
      <w:proofErr w:type="spellStart"/>
      <w:r>
        <w:t>what</w:t>
      </w:r>
      <w:proofErr w:type="spellEnd"/>
      <w:r>
        <w:t xml:space="preserve"> is </w:t>
      </w:r>
      <w:proofErr w:type="spellStart"/>
      <w:r>
        <w:t>financially</w:t>
      </w:r>
      <w:proofErr w:type="spellEnd"/>
      <w:r>
        <w:t xml:space="preserve"> most </w:t>
      </w:r>
      <w:proofErr w:type="spellStart"/>
      <w:r>
        <w:t>favourable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. </w:t>
      </w:r>
    </w:p>
    <w:p w:rsidR="007D3CA2" w:rsidRDefault="007D3CA2" w:rsidP="007D3CA2">
      <w:r>
        <w:t xml:space="preserve">Projects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NOK 50 </w:t>
      </w:r>
      <w:proofErr w:type="gramStart"/>
      <w:r>
        <w:t>million have</w:t>
      </w:r>
      <w:proofErr w:type="gram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gates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and/or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Box 8.1.</w:t>
      </w:r>
    </w:p>
    <w:p w:rsidR="007D3CA2" w:rsidRDefault="007D3CA2" w:rsidP="007D3CA2">
      <w:pPr>
        <w:pStyle w:val="tittel-ramme"/>
      </w:pPr>
      <w:proofErr w:type="spellStart"/>
      <w:r>
        <w:t>Decision</w:t>
      </w:r>
      <w:proofErr w:type="spellEnd"/>
      <w:r>
        <w:t xml:space="preserve"> gates and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thresholds</w:t>
      </w:r>
      <w:proofErr w:type="spellEnd"/>
      <w:r>
        <w:t xml:space="preserve"> in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</w:p>
    <w:p w:rsidR="007D3CA2" w:rsidRDefault="007D3CA2" w:rsidP="007D3CA2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fixed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gates during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 xml:space="preserve"> at </w:t>
      </w:r>
      <w:proofErr w:type="spellStart"/>
      <w:r>
        <w:t>ministry</w:t>
      </w:r>
      <w:proofErr w:type="spellEnd"/>
      <w:r>
        <w:t xml:space="preserve"> or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In </w:t>
      </w:r>
      <w:proofErr w:type="spellStart"/>
      <w:r>
        <w:t>some</w:t>
      </w:r>
      <w:proofErr w:type="spellEnd"/>
      <w:r>
        <w:t xml:space="preserve"> cases, </w:t>
      </w:r>
      <w:proofErr w:type="spellStart"/>
      <w:r>
        <w:t>this</w:t>
      </w:r>
      <w:proofErr w:type="spellEnd"/>
      <w:r>
        <w:t xml:space="preserve"> is </w:t>
      </w:r>
      <w:proofErr w:type="spellStart"/>
      <w:r>
        <w:t>because</w:t>
      </w:r>
      <w:proofErr w:type="spellEnd"/>
      <w:r>
        <w:t xml:space="preserve"> a </w:t>
      </w:r>
      <w:proofErr w:type="spellStart"/>
      <w:r>
        <w:t>project</w:t>
      </w:r>
      <w:proofErr w:type="spellEnd"/>
      <w:r>
        <w:t xml:space="preserve"> is </w:t>
      </w:r>
      <w:proofErr w:type="spellStart"/>
      <w:r>
        <w:t>entering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(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concept</w:t>
      </w:r>
      <w:proofErr w:type="spellEnd"/>
      <w:r>
        <w:t>, pre-</w:t>
      </w:r>
      <w:proofErr w:type="spellStart"/>
      <w:r>
        <w:t>study</w:t>
      </w:r>
      <w:proofErr w:type="spellEnd"/>
      <w:r>
        <w:t>, pre-</w:t>
      </w:r>
      <w:proofErr w:type="spellStart"/>
      <w:r>
        <w:t>project</w:t>
      </w:r>
      <w:proofErr w:type="spellEnd"/>
      <w:r>
        <w:t xml:space="preserve"> or </w:t>
      </w:r>
      <w:proofErr w:type="spellStart"/>
      <w:r>
        <w:t>implementation</w:t>
      </w:r>
      <w:proofErr w:type="spellEnd"/>
      <w:r>
        <w:t xml:space="preserve">). In </w:t>
      </w:r>
      <w:proofErr w:type="spellStart"/>
      <w:r>
        <w:t>others</w:t>
      </w:r>
      <w:proofErr w:type="spellEnd"/>
      <w:r>
        <w:t xml:space="preserve">, it is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exceeds</w:t>
      </w:r>
      <w:proofErr w:type="spellEnd"/>
      <w:r>
        <w:t xml:space="preserve"> </w:t>
      </w:r>
      <w:proofErr w:type="spellStart"/>
      <w:r>
        <w:t>thresholds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ministry</w:t>
      </w:r>
      <w:proofErr w:type="spellEnd"/>
      <w:r>
        <w:t>/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 xml:space="preserve">. For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apply</w:t>
      </w:r>
      <w:proofErr w:type="spellEnd"/>
      <w:r>
        <w:t>:</w:t>
      </w:r>
    </w:p>
    <w:p w:rsidR="007D3CA2" w:rsidRDefault="007D3CA2" w:rsidP="007D3CA2">
      <w:pPr>
        <w:pStyle w:val="Liste"/>
      </w:pPr>
      <w:r>
        <w:t>User-</w:t>
      </w:r>
      <w:proofErr w:type="spellStart"/>
      <w:r>
        <w:t>financed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NOK 50 million: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</w:t>
      </w:r>
      <w:proofErr w:type="spellStart"/>
      <w:r>
        <w:t>submits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</w:t>
      </w:r>
      <w:proofErr w:type="spellEnd"/>
      <w:r>
        <w:t xml:space="preserve"> for </w:t>
      </w:r>
      <w:proofErr w:type="spellStart"/>
      <w:r>
        <w:t>approval</w:t>
      </w:r>
      <w:proofErr w:type="spellEnd"/>
      <w:r>
        <w:t>.</w:t>
      </w:r>
    </w:p>
    <w:p w:rsidR="007D3CA2" w:rsidRDefault="007D3CA2" w:rsidP="007D3CA2">
      <w:pPr>
        <w:pStyle w:val="Liste"/>
      </w:pPr>
      <w:r>
        <w:t>User-</w:t>
      </w:r>
      <w:proofErr w:type="spellStart"/>
      <w:r>
        <w:t>financed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NOK 100 million: must be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</w:t>
      </w:r>
      <w:proofErr w:type="spellEnd"/>
      <w:r>
        <w:t xml:space="preserve">. The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</w:t>
      </w:r>
      <w:proofErr w:type="spellStart"/>
      <w:r>
        <w:t>prepares</w:t>
      </w:r>
      <w:proofErr w:type="spellEnd"/>
      <w:r>
        <w:t xml:space="preserve">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</w:t>
      </w:r>
      <w:proofErr w:type="spellEnd"/>
      <w:r>
        <w:t>.</w:t>
      </w:r>
    </w:p>
    <w:p w:rsidR="007D3CA2" w:rsidRDefault="007D3CA2" w:rsidP="007D3CA2">
      <w:pPr>
        <w:pStyle w:val="Liste"/>
      </w:pPr>
      <w:r>
        <w:t xml:space="preserve">Lease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private </w:t>
      </w:r>
      <w:proofErr w:type="spellStart"/>
      <w:r>
        <w:t>lessors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cumulative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NOK 100 million over </w:t>
      </w:r>
      <w:proofErr w:type="spellStart"/>
      <w:r>
        <w:t>the</w:t>
      </w:r>
      <w:proofErr w:type="spellEnd"/>
      <w:r>
        <w:t xml:space="preserve"> lease </w:t>
      </w:r>
      <w:proofErr w:type="spellStart"/>
      <w:r>
        <w:t>period</w:t>
      </w:r>
      <w:proofErr w:type="spellEnd"/>
      <w:r>
        <w:t xml:space="preserve">: must be </w:t>
      </w:r>
      <w:proofErr w:type="spellStart"/>
      <w:r>
        <w:t>submitted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</w:t>
      </w:r>
      <w:proofErr w:type="spellEnd"/>
      <w:r>
        <w:t>.</w:t>
      </w:r>
    </w:p>
    <w:p w:rsidR="007D3CA2" w:rsidRDefault="007D3CA2" w:rsidP="007D3CA2">
      <w:pPr>
        <w:pStyle w:val="Liste"/>
      </w:pPr>
      <w:r>
        <w:t xml:space="preserve">Projects </w:t>
      </w:r>
      <w:proofErr w:type="spellStart"/>
      <w:r>
        <w:t>above</w:t>
      </w:r>
      <w:proofErr w:type="spellEnd"/>
      <w:r>
        <w:t xml:space="preserve"> NOK 300 million: a pre-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is </w:t>
      </w:r>
      <w:proofErr w:type="spellStart"/>
      <w:r>
        <w:t>required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choice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.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summed</w:t>
      </w:r>
      <w:proofErr w:type="spellEnd"/>
      <w:r>
        <w:t xml:space="preserve"> up in a report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basis for a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to </w:t>
      </w:r>
      <w:proofErr w:type="spellStart"/>
      <w:r>
        <w:t>move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. This </w:t>
      </w:r>
      <w:proofErr w:type="spellStart"/>
      <w:r>
        <w:t>decision</w:t>
      </w:r>
      <w:proofErr w:type="spellEnd"/>
      <w:r>
        <w:t xml:space="preserve"> gate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apply</w:t>
      </w:r>
      <w:proofErr w:type="spellEnd"/>
      <w:r>
        <w:t xml:space="preserve"> to </w:t>
      </w:r>
      <w:proofErr w:type="spellStart"/>
      <w:r>
        <w:t>user-financed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</w:t>
      </w:r>
    </w:p>
    <w:p w:rsidR="007D3CA2" w:rsidRDefault="007D3CA2" w:rsidP="007D3CA2">
      <w:pPr>
        <w:pStyle w:val="Liste"/>
      </w:pPr>
      <w:r>
        <w:t xml:space="preserve">Projects, </w:t>
      </w:r>
      <w:proofErr w:type="spellStart"/>
      <w:r>
        <w:t>including</w:t>
      </w:r>
      <w:proofErr w:type="spellEnd"/>
      <w:r>
        <w:t xml:space="preserve"> lease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private </w:t>
      </w:r>
      <w:proofErr w:type="spellStart"/>
      <w:r>
        <w:t>lessors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have a total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NOK 750 million: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governmental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 for major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</w:t>
      </w:r>
    </w:p>
    <w:p w:rsidR="007D3CA2" w:rsidRDefault="007D3CA2">
      <w:pPr>
        <w:pStyle w:val="Ramme-slutt"/>
        <w:rPr>
          <w:sz w:val="26"/>
          <w:szCs w:val="26"/>
        </w:rPr>
      </w:pPr>
      <w:r>
        <w:rPr>
          <w:sz w:val="26"/>
          <w:szCs w:val="26"/>
        </w:rPr>
        <w:t>Rammeslutt</w:t>
      </w:r>
    </w:p>
    <w:p w:rsidR="007D3CA2" w:rsidRDefault="007D3CA2" w:rsidP="007D3CA2">
      <w:pPr>
        <w:pStyle w:val="Overskrift3"/>
      </w:pPr>
      <w:r>
        <w:t xml:space="preserve">Major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</w:p>
    <w:p w:rsidR="007D3CA2" w:rsidRDefault="007D3CA2" w:rsidP="007D3CA2">
      <w:r>
        <w:t xml:space="preserve">Major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as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NOK 300 million.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2010–2017, </w:t>
      </w:r>
      <w:proofErr w:type="spellStart"/>
      <w:r>
        <w:t>average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in </w:t>
      </w:r>
      <w:proofErr w:type="spellStart"/>
      <w:r>
        <w:t>buildings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NOK 1.76 billion at </w:t>
      </w:r>
      <w:proofErr w:type="spellStart"/>
      <w:r>
        <w:t>the</w:t>
      </w:r>
      <w:proofErr w:type="spellEnd"/>
      <w:r>
        <w:t xml:space="preserve"> 2018 </w:t>
      </w:r>
      <w:proofErr w:type="spellStart"/>
      <w:r>
        <w:t>monetary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This </w:t>
      </w:r>
      <w:proofErr w:type="spellStart"/>
      <w:r>
        <w:t>made</w:t>
      </w:r>
      <w:proofErr w:type="spellEnd"/>
      <w:r>
        <w:t xml:space="preserve"> up 41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expenses</w:t>
      </w:r>
      <w:proofErr w:type="spellEnd"/>
      <w:r>
        <w:t xml:space="preserve"> for </w:t>
      </w:r>
      <w:proofErr w:type="spellStart"/>
      <w:r>
        <w:t>government-owned</w:t>
      </w:r>
      <w:proofErr w:type="spellEnd"/>
      <w:r>
        <w:t xml:space="preserve"> purpose-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. </w:t>
      </w:r>
    </w:p>
    <w:p w:rsidR="007D3CA2" w:rsidRDefault="007D3CA2" w:rsidP="007D3CA2"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by Statsbygg,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at 15 </w:t>
      </w:r>
      <w:proofErr w:type="spellStart"/>
      <w:r>
        <w:t>of</w:t>
      </w:r>
      <w:proofErr w:type="spellEnd"/>
      <w:r>
        <w:t xml:space="preserve"> 21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in </w:t>
      </w:r>
      <w:proofErr w:type="spellStart"/>
      <w:r>
        <w:t>the</w:t>
      </w:r>
      <w:proofErr w:type="spellEnd"/>
      <w:r>
        <w:t xml:space="preserve"> spring </w:t>
      </w:r>
      <w:proofErr w:type="spellStart"/>
      <w:r>
        <w:t>of</w:t>
      </w:r>
      <w:proofErr w:type="spellEnd"/>
      <w:r>
        <w:t xml:space="preserve"> 2017.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21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and 14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planning </w:t>
      </w:r>
      <w:proofErr w:type="spellStart"/>
      <w:r>
        <w:t>phase</w:t>
      </w:r>
      <w:proofErr w:type="spellEnd"/>
      <w:r>
        <w:t xml:space="preserve">. The </w:t>
      </w:r>
      <w:proofErr w:type="spellStart"/>
      <w:r>
        <w:t>projects</w:t>
      </w:r>
      <w:proofErr w:type="spellEnd"/>
      <w:r>
        <w:t xml:space="preserve"> under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to be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2018–2020. </w:t>
      </w:r>
    </w:p>
    <w:p w:rsidR="007D3CA2" w:rsidRDefault="007D3CA2" w:rsidP="007D3CA2">
      <w:r>
        <w:lastRenderedPageBreak/>
        <w:t xml:space="preserve">The </w:t>
      </w:r>
      <w:proofErr w:type="spellStart"/>
      <w:r>
        <w:t>tables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an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major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under </w:t>
      </w:r>
      <w:proofErr w:type="spellStart"/>
      <w:r>
        <w:t>construction</w:t>
      </w:r>
      <w:proofErr w:type="spellEnd"/>
      <w:r>
        <w:t xml:space="preserve"> or </w:t>
      </w:r>
      <w:proofErr w:type="spellStart"/>
      <w:r>
        <w:t>are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planning </w:t>
      </w:r>
      <w:proofErr w:type="spellStart"/>
      <w:r>
        <w:t>phase</w:t>
      </w:r>
      <w:proofErr w:type="spellEnd"/>
      <w:r>
        <w:t>.</w:t>
      </w:r>
    </w:p>
    <w:p w:rsidR="007D3CA2" w:rsidRDefault="007D3CA2" w:rsidP="007D3CA2">
      <w:pPr>
        <w:pStyle w:val="tabell-tittel"/>
      </w:pPr>
      <w:proofErr w:type="spellStart"/>
      <w:r>
        <w:t>Completed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2010–2018</w:t>
      </w:r>
    </w:p>
    <w:p w:rsidR="007D3CA2" w:rsidRDefault="007D3CA2" w:rsidP="007D3CA2">
      <w:pPr>
        <w:pStyle w:val="Tabellnavn"/>
      </w:pPr>
      <w:r>
        <w:t>07J1xx2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7D3CA2" w:rsidTr="007D3CA2">
        <w:trPr>
          <w:trHeight w:val="1080"/>
        </w:trPr>
        <w:tc>
          <w:tcPr>
            <w:tcW w:w="1300" w:type="dxa"/>
            <w:shd w:val="clear" w:color="auto" w:fill="FFFFFF"/>
          </w:tcPr>
          <w:p w:rsidR="007D3CA2" w:rsidRDefault="007D3CA2" w:rsidP="007D3CA2">
            <w:proofErr w:type="spellStart"/>
            <w:r>
              <w:t>Institution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Project</w:t>
            </w:r>
          </w:p>
        </w:tc>
        <w:tc>
          <w:tcPr>
            <w:tcW w:w="1300" w:type="dxa"/>
          </w:tcPr>
          <w:p w:rsidR="007D3CA2" w:rsidRDefault="007D3CA2" w:rsidP="007D3CA2">
            <w:r>
              <w:t>Type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ceiling</w:t>
            </w:r>
            <w:proofErr w:type="spellEnd"/>
            <w:r>
              <w:t xml:space="preserve"> (million NOK)</w:t>
            </w:r>
          </w:p>
        </w:tc>
        <w:tc>
          <w:tcPr>
            <w:tcW w:w="1300" w:type="dxa"/>
          </w:tcPr>
          <w:p w:rsidR="007D3CA2" w:rsidRDefault="007D3CA2" w:rsidP="007D3CA2">
            <w:r>
              <w:t>Gross area (m²)</w:t>
            </w:r>
          </w:p>
        </w:tc>
        <w:tc>
          <w:tcPr>
            <w:tcW w:w="1300" w:type="dxa"/>
          </w:tcPr>
          <w:p w:rsidR="007D3CA2" w:rsidRDefault="007D3CA2" w:rsidP="007D3CA2">
            <w:r>
              <w:t>Purpose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Completed</w:t>
            </w:r>
            <w:proofErr w:type="spellEnd"/>
          </w:p>
        </w:tc>
      </w:tr>
      <w:tr w:rsidR="007D3CA2" w:rsidTr="007D3CA2">
        <w:trPr>
          <w:trHeight w:val="340"/>
        </w:trPr>
        <w:tc>
          <w:tcPr>
            <w:tcW w:w="130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Oslo</w:t>
            </w:r>
          </w:p>
        </w:tc>
        <w:tc>
          <w:tcPr>
            <w:tcW w:w="1300" w:type="dxa"/>
          </w:tcPr>
          <w:p w:rsidR="007D3CA2" w:rsidRDefault="007D3CA2" w:rsidP="007D3CA2">
            <w:r>
              <w:t>IFI II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1 356</w:t>
            </w:r>
          </w:p>
        </w:tc>
        <w:tc>
          <w:tcPr>
            <w:tcW w:w="1300" w:type="dxa"/>
          </w:tcPr>
          <w:p w:rsidR="007D3CA2" w:rsidRDefault="007D3CA2" w:rsidP="007D3CA2">
            <w:r>
              <w:t>17 000</w:t>
            </w:r>
          </w:p>
        </w:tc>
        <w:tc>
          <w:tcPr>
            <w:tcW w:w="1300" w:type="dxa"/>
          </w:tcPr>
          <w:p w:rsidR="007D3CA2" w:rsidRDefault="007D3CA2" w:rsidP="007D3CA2">
            <w:r>
              <w:t>Informatics</w:t>
            </w:r>
          </w:p>
        </w:tc>
        <w:tc>
          <w:tcPr>
            <w:tcW w:w="1300" w:type="dxa"/>
          </w:tcPr>
          <w:p w:rsidR="007D3CA2" w:rsidRDefault="007D3CA2" w:rsidP="007D3CA2">
            <w:r>
              <w:t>2010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South-</w:t>
            </w:r>
            <w:proofErr w:type="spellStart"/>
            <w:r>
              <w:t>Eastern</w:t>
            </w:r>
            <w:proofErr w:type="spellEnd"/>
            <w:r>
              <w:t xml:space="preserve"> Norway</w:t>
            </w:r>
          </w:p>
        </w:tc>
        <w:tc>
          <w:tcPr>
            <w:tcW w:w="1300" w:type="dxa"/>
          </w:tcPr>
          <w:p w:rsidR="007D3CA2" w:rsidRDefault="007D3CA2" w:rsidP="007D3CA2">
            <w:r>
              <w:t>Bakkenteigen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816</w:t>
            </w:r>
          </w:p>
        </w:tc>
        <w:tc>
          <w:tcPr>
            <w:tcW w:w="1300" w:type="dxa"/>
          </w:tcPr>
          <w:p w:rsidR="007D3CA2" w:rsidRDefault="007D3CA2" w:rsidP="007D3CA2">
            <w:r>
              <w:t>18 900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Teaching</w:t>
            </w:r>
            <w:proofErr w:type="spellEnd"/>
            <w:r>
              <w:t xml:space="preserve">, </w:t>
            </w:r>
            <w:proofErr w:type="spellStart"/>
            <w:r>
              <w:t>nursing</w:t>
            </w:r>
            <w:proofErr w:type="spellEnd"/>
            <w:r>
              <w:t xml:space="preserve">, </w:t>
            </w:r>
            <w:proofErr w:type="spellStart"/>
            <w:r>
              <w:t>engineering</w:t>
            </w:r>
            <w:proofErr w:type="spellEnd"/>
            <w:r>
              <w:t xml:space="preserve"> </w:t>
            </w:r>
          </w:p>
        </w:tc>
        <w:tc>
          <w:tcPr>
            <w:tcW w:w="1300" w:type="dxa"/>
          </w:tcPr>
          <w:p w:rsidR="007D3CA2" w:rsidRDefault="007D3CA2" w:rsidP="007D3CA2">
            <w:r>
              <w:t>2010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r>
              <w:t xml:space="preserve">Western Norway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Applied Sciences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Central </w:t>
            </w:r>
            <w:proofErr w:type="spellStart"/>
            <w:r>
              <w:t>building</w:t>
            </w:r>
            <w:proofErr w:type="spellEnd"/>
            <w:r>
              <w:t xml:space="preserve"> Sogndal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384</w:t>
            </w:r>
          </w:p>
        </w:tc>
        <w:tc>
          <w:tcPr>
            <w:tcW w:w="1300" w:type="dxa"/>
          </w:tcPr>
          <w:p w:rsidR="007D3CA2" w:rsidRDefault="007D3CA2" w:rsidP="007D3CA2">
            <w:r>
              <w:t>7 605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Teacher</w:t>
            </w:r>
            <w:proofErr w:type="spellEnd"/>
            <w:r>
              <w:t xml:space="preserve"> training</w:t>
            </w:r>
          </w:p>
        </w:tc>
        <w:tc>
          <w:tcPr>
            <w:tcW w:w="1300" w:type="dxa"/>
          </w:tcPr>
          <w:p w:rsidR="007D3CA2" w:rsidRDefault="007D3CA2" w:rsidP="007D3CA2">
            <w:r>
              <w:t>2012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r>
              <w:t xml:space="preserve">Oslo Metropolitan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 xml:space="preserve">Andrea </w:t>
            </w:r>
            <w:proofErr w:type="spellStart"/>
            <w:r>
              <w:t>Arntzen’s</w:t>
            </w:r>
            <w:proofErr w:type="spellEnd"/>
            <w:r>
              <w:t xml:space="preserve"> house, Oslo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Renovation</w:t>
            </w:r>
            <w:proofErr w:type="spellEnd"/>
            <w:r>
              <w:t xml:space="preserve"> and </w:t>
            </w:r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777</w:t>
            </w:r>
          </w:p>
        </w:tc>
        <w:tc>
          <w:tcPr>
            <w:tcW w:w="1300" w:type="dxa"/>
          </w:tcPr>
          <w:p w:rsidR="007D3CA2" w:rsidRDefault="007D3CA2" w:rsidP="007D3CA2">
            <w:r>
              <w:t>19 000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Nursing</w:t>
            </w:r>
            <w:proofErr w:type="spellEnd"/>
            <w:r>
              <w:t xml:space="preserve"> training</w:t>
            </w:r>
          </w:p>
        </w:tc>
        <w:tc>
          <w:tcPr>
            <w:tcW w:w="1300" w:type="dxa"/>
          </w:tcPr>
          <w:p w:rsidR="007D3CA2" w:rsidRDefault="007D3CA2" w:rsidP="007D3CA2">
            <w:r>
              <w:t>2012</w:t>
            </w:r>
          </w:p>
        </w:tc>
      </w:tr>
      <w:tr w:rsidR="007D3CA2" w:rsidTr="007D3CA2">
        <w:trPr>
          <w:trHeight w:val="580"/>
        </w:trPr>
        <w:tc>
          <w:tcPr>
            <w:tcW w:w="130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Bergen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Odontology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853</w:t>
            </w:r>
          </w:p>
        </w:tc>
        <w:tc>
          <w:tcPr>
            <w:tcW w:w="1300" w:type="dxa"/>
          </w:tcPr>
          <w:p w:rsidR="007D3CA2" w:rsidRDefault="007D3CA2" w:rsidP="007D3CA2">
            <w:r>
              <w:t>15 000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Odontology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2012</w:t>
            </w:r>
          </w:p>
        </w:tc>
      </w:tr>
      <w:tr w:rsidR="007D3CA2" w:rsidTr="007D3CA2">
        <w:trPr>
          <w:trHeight w:val="1360"/>
        </w:trPr>
        <w:tc>
          <w:tcPr>
            <w:tcW w:w="1300" w:type="dxa"/>
          </w:tcPr>
          <w:p w:rsidR="007D3CA2" w:rsidRDefault="007D3CA2" w:rsidP="007D3CA2">
            <w:r>
              <w:t xml:space="preserve">Western Norway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Applied Sciences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  <w:r>
              <w:t xml:space="preserve"> for co-location 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  <w:r>
              <w:t xml:space="preserve"> and </w:t>
            </w:r>
            <w:proofErr w:type="spellStart"/>
            <w:r>
              <w:t>renovation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2 544</w:t>
            </w:r>
          </w:p>
        </w:tc>
        <w:tc>
          <w:tcPr>
            <w:tcW w:w="1300" w:type="dxa"/>
          </w:tcPr>
          <w:p w:rsidR="007D3CA2" w:rsidRDefault="007D3CA2" w:rsidP="007D3CA2">
            <w:r>
              <w:t>53 200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Teaching</w:t>
            </w:r>
            <w:proofErr w:type="spellEnd"/>
            <w:r>
              <w:t xml:space="preserve">, </w:t>
            </w:r>
            <w:proofErr w:type="spellStart"/>
            <w:r>
              <w:t>engineering</w:t>
            </w:r>
            <w:proofErr w:type="spellEnd"/>
            <w:r>
              <w:t xml:space="preserve">,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andsocial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2014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Oslo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City </w:t>
            </w:r>
            <w:proofErr w:type="spellStart"/>
            <w:r>
              <w:t>centre</w:t>
            </w:r>
            <w:proofErr w:type="spellEnd"/>
            <w:r>
              <w:t xml:space="preserve"> </w:t>
            </w:r>
            <w:proofErr w:type="spellStart"/>
            <w:r>
              <w:t>buildings</w:t>
            </w:r>
            <w:proofErr w:type="spellEnd"/>
            <w:r>
              <w:t xml:space="preserve">, </w:t>
            </w:r>
            <w:proofErr w:type="spellStart"/>
            <w:r>
              <w:t>phase</w:t>
            </w:r>
            <w:proofErr w:type="spellEnd"/>
            <w:r>
              <w:t xml:space="preserve"> 1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Renovation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540</w:t>
            </w:r>
          </w:p>
        </w:tc>
        <w:tc>
          <w:tcPr>
            <w:tcW w:w="1300" w:type="dxa"/>
          </w:tcPr>
          <w:p w:rsidR="007D3CA2" w:rsidRDefault="007D3CA2" w:rsidP="007D3CA2">
            <w:r>
              <w:t>33 000 (</w:t>
            </w:r>
            <w:proofErr w:type="spellStart"/>
            <w:r>
              <w:t>phases</w:t>
            </w:r>
            <w:proofErr w:type="spellEnd"/>
            <w:r>
              <w:t xml:space="preserve"> 1 and 2)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, </w:t>
            </w:r>
            <w:proofErr w:type="spellStart"/>
            <w:r>
              <w:t>law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2014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Oslo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City </w:t>
            </w:r>
            <w:proofErr w:type="spellStart"/>
            <w:r>
              <w:t>centre</w:t>
            </w:r>
            <w:proofErr w:type="spellEnd"/>
            <w:r>
              <w:t xml:space="preserve"> </w:t>
            </w:r>
            <w:proofErr w:type="spellStart"/>
            <w:r>
              <w:t>buildings</w:t>
            </w:r>
            <w:proofErr w:type="spellEnd"/>
            <w:r>
              <w:t xml:space="preserve">, </w:t>
            </w:r>
            <w:proofErr w:type="spellStart"/>
            <w:r>
              <w:t>phase</w:t>
            </w:r>
            <w:proofErr w:type="spellEnd"/>
            <w:r>
              <w:t xml:space="preserve"> 2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Renovation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393</w:t>
            </w:r>
          </w:p>
        </w:tc>
        <w:tc>
          <w:tcPr>
            <w:tcW w:w="1300" w:type="dxa"/>
          </w:tcPr>
          <w:p w:rsidR="007D3CA2" w:rsidRDefault="007D3CA2" w:rsidP="007D3CA2">
            <w:r>
              <w:t>33 000 (</w:t>
            </w:r>
            <w:proofErr w:type="spellStart"/>
            <w:r>
              <w:t>phases</w:t>
            </w:r>
            <w:proofErr w:type="spellEnd"/>
            <w:r>
              <w:t xml:space="preserve"> 1 and 2)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, </w:t>
            </w:r>
            <w:proofErr w:type="spellStart"/>
            <w:r>
              <w:t>law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2014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r>
              <w:t xml:space="preserve">UiT The Arctic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Norway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Technology </w:t>
            </w:r>
            <w:proofErr w:type="spellStart"/>
            <w:r>
              <w:t>building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445</w:t>
            </w:r>
          </w:p>
        </w:tc>
        <w:tc>
          <w:tcPr>
            <w:tcW w:w="1300" w:type="dxa"/>
          </w:tcPr>
          <w:p w:rsidR="007D3CA2" w:rsidRDefault="007D3CA2" w:rsidP="007D3CA2">
            <w:r>
              <w:t>9000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Engineering </w:t>
            </w:r>
          </w:p>
        </w:tc>
        <w:tc>
          <w:tcPr>
            <w:tcW w:w="1300" w:type="dxa"/>
          </w:tcPr>
          <w:p w:rsidR="007D3CA2" w:rsidRDefault="007D3CA2" w:rsidP="007D3CA2">
            <w:r>
              <w:t>2014</w:t>
            </w:r>
          </w:p>
        </w:tc>
      </w:tr>
      <w:tr w:rsidR="007D3CA2" w:rsidTr="007D3CA2">
        <w:trPr>
          <w:trHeight w:val="1100"/>
        </w:trPr>
        <w:tc>
          <w:tcPr>
            <w:tcW w:w="1300" w:type="dxa"/>
          </w:tcPr>
          <w:p w:rsidR="007D3CA2" w:rsidRDefault="007D3CA2" w:rsidP="007D3CA2">
            <w:r>
              <w:t xml:space="preserve">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Life Sciences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Animal Production </w:t>
            </w:r>
            <w:proofErr w:type="spellStart"/>
            <w:r>
              <w:t>Experimental</w:t>
            </w:r>
            <w:proofErr w:type="spellEnd"/>
            <w:r>
              <w:t xml:space="preserve"> Centre 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389</w:t>
            </w:r>
          </w:p>
        </w:tc>
        <w:tc>
          <w:tcPr>
            <w:tcW w:w="1300" w:type="dxa"/>
          </w:tcPr>
          <w:p w:rsidR="007D3CA2" w:rsidRDefault="007D3CA2" w:rsidP="007D3CA2">
            <w:r>
              <w:t>12 000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Livestock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2015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r>
              <w:t xml:space="preserve">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Life Sciences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Clock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Renovation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472</w:t>
            </w:r>
          </w:p>
        </w:tc>
        <w:tc>
          <w:tcPr>
            <w:tcW w:w="1300" w:type="dxa"/>
          </w:tcPr>
          <w:p w:rsidR="007D3CA2" w:rsidRDefault="007D3CA2" w:rsidP="007D3CA2">
            <w:r>
              <w:t>8 190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Teaching</w:t>
            </w:r>
            <w:proofErr w:type="spellEnd"/>
            <w:r>
              <w:t xml:space="preserve"> and </w:t>
            </w:r>
            <w:proofErr w:type="spellStart"/>
            <w:r>
              <w:t>learning</w:t>
            </w:r>
            <w:proofErr w:type="spellEnd"/>
            <w:r>
              <w:t xml:space="preserve"> </w:t>
            </w:r>
            <w:proofErr w:type="spellStart"/>
            <w:r>
              <w:t>venues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2016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r>
              <w:t xml:space="preserve">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Science and Technology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Technology </w:t>
            </w:r>
            <w:proofErr w:type="spellStart"/>
            <w:r>
              <w:t>building</w:t>
            </w:r>
            <w:proofErr w:type="spellEnd"/>
            <w:r>
              <w:t xml:space="preserve"> (</w:t>
            </w:r>
            <w:proofErr w:type="spellStart"/>
            <w:r>
              <w:t>Akrinn</w:t>
            </w:r>
            <w:proofErr w:type="spellEnd"/>
            <w:r>
              <w:t>)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730</w:t>
            </w:r>
          </w:p>
        </w:tc>
        <w:tc>
          <w:tcPr>
            <w:tcW w:w="1300" w:type="dxa"/>
          </w:tcPr>
          <w:p w:rsidR="007D3CA2" w:rsidRDefault="007D3CA2" w:rsidP="007D3CA2">
            <w:r>
              <w:t>16 000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Engineering </w:t>
            </w:r>
          </w:p>
        </w:tc>
        <w:tc>
          <w:tcPr>
            <w:tcW w:w="1300" w:type="dxa"/>
          </w:tcPr>
          <w:p w:rsidR="007D3CA2" w:rsidRDefault="007D3CA2" w:rsidP="007D3CA2">
            <w:r>
              <w:t>2016</w:t>
            </w:r>
          </w:p>
        </w:tc>
      </w:tr>
      <w:tr w:rsidR="007D3CA2" w:rsidTr="007D3CA2">
        <w:trPr>
          <w:trHeight w:val="1620"/>
        </w:trPr>
        <w:tc>
          <w:tcPr>
            <w:tcW w:w="1300" w:type="dxa"/>
          </w:tcPr>
          <w:p w:rsidR="007D3CA2" w:rsidRDefault="007D3CA2" w:rsidP="007D3CA2">
            <w:proofErr w:type="spellStart"/>
            <w:r>
              <w:lastRenderedPageBreak/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Bergen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  <w:r>
              <w:t xml:space="preserve"> for co-location (</w:t>
            </w:r>
            <w:proofErr w:type="spellStart"/>
            <w:r>
              <w:t>merger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Bergen </w:t>
            </w:r>
            <w:proofErr w:type="spellStart"/>
            <w:r>
              <w:t>Academy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Art and Design)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1 072</w:t>
            </w:r>
          </w:p>
        </w:tc>
        <w:tc>
          <w:tcPr>
            <w:tcW w:w="1300" w:type="dxa"/>
          </w:tcPr>
          <w:p w:rsidR="007D3CA2" w:rsidRDefault="007D3CA2" w:rsidP="007D3CA2">
            <w:r>
              <w:t>14 800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Art and design, </w:t>
            </w:r>
            <w:proofErr w:type="spellStart"/>
            <w:r>
              <w:t>artistic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</w:p>
        </w:tc>
        <w:tc>
          <w:tcPr>
            <w:tcW w:w="1300" w:type="dxa"/>
          </w:tcPr>
          <w:p w:rsidR="007D3CA2" w:rsidRDefault="007D3CA2" w:rsidP="007D3CA2">
            <w:r>
              <w:t>2017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r>
              <w:t xml:space="preserve">Norwegian School </w:t>
            </w:r>
            <w:proofErr w:type="spellStart"/>
            <w:r>
              <w:t>of</w:t>
            </w:r>
            <w:proofErr w:type="spellEnd"/>
            <w:r>
              <w:t xml:space="preserve"> Sport Sciences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Renovation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Renovation</w:t>
            </w:r>
            <w:proofErr w:type="spellEnd"/>
            <w:r>
              <w:t xml:space="preserve"> and </w:t>
            </w:r>
            <w:proofErr w:type="spellStart"/>
            <w:r>
              <w:t>alterations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883</w:t>
            </w:r>
          </w:p>
        </w:tc>
        <w:tc>
          <w:tcPr>
            <w:tcW w:w="1300" w:type="dxa"/>
          </w:tcPr>
          <w:p w:rsidR="007D3CA2" w:rsidRDefault="007D3CA2" w:rsidP="007D3CA2">
            <w:r>
              <w:t>17 000</w:t>
            </w:r>
          </w:p>
        </w:tc>
        <w:tc>
          <w:tcPr>
            <w:tcW w:w="1300" w:type="dxa"/>
          </w:tcPr>
          <w:p w:rsidR="007D3CA2" w:rsidRDefault="007D3CA2" w:rsidP="007D3CA2">
            <w:r>
              <w:t xml:space="preserve">Health and sports </w:t>
            </w:r>
            <w:proofErr w:type="spellStart"/>
            <w:r>
              <w:t>sciences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2018</w:t>
            </w:r>
          </w:p>
        </w:tc>
      </w:tr>
      <w:tr w:rsidR="007D3CA2" w:rsidTr="007D3CA2">
        <w:trPr>
          <w:trHeight w:val="840"/>
        </w:trPr>
        <w:tc>
          <w:tcPr>
            <w:tcW w:w="1300" w:type="dxa"/>
          </w:tcPr>
          <w:p w:rsidR="007D3CA2" w:rsidRDefault="007D3CA2" w:rsidP="007D3CA2">
            <w:r>
              <w:t xml:space="preserve">UiT The Arctic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Norway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Medicine</w:t>
            </w:r>
            <w:proofErr w:type="spellEnd"/>
            <w:r>
              <w:t xml:space="preserve"> and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subjects</w:t>
            </w:r>
            <w:proofErr w:type="spellEnd"/>
            <w:r>
              <w:t xml:space="preserve"> </w:t>
            </w:r>
            <w:proofErr w:type="spellStart"/>
            <w:r>
              <w:t>phase</w:t>
            </w:r>
            <w:proofErr w:type="spellEnd"/>
            <w:r>
              <w:t xml:space="preserve"> 2, Tromsø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Newbuild</w:t>
            </w:r>
            <w:proofErr w:type="spellEnd"/>
            <w:r>
              <w:t xml:space="preserve"> and </w:t>
            </w:r>
            <w:proofErr w:type="spellStart"/>
            <w:r>
              <w:t>alterations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1 372</w:t>
            </w:r>
          </w:p>
        </w:tc>
        <w:tc>
          <w:tcPr>
            <w:tcW w:w="1300" w:type="dxa"/>
          </w:tcPr>
          <w:p w:rsidR="007D3CA2" w:rsidRDefault="007D3CA2" w:rsidP="007D3CA2">
            <w:r>
              <w:t>21 057</w:t>
            </w:r>
          </w:p>
        </w:tc>
        <w:tc>
          <w:tcPr>
            <w:tcW w:w="1300" w:type="dxa"/>
          </w:tcPr>
          <w:p w:rsidR="007D3CA2" w:rsidRDefault="007D3CA2" w:rsidP="007D3CA2">
            <w:proofErr w:type="spellStart"/>
            <w:r>
              <w:t>Medicine</w:t>
            </w:r>
            <w:proofErr w:type="spellEnd"/>
            <w:r>
              <w:t xml:space="preserve"> and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1300" w:type="dxa"/>
          </w:tcPr>
          <w:p w:rsidR="007D3CA2" w:rsidRDefault="007D3CA2" w:rsidP="007D3CA2">
            <w:r>
              <w:t>2018</w:t>
            </w:r>
          </w:p>
        </w:tc>
      </w:tr>
    </w:tbl>
    <w:p w:rsidR="007D3CA2" w:rsidRDefault="007D3CA2" w:rsidP="007D3CA2">
      <w:pPr>
        <w:pStyle w:val="tabell-noter"/>
      </w:pPr>
      <w:r>
        <w:t xml:space="preserve">The </w:t>
      </w:r>
      <w:proofErr w:type="spellStart"/>
      <w:r>
        <w:t>table</w:t>
      </w:r>
      <w:proofErr w:type="spellEnd"/>
      <w:r>
        <w:t xml:space="preserve"> shows major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2010–2018.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</w:t>
      </w:r>
      <w:proofErr w:type="spellEnd"/>
      <w:r>
        <w:t xml:space="preserve"> from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 530 Projects </w:t>
      </w:r>
      <w:proofErr w:type="spellStart"/>
      <w:r>
        <w:t>outside</w:t>
      </w:r>
      <w:proofErr w:type="spellEnd"/>
      <w:r>
        <w:t xml:space="preserve"> Statsbygg management or 2445 Statsbygg.</w:t>
      </w:r>
    </w:p>
    <w:p w:rsidR="007D3CA2" w:rsidRPr="007D3CA2" w:rsidRDefault="007D3CA2" w:rsidP="007D3CA2">
      <w:pPr>
        <w:pStyle w:val="tabell-tittel"/>
      </w:pPr>
      <w:r>
        <w:t xml:space="preserve">Major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phase</w:t>
      </w:r>
      <w:proofErr w:type="spellEnd"/>
    </w:p>
    <w:p w:rsidR="007D3CA2" w:rsidRDefault="007D3CA2" w:rsidP="007D3CA2">
      <w:pPr>
        <w:pStyle w:val="Tabellnavn"/>
      </w:pPr>
      <w:r>
        <w:t>07J1xt2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2802"/>
        <w:gridCol w:w="1798"/>
        <w:gridCol w:w="920"/>
        <w:gridCol w:w="920"/>
        <w:gridCol w:w="920"/>
        <w:gridCol w:w="920"/>
        <w:gridCol w:w="920"/>
      </w:tblGrid>
      <w:tr w:rsidR="007D3CA2" w:rsidTr="006E6F2E">
        <w:trPr>
          <w:trHeight w:val="1340"/>
        </w:trPr>
        <w:tc>
          <w:tcPr>
            <w:tcW w:w="2802" w:type="dxa"/>
            <w:shd w:val="clear" w:color="auto" w:fill="FFFFFF"/>
          </w:tcPr>
          <w:p w:rsidR="007D3CA2" w:rsidRDefault="007D3CA2" w:rsidP="007D3CA2">
            <w:proofErr w:type="spellStart"/>
            <w:r>
              <w:t>Institution</w:t>
            </w:r>
            <w:proofErr w:type="spellEnd"/>
          </w:p>
        </w:tc>
        <w:tc>
          <w:tcPr>
            <w:tcW w:w="1798" w:type="dxa"/>
          </w:tcPr>
          <w:p w:rsidR="007D3CA2" w:rsidRDefault="007D3CA2" w:rsidP="007D3CA2">
            <w:pPr>
              <w:jc w:val="right"/>
            </w:pPr>
            <w:r>
              <w:t>Project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Type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ceiling</w:t>
            </w:r>
            <w:proofErr w:type="spellEnd"/>
            <w:r>
              <w:t xml:space="preserve"> (million NOK), </w:t>
            </w:r>
            <w:r>
              <w:br/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1 </w:t>
            </w:r>
            <w:proofErr w:type="spellStart"/>
            <w:r>
              <w:t>July</w:t>
            </w:r>
            <w:proofErr w:type="spellEnd"/>
            <w:r>
              <w:t xml:space="preserve"> 2019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Gross area (m²)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Purpose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  <w:rPr>
                <w:i/>
                <w:iCs/>
              </w:rPr>
            </w:pPr>
            <w:proofErr w:type="spellStart"/>
            <w:r>
              <w:t>Building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period</w:t>
            </w:r>
            <w:proofErr w:type="spellEnd"/>
          </w:p>
        </w:tc>
      </w:tr>
      <w:tr w:rsidR="007D3CA2" w:rsidTr="006E6F2E">
        <w:trPr>
          <w:trHeight w:val="1880"/>
        </w:trPr>
        <w:tc>
          <w:tcPr>
            <w:tcW w:w="2802" w:type="dxa"/>
          </w:tcPr>
          <w:p w:rsidR="007D3CA2" w:rsidRDefault="007D3CA2" w:rsidP="007D3CA2">
            <w:r>
              <w:t xml:space="preserve">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Life Sciences</w:t>
            </w:r>
          </w:p>
        </w:tc>
        <w:tc>
          <w:tcPr>
            <w:tcW w:w="1798" w:type="dxa"/>
          </w:tcPr>
          <w:p w:rsidR="007D3CA2" w:rsidRDefault="007D3CA2" w:rsidP="007D3CA2">
            <w:pPr>
              <w:jc w:val="right"/>
            </w:pPr>
            <w:r>
              <w:t xml:space="preserve">Co-location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veterinary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institutes</w:t>
            </w:r>
            <w:proofErr w:type="spellEnd"/>
            <w:r>
              <w:t xml:space="preserve"> at, </w:t>
            </w:r>
            <w:r>
              <w:br/>
              <w:t xml:space="preserve">Campus Ås, </w:t>
            </w:r>
            <w:proofErr w:type="spellStart"/>
            <w:r>
              <w:t>incl</w:t>
            </w:r>
            <w:proofErr w:type="spellEnd"/>
            <w:r>
              <w:t xml:space="preserve">. Animal </w:t>
            </w:r>
            <w:r>
              <w:br/>
              <w:t xml:space="preserve">Production </w:t>
            </w:r>
            <w:proofErr w:type="spellStart"/>
            <w:r>
              <w:t>Experimental</w:t>
            </w:r>
            <w:proofErr w:type="spellEnd"/>
            <w:r>
              <w:t xml:space="preserve"> Centre 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 xml:space="preserve"> 7 121 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 xml:space="preserve">63 100 + 11 700 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Livestock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and </w:t>
            </w:r>
            <w:proofErr w:type="spellStart"/>
            <w:r>
              <w:t>veterinary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2013–2020</w:t>
            </w:r>
          </w:p>
        </w:tc>
      </w:tr>
      <w:tr w:rsidR="007D3CA2" w:rsidTr="006E6F2E">
        <w:trPr>
          <w:trHeight w:val="840"/>
        </w:trPr>
        <w:tc>
          <w:tcPr>
            <w:tcW w:w="2802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Bergen</w:t>
            </w:r>
          </w:p>
        </w:tc>
        <w:tc>
          <w:tcPr>
            <w:tcW w:w="1798" w:type="dxa"/>
          </w:tcPr>
          <w:p w:rsidR="007D3CA2" w:rsidRDefault="007D3CA2" w:rsidP="007D3CA2">
            <w:pPr>
              <w:jc w:val="right"/>
            </w:pPr>
            <w:proofErr w:type="spellStart"/>
            <w:r>
              <w:t>University</w:t>
            </w:r>
            <w:proofErr w:type="spellEnd"/>
            <w:r>
              <w:t xml:space="preserve"> museum Part 2, Bergen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Renovation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 xml:space="preserve">395 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 xml:space="preserve">9 200 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University</w:t>
            </w:r>
            <w:proofErr w:type="spellEnd"/>
            <w:r>
              <w:t xml:space="preserve"> museum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2016–2019</w:t>
            </w:r>
          </w:p>
        </w:tc>
      </w:tr>
      <w:tr w:rsidR="007D3CA2" w:rsidTr="006E6F2E">
        <w:trPr>
          <w:trHeight w:val="840"/>
        </w:trPr>
        <w:tc>
          <w:tcPr>
            <w:tcW w:w="2802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Oslo</w:t>
            </w:r>
          </w:p>
        </w:tc>
        <w:tc>
          <w:tcPr>
            <w:tcW w:w="1798" w:type="dxa"/>
          </w:tcPr>
          <w:p w:rsidR="007D3CA2" w:rsidRDefault="007D3CA2" w:rsidP="007D3CA2">
            <w:pPr>
              <w:jc w:val="right"/>
            </w:pPr>
            <w:r>
              <w:t xml:space="preserve">Life science </w:t>
            </w:r>
            <w:r>
              <w:br/>
            </w:r>
            <w:proofErr w:type="spellStart"/>
            <w:r>
              <w:t>building</w:t>
            </w:r>
            <w:proofErr w:type="spellEnd"/>
            <w:r>
              <w:t>, Oslo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5779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66 700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Chemistry</w:t>
            </w:r>
            <w:proofErr w:type="spellEnd"/>
            <w:r>
              <w:t xml:space="preserve">, </w:t>
            </w:r>
            <w:proofErr w:type="spellStart"/>
            <w:r>
              <w:t>pharmacology</w:t>
            </w:r>
            <w:proofErr w:type="spellEnd"/>
            <w:r>
              <w:t xml:space="preserve">,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2019–2024</w:t>
            </w:r>
          </w:p>
        </w:tc>
      </w:tr>
    </w:tbl>
    <w:p w:rsidR="007D3CA2" w:rsidRDefault="007D3CA2" w:rsidP="007D3CA2">
      <w:pPr>
        <w:pStyle w:val="tabell-noter"/>
      </w:pPr>
      <w:r>
        <w:t xml:space="preserve">The </w:t>
      </w:r>
      <w:proofErr w:type="spellStart"/>
      <w:r>
        <w:t>table</w:t>
      </w:r>
      <w:proofErr w:type="spellEnd"/>
      <w:r>
        <w:t xml:space="preserve"> shows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. Investment </w:t>
      </w:r>
      <w:proofErr w:type="spellStart"/>
      <w:r>
        <w:t>costs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funded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and </w:t>
      </w:r>
      <w:proofErr w:type="spellStart"/>
      <w:r>
        <w:t>Modernisation’s</w:t>
      </w:r>
      <w:proofErr w:type="spellEnd"/>
      <w:r>
        <w:t xml:space="preserve"> from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 530 </w:t>
      </w:r>
      <w:proofErr w:type="spellStart"/>
      <w:r>
        <w:t>items</w:t>
      </w:r>
      <w:proofErr w:type="spellEnd"/>
      <w:r>
        <w:t xml:space="preserve"> 31 and 33 or </w:t>
      </w:r>
      <w:proofErr w:type="spellStart"/>
      <w:r>
        <w:t>chapter</w:t>
      </w:r>
      <w:proofErr w:type="spellEnd"/>
      <w:r>
        <w:t xml:space="preserve"> 2445 item 33.</w:t>
      </w:r>
    </w:p>
    <w:p w:rsidR="007D3CA2" w:rsidRPr="007D3CA2" w:rsidRDefault="007D3CA2" w:rsidP="007D3CA2">
      <w:pPr>
        <w:pStyle w:val="tabell-tittel"/>
      </w:pPr>
      <w:r>
        <w:t xml:space="preserve">Major </w:t>
      </w:r>
      <w:proofErr w:type="spellStart"/>
      <w:r>
        <w:t>user-financed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phase</w:t>
      </w:r>
      <w:proofErr w:type="spellEnd"/>
    </w:p>
    <w:p w:rsidR="007D3CA2" w:rsidRDefault="007D3CA2" w:rsidP="007D3CA2">
      <w:pPr>
        <w:pStyle w:val="Tabellnavn"/>
      </w:pPr>
      <w:r>
        <w:t>07J1xt2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3680"/>
        <w:gridCol w:w="920"/>
        <w:gridCol w:w="920"/>
        <w:gridCol w:w="920"/>
        <w:gridCol w:w="920"/>
        <w:gridCol w:w="920"/>
        <w:gridCol w:w="920"/>
      </w:tblGrid>
      <w:tr w:rsidR="007D3CA2" w:rsidTr="007D3CA2">
        <w:trPr>
          <w:trHeight w:val="1340"/>
        </w:trPr>
        <w:tc>
          <w:tcPr>
            <w:tcW w:w="3680" w:type="dxa"/>
            <w:shd w:val="clear" w:color="auto" w:fill="FFFFFF"/>
          </w:tcPr>
          <w:p w:rsidR="007D3CA2" w:rsidRDefault="007D3CA2" w:rsidP="007D3CA2">
            <w:proofErr w:type="spellStart"/>
            <w:r>
              <w:t>Institution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Project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 xml:space="preserve">Type 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ceiling</w:t>
            </w:r>
            <w:proofErr w:type="spellEnd"/>
            <w:r>
              <w:t xml:space="preserve"> </w:t>
            </w:r>
            <w:r>
              <w:br/>
              <w:t xml:space="preserve">(million NOK),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 1 </w:t>
            </w:r>
            <w:proofErr w:type="spellStart"/>
            <w:r>
              <w:t>July</w:t>
            </w:r>
            <w:proofErr w:type="spellEnd"/>
            <w:r>
              <w:t xml:space="preserve"> 2019 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Gross area (m²)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Purpose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Building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period</w:t>
            </w:r>
            <w:proofErr w:type="spellEnd"/>
          </w:p>
        </w:tc>
      </w:tr>
      <w:tr w:rsidR="007D3CA2" w:rsidTr="007D3CA2">
        <w:trPr>
          <w:trHeight w:val="840"/>
        </w:trPr>
        <w:tc>
          <w:tcPr>
            <w:tcW w:w="3680" w:type="dxa"/>
          </w:tcPr>
          <w:p w:rsidR="007D3CA2" w:rsidRDefault="007D3CA2" w:rsidP="007D3CA2">
            <w:r>
              <w:lastRenderedPageBreak/>
              <w:t xml:space="preserve">Western Norway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Applied Sciences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 xml:space="preserve">Campus </w:t>
            </w:r>
            <w:r>
              <w:br/>
              <w:t xml:space="preserve">Kronstad, </w:t>
            </w:r>
            <w:r>
              <w:br/>
              <w:t>Bergen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536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14 300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Teaching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2018–2020</w:t>
            </w:r>
          </w:p>
        </w:tc>
      </w:tr>
      <w:tr w:rsidR="007D3CA2" w:rsidTr="007D3CA2">
        <w:trPr>
          <w:trHeight w:val="840"/>
        </w:trPr>
        <w:tc>
          <w:tcPr>
            <w:tcW w:w="368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South-</w:t>
            </w:r>
            <w:proofErr w:type="spellStart"/>
            <w:r>
              <w:t>Eastern</w:t>
            </w:r>
            <w:proofErr w:type="spellEnd"/>
            <w:r>
              <w:t xml:space="preserve"> Norway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 xml:space="preserve">Campus </w:t>
            </w:r>
            <w:r>
              <w:br/>
              <w:t>Ringerike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Alterations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219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11 000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Teaching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2017–2019</w:t>
            </w:r>
          </w:p>
        </w:tc>
      </w:tr>
      <w:tr w:rsidR="007D3CA2" w:rsidTr="007D3CA2">
        <w:trPr>
          <w:trHeight w:val="840"/>
        </w:trPr>
        <w:tc>
          <w:tcPr>
            <w:tcW w:w="3680" w:type="dxa"/>
          </w:tcPr>
          <w:p w:rsidR="007D3CA2" w:rsidRDefault="007D3CA2" w:rsidP="007D3CA2">
            <w:r>
              <w:t xml:space="preserve">UiT The Arctic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Norway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Building</w:t>
            </w:r>
            <w:proofErr w:type="spellEnd"/>
            <w:r>
              <w:t xml:space="preserve"> for </w:t>
            </w:r>
            <w:proofErr w:type="spellStart"/>
            <w:r>
              <w:t>teacher</w:t>
            </w:r>
            <w:proofErr w:type="spellEnd"/>
            <w:r>
              <w:t xml:space="preserve"> </w:t>
            </w:r>
            <w:r>
              <w:br/>
              <w:t>training ILP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441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10 900</w:t>
            </w:r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proofErr w:type="spellStart"/>
            <w:r>
              <w:t>Teacher</w:t>
            </w:r>
            <w:proofErr w:type="spellEnd"/>
            <w:r>
              <w:t xml:space="preserve"> </w:t>
            </w:r>
            <w:r>
              <w:br/>
              <w:t xml:space="preserve">training and </w:t>
            </w:r>
            <w:proofErr w:type="spellStart"/>
            <w:r>
              <w:t>pedagogics</w:t>
            </w:r>
            <w:proofErr w:type="spellEnd"/>
          </w:p>
        </w:tc>
        <w:tc>
          <w:tcPr>
            <w:tcW w:w="920" w:type="dxa"/>
          </w:tcPr>
          <w:p w:rsidR="007D3CA2" w:rsidRDefault="007D3CA2" w:rsidP="007D3CA2">
            <w:pPr>
              <w:jc w:val="right"/>
            </w:pPr>
            <w:r>
              <w:t>2018–2020</w:t>
            </w:r>
          </w:p>
        </w:tc>
      </w:tr>
    </w:tbl>
    <w:p w:rsidR="007D3CA2" w:rsidRDefault="007D3CA2" w:rsidP="007D3CA2">
      <w:pPr>
        <w:pStyle w:val="tabell-noter"/>
      </w:pPr>
      <w:r>
        <w:t xml:space="preserve">The </w:t>
      </w:r>
      <w:proofErr w:type="spellStart"/>
      <w:r>
        <w:t>table</w:t>
      </w:r>
      <w:proofErr w:type="spellEnd"/>
      <w:r>
        <w:t xml:space="preserve"> shows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cover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from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budgets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rent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to Statsbygg. The </w:t>
      </w:r>
      <w:proofErr w:type="spellStart"/>
      <w:r>
        <w:t>institutions</w:t>
      </w:r>
      <w:proofErr w:type="spellEnd"/>
      <w:r>
        <w:t xml:space="preserve"> do not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for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in rent </w:t>
      </w:r>
      <w:proofErr w:type="spellStart"/>
      <w:r>
        <w:t>costs</w:t>
      </w:r>
      <w:proofErr w:type="spellEnd"/>
      <w:r>
        <w:t xml:space="preserve">, and must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an </w:t>
      </w:r>
      <w:proofErr w:type="spellStart"/>
      <w:r>
        <w:t>unchanged</w:t>
      </w:r>
      <w:proofErr w:type="spellEnd"/>
      <w:r>
        <w:t xml:space="preserve"> </w:t>
      </w:r>
      <w:proofErr w:type="spellStart"/>
      <w:r>
        <w:t>budget</w:t>
      </w:r>
      <w:proofErr w:type="spellEnd"/>
      <w:r>
        <w:t>.</w:t>
      </w:r>
    </w:p>
    <w:p w:rsidR="007D3CA2" w:rsidRPr="007D3CA2" w:rsidRDefault="007D3CA2" w:rsidP="007D3CA2">
      <w:pPr>
        <w:pStyle w:val="tabell-tittel"/>
      </w:pPr>
      <w:r>
        <w:t xml:space="preserve">Construction </w:t>
      </w:r>
      <w:proofErr w:type="spellStart"/>
      <w:r>
        <w:t>projects</w:t>
      </w:r>
      <w:proofErr w:type="spellEnd"/>
      <w:r>
        <w:t>,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</w:t>
      </w:r>
      <w:proofErr w:type="spellStart"/>
      <w:r>
        <w:t>completed</w:t>
      </w:r>
      <w:proofErr w:type="spellEnd"/>
    </w:p>
    <w:p w:rsidR="007D3CA2" w:rsidRDefault="007D3CA2" w:rsidP="007D3CA2">
      <w:pPr>
        <w:pStyle w:val="Tabellnavn"/>
      </w:pPr>
      <w:r>
        <w:t>06J1xt2</w:t>
      </w:r>
    </w:p>
    <w:tbl>
      <w:tblPr>
        <w:tblStyle w:val="StandardTabell"/>
        <w:tblW w:w="9180" w:type="dxa"/>
        <w:tblLayout w:type="fixed"/>
        <w:tblLook w:val="04A0" w:firstRow="1" w:lastRow="0" w:firstColumn="1" w:lastColumn="0" w:noHBand="0" w:noVBand="1"/>
      </w:tblPr>
      <w:tblGrid>
        <w:gridCol w:w="4080"/>
        <w:gridCol w:w="1020"/>
        <w:gridCol w:w="1020"/>
        <w:gridCol w:w="1020"/>
        <w:gridCol w:w="1020"/>
        <w:gridCol w:w="1020"/>
      </w:tblGrid>
      <w:tr w:rsidR="007D3CA2" w:rsidTr="007D3CA2">
        <w:trPr>
          <w:trHeight w:val="1120"/>
        </w:trPr>
        <w:tc>
          <w:tcPr>
            <w:tcW w:w="4080" w:type="dxa"/>
            <w:shd w:val="clear" w:color="auto" w:fill="FFFFFF"/>
          </w:tcPr>
          <w:p w:rsidR="007D3CA2" w:rsidRDefault="007D3CA2" w:rsidP="007D3CA2">
            <w:proofErr w:type="spellStart"/>
            <w:r>
              <w:t>Institution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Project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Type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Expected</w:t>
            </w:r>
            <w:proofErr w:type="spellEnd"/>
            <w:r>
              <w:t xml:space="preserve"> </w:t>
            </w: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ceiling</w:t>
            </w:r>
            <w:proofErr w:type="spellEnd"/>
            <w:r>
              <w:t xml:space="preserve"> (million NOK), </w:t>
            </w:r>
            <w:proofErr w:type="spellStart"/>
            <w:r>
              <w:t>price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level</w:t>
            </w:r>
            <w:proofErr w:type="spellEnd"/>
            <w:r>
              <w:t xml:space="preserve"> 1 </w:t>
            </w:r>
            <w:proofErr w:type="spellStart"/>
            <w:r>
              <w:t>July</w:t>
            </w:r>
            <w:proofErr w:type="spellEnd"/>
            <w:r>
              <w:t xml:space="preserve"> 2019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Gross area (m²)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Purpose</w:t>
            </w:r>
          </w:p>
        </w:tc>
      </w:tr>
      <w:tr w:rsidR="007D3CA2" w:rsidTr="007D3CA2">
        <w:trPr>
          <w:trHeight w:val="880"/>
        </w:trPr>
        <w:tc>
          <w:tcPr>
            <w:tcW w:w="4080" w:type="dxa"/>
          </w:tcPr>
          <w:p w:rsidR="007D3CA2" w:rsidRDefault="007D3CA2" w:rsidP="007D3CA2">
            <w:r>
              <w:t xml:space="preserve">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Science and Technology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Health and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>, Trondheim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537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13 000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Health and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 xml:space="preserve">, student </w:t>
            </w:r>
            <w:proofErr w:type="spellStart"/>
            <w:r>
              <w:t>welfare</w:t>
            </w:r>
            <w:proofErr w:type="spellEnd"/>
          </w:p>
        </w:tc>
      </w:tr>
      <w:tr w:rsidR="007D3CA2" w:rsidTr="007D3CA2">
        <w:trPr>
          <w:trHeight w:val="640"/>
        </w:trPr>
        <w:tc>
          <w:tcPr>
            <w:tcW w:w="408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Oslo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Viking Age Museum, Oslo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Renovation</w:t>
            </w:r>
            <w:proofErr w:type="spellEnd"/>
            <w:r>
              <w:t xml:space="preserve"> and </w:t>
            </w:r>
            <w:proofErr w:type="spellStart"/>
            <w:r>
              <w:t>newbuild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2 000 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9 300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University</w:t>
            </w:r>
            <w:proofErr w:type="spellEnd"/>
            <w:r>
              <w:t xml:space="preserve"> museum</w:t>
            </w:r>
          </w:p>
        </w:tc>
      </w:tr>
      <w:tr w:rsidR="007D3CA2" w:rsidTr="007D3CA2">
        <w:trPr>
          <w:trHeight w:val="880"/>
        </w:trPr>
        <w:tc>
          <w:tcPr>
            <w:tcW w:w="408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Stavanger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Museum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Archaeology</w:t>
            </w:r>
            <w:proofErr w:type="spellEnd"/>
            <w:r>
              <w:t>, Stavanger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338*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6 130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University</w:t>
            </w:r>
            <w:proofErr w:type="spellEnd"/>
            <w:r>
              <w:t xml:space="preserve"> museum</w:t>
            </w:r>
          </w:p>
        </w:tc>
      </w:tr>
    </w:tbl>
    <w:p w:rsidR="007D3CA2" w:rsidRDefault="007D3CA2" w:rsidP="007D3CA2">
      <w:pPr>
        <w:pStyle w:val="tabell-noter"/>
      </w:pPr>
      <w:r>
        <w:t xml:space="preserve">*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15 April 2014</w:t>
      </w:r>
    </w:p>
    <w:p w:rsidR="007D3CA2" w:rsidRDefault="007D3CA2" w:rsidP="007D3CA2">
      <w:pPr>
        <w:pStyle w:val="tabell-noter"/>
      </w:pPr>
      <w:r>
        <w:t xml:space="preserve">The </w:t>
      </w:r>
      <w:proofErr w:type="spellStart"/>
      <w:r>
        <w:t>table</w:t>
      </w:r>
      <w:proofErr w:type="spellEnd"/>
      <w:r>
        <w:t xml:space="preserve"> shows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investment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exceed</w:t>
      </w:r>
      <w:proofErr w:type="spellEnd"/>
      <w:r>
        <w:t xml:space="preserve"> NOK 300 million (</w:t>
      </w:r>
      <w:proofErr w:type="spellStart"/>
      <w:r>
        <w:t>excluding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). The </w:t>
      </w:r>
      <w:proofErr w:type="spellStart"/>
      <w:r>
        <w:t>objectives</w:t>
      </w:r>
      <w:proofErr w:type="spellEnd"/>
      <w:r>
        <w:t xml:space="preserve">, overall </w:t>
      </w:r>
      <w:proofErr w:type="spellStart"/>
      <w:r>
        <w:t>scope</w:t>
      </w:r>
      <w:proofErr w:type="spellEnd"/>
      <w:r>
        <w:t xml:space="preserve"> and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initial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appropriation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>.</w:t>
      </w:r>
    </w:p>
    <w:p w:rsidR="007D3CA2" w:rsidRPr="007D3CA2" w:rsidRDefault="007D3CA2" w:rsidP="007D3CA2">
      <w:pPr>
        <w:pStyle w:val="tabell-tittel"/>
      </w:pPr>
      <w:r>
        <w:t xml:space="preserve">Construction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have </w:t>
      </w:r>
      <w:proofErr w:type="spellStart"/>
      <w:r>
        <w:t>received</w:t>
      </w:r>
      <w:proofErr w:type="spellEnd"/>
      <w:r>
        <w:t xml:space="preserve">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appropriations</w:t>
      </w:r>
      <w:proofErr w:type="spellEnd"/>
    </w:p>
    <w:p w:rsidR="007D3CA2" w:rsidRDefault="007D3CA2" w:rsidP="007D3CA2">
      <w:pPr>
        <w:pStyle w:val="Tabellnavn"/>
      </w:pPr>
      <w:r>
        <w:t>06J1xt2</w:t>
      </w:r>
    </w:p>
    <w:tbl>
      <w:tblPr>
        <w:tblStyle w:val="StandardTabell"/>
        <w:tblW w:w="9180" w:type="dxa"/>
        <w:tblLayout w:type="fixed"/>
        <w:tblLook w:val="04A0" w:firstRow="1" w:lastRow="0" w:firstColumn="1" w:lastColumn="0" w:noHBand="0" w:noVBand="1"/>
      </w:tblPr>
      <w:tblGrid>
        <w:gridCol w:w="4080"/>
        <w:gridCol w:w="1020"/>
        <w:gridCol w:w="1020"/>
        <w:gridCol w:w="1020"/>
        <w:gridCol w:w="1020"/>
        <w:gridCol w:w="1020"/>
      </w:tblGrid>
      <w:tr w:rsidR="007D3CA2" w:rsidTr="007D3CA2">
        <w:trPr>
          <w:trHeight w:val="560"/>
        </w:trPr>
        <w:tc>
          <w:tcPr>
            <w:tcW w:w="4080" w:type="dxa"/>
            <w:shd w:val="clear" w:color="auto" w:fill="FFFFFF"/>
          </w:tcPr>
          <w:p w:rsidR="007D3CA2" w:rsidRDefault="007D3CA2" w:rsidP="007D3CA2">
            <w:proofErr w:type="spellStart"/>
            <w:r>
              <w:t>Institution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Project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Type 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ceiling</w:t>
            </w:r>
            <w:proofErr w:type="spellEnd"/>
            <w:r>
              <w:t xml:space="preserve"> </w:t>
            </w:r>
            <w:r>
              <w:br/>
              <w:t>(million NOK)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  <w:rPr>
                <w:i/>
                <w:iCs/>
              </w:rPr>
            </w:pPr>
            <w:r>
              <w:t xml:space="preserve">Gross area </w:t>
            </w:r>
            <w:r>
              <w:br/>
              <w:t>(m²)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Purpose</w:t>
            </w:r>
          </w:p>
        </w:tc>
      </w:tr>
      <w:tr w:rsidR="007D3CA2" w:rsidTr="007D3CA2">
        <w:trPr>
          <w:trHeight w:val="580"/>
        </w:trPr>
        <w:tc>
          <w:tcPr>
            <w:tcW w:w="4080" w:type="dxa"/>
          </w:tcPr>
          <w:p w:rsidR="007D3CA2" w:rsidRDefault="007D3CA2" w:rsidP="007D3CA2">
            <w:r>
              <w:t xml:space="preserve">NHH Norwegian School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Main </w:t>
            </w:r>
            <w:proofErr w:type="spellStart"/>
            <w:r>
              <w:t>building</w:t>
            </w:r>
            <w:proofErr w:type="spellEnd"/>
            <w:r>
              <w:t>, Bergen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Renovation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555 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12 527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Economics</w:t>
            </w:r>
            <w:proofErr w:type="spellEnd"/>
            <w:r>
              <w:t xml:space="preserve"> and </w:t>
            </w:r>
            <w:proofErr w:type="spellStart"/>
            <w:r>
              <w:t>administration</w:t>
            </w:r>
            <w:proofErr w:type="spellEnd"/>
            <w:r>
              <w:t xml:space="preserve"> </w:t>
            </w:r>
          </w:p>
        </w:tc>
      </w:tr>
      <w:tr w:rsidR="007D3CA2" w:rsidTr="007D3CA2">
        <w:trPr>
          <w:trHeight w:val="840"/>
        </w:trPr>
        <w:tc>
          <w:tcPr>
            <w:tcW w:w="4080" w:type="dxa"/>
          </w:tcPr>
          <w:p w:rsidR="007D3CA2" w:rsidRDefault="007D3CA2" w:rsidP="007D3CA2">
            <w:r>
              <w:t xml:space="preserve">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Science and Technology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Campus NTNU, Trondheim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  <w:r>
              <w:t xml:space="preserve"> and </w:t>
            </w:r>
            <w:proofErr w:type="spellStart"/>
            <w:r>
              <w:t>renovation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r>
              <w:br/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Co-location</w:t>
            </w:r>
          </w:p>
        </w:tc>
      </w:tr>
      <w:tr w:rsidR="007D3CA2" w:rsidTr="007D3CA2">
        <w:trPr>
          <w:trHeight w:val="1360"/>
        </w:trPr>
        <w:tc>
          <w:tcPr>
            <w:tcW w:w="4080" w:type="dxa"/>
          </w:tcPr>
          <w:p w:rsidR="007D3CA2" w:rsidRDefault="007D3CA2" w:rsidP="007D3CA2">
            <w:r>
              <w:lastRenderedPageBreak/>
              <w:t xml:space="preserve">Nord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Blue </w:t>
            </w:r>
            <w:proofErr w:type="spellStart"/>
            <w:r>
              <w:t>Building</w:t>
            </w:r>
            <w:proofErr w:type="spellEnd"/>
            <w:r>
              <w:t xml:space="preserve"> 6B, Bodø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  <w:r>
              <w:t xml:space="preserve"> and </w:t>
            </w:r>
            <w:proofErr w:type="spellStart"/>
            <w:r>
              <w:t>alterations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 9 650 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Biosciences</w:t>
            </w:r>
            <w:proofErr w:type="spellEnd"/>
            <w:r>
              <w:t xml:space="preserve"> and </w:t>
            </w:r>
            <w:proofErr w:type="spellStart"/>
            <w:r>
              <w:t>aquaculture</w:t>
            </w:r>
            <w:proofErr w:type="spellEnd"/>
            <w:r>
              <w:t xml:space="preserve">, </w:t>
            </w:r>
            <w:proofErr w:type="spellStart"/>
            <w:r>
              <w:t>nursing</w:t>
            </w:r>
            <w:proofErr w:type="spellEnd"/>
            <w:r>
              <w:t xml:space="preserve"> and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r>
              <w:br/>
            </w:r>
            <w:proofErr w:type="spellStart"/>
            <w:r>
              <w:t>sciences</w:t>
            </w:r>
            <w:proofErr w:type="spellEnd"/>
          </w:p>
        </w:tc>
      </w:tr>
      <w:tr w:rsidR="007D3CA2" w:rsidTr="007D3CA2">
        <w:trPr>
          <w:trHeight w:val="1100"/>
        </w:trPr>
        <w:tc>
          <w:tcPr>
            <w:tcW w:w="408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Bergen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Fine Art, Music and Design / </w:t>
            </w:r>
            <w:proofErr w:type="spellStart"/>
            <w:r>
              <w:t>the</w:t>
            </w:r>
            <w:proofErr w:type="spellEnd"/>
            <w:r>
              <w:t xml:space="preserve"> Grieg </w:t>
            </w:r>
            <w:proofErr w:type="spellStart"/>
            <w:r>
              <w:t>Academy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10 000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Music and arts </w:t>
            </w:r>
          </w:p>
        </w:tc>
      </w:tr>
      <w:tr w:rsidR="007D3CA2" w:rsidTr="007D3CA2">
        <w:trPr>
          <w:trHeight w:val="1360"/>
        </w:trPr>
        <w:tc>
          <w:tcPr>
            <w:tcW w:w="408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Oslo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New </w:t>
            </w:r>
            <w:proofErr w:type="spellStart"/>
            <w:r>
              <w:t>exhibition</w:t>
            </w:r>
            <w:proofErr w:type="spellEnd"/>
            <w:r>
              <w:t xml:space="preserve"> greenhouse at </w:t>
            </w:r>
            <w:proofErr w:type="spellStart"/>
            <w:r>
              <w:t>the</w:t>
            </w:r>
            <w:proofErr w:type="spellEnd"/>
            <w:r>
              <w:t xml:space="preserve"> Natural </w:t>
            </w:r>
            <w:r>
              <w:br/>
            </w:r>
            <w:proofErr w:type="spellStart"/>
            <w:r>
              <w:t>History</w:t>
            </w:r>
            <w:proofErr w:type="spellEnd"/>
            <w:r>
              <w:t xml:space="preserve"> Museum, Oslo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  <w:r>
              <w:t xml:space="preserve">, </w:t>
            </w:r>
            <w:proofErr w:type="spellStart"/>
            <w:r>
              <w:t>alterations</w:t>
            </w:r>
            <w:proofErr w:type="spellEnd"/>
            <w:r>
              <w:t xml:space="preserve">, </w:t>
            </w:r>
            <w:proofErr w:type="spellStart"/>
            <w:r>
              <w:t>renovation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University</w:t>
            </w:r>
            <w:proofErr w:type="spellEnd"/>
            <w:r>
              <w:t xml:space="preserve"> museum</w:t>
            </w:r>
          </w:p>
        </w:tc>
      </w:tr>
      <w:tr w:rsidR="007D3CA2" w:rsidTr="007D3CA2">
        <w:trPr>
          <w:trHeight w:val="580"/>
        </w:trPr>
        <w:tc>
          <w:tcPr>
            <w:tcW w:w="4080" w:type="dxa"/>
          </w:tcPr>
          <w:p w:rsidR="007D3CA2" w:rsidRDefault="007D3CA2" w:rsidP="007D3CA2"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Oslo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New </w:t>
            </w:r>
            <w:proofErr w:type="spellStart"/>
            <w:r>
              <w:t>clinic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>, Oslo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21 600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Odontology</w:t>
            </w:r>
            <w:proofErr w:type="spellEnd"/>
          </w:p>
        </w:tc>
      </w:tr>
      <w:tr w:rsidR="007D3CA2" w:rsidTr="007D3CA2">
        <w:trPr>
          <w:trHeight w:val="840"/>
        </w:trPr>
        <w:tc>
          <w:tcPr>
            <w:tcW w:w="4080" w:type="dxa"/>
          </w:tcPr>
          <w:p w:rsidR="007D3CA2" w:rsidRDefault="007D3CA2" w:rsidP="007D3CA2">
            <w:r>
              <w:t xml:space="preserve">UiT The Arctic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Norway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Tromsø Museum, Tromsø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proofErr w:type="spellStart"/>
            <w:r>
              <w:t>determined</w:t>
            </w:r>
            <w:proofErr w:type="spellEnd"/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r>
              <w:t>19 700</w:t>
            </w:r>
          </w:p>
        </w:tc>
        <w:tc>
          <w:tcPr>
            <w:tcW w:w="1020" w:type="dxa"/>
          </w:tcPr>
          <w:p w:rsidR="007D3CA2" w:rsidRDefault="007D3CA2" w:rsidP="007D3CA2">
            <w:pPr>
              <w:jc w:val="right"/>
            </w:pPr>
            <w:proofErr w:type="spellStart"/>
            <w:r>
              <w:t>University</w:t>
            </w:r>
            <w:proofErr w:type="spellEnd"/>
            <w:r>
              <w:t xml:space="preserve"> museum</w:t>
            </w:r>
          </w:p>
        </w:tc>
      </w:tr>
    </w:tbl>
    <w:p w:rsidR="007D3CA2" w:rsidRDefault="007D3CA2" w:rsidP="007D3CA2">
      <w:pPr>
        <w:pStyle w:val="tabell-noter"/>
      </w:pPr>
      <w:r>
        <w:t xml:space="preserve">The </w:t>
      </w:r>
      <w:proofErr w:type="spellStart"/>
      <w:r>
        <w:t>table</w:t>
      </w:r>
      <w:proofErr w:type="spellEnd"/>
      <w:r>
        <w:t xml:space="preserve"> shows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Storting has </w:t>
      </w:r>
      <w:proofErr w:type="spellStart"/>
      <w:r>
        <w:t>granted</w:t>
      </w:r>
      <w:proofErr w:type="spellEnd"/>
      <w:r>
        <w:t xml:space="preserve"> an </w:t>
      </w:r>
      <w:proofErr w:type="spellStart"/>
      <w:r>
        <w:t>appropriation</w:t>
      </w:r>
      <w:proofErr w:type="spellEnd"/>
      <w:r>
        <w:t xml:space="preserve"> for </w:t>
      </w:r>
      <w:proofErr w:type="spellStart"/>
      <w:r>
        <w:t>further</w:t>
      </w:r>
      <w:proofErr w:type="spellEnd"/>
      <w:r>
        <w:t xml:space="preserve"> planning and </w:t>
      </w:r>
      <w:proofErr w:type="spellStart"/>
      <w:r>
        <w:t>the</w:t>
      </w:r>
      <w:proofErr w:type="spellEnd"/>
      <w:r>
        <w:t xml:space="preserve">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. It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to be in </w:t>
      </w:r>
      <w:proofErr w:type="spellStart"/>
      <w:r>
        <w:t>the</w:t>
      </w:r>
      <w:proofErr w:type="spellEnd"/>
      <w:r>
        <w:t xml:space="preserve"> planning or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in 2019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at NHH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Bergen).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is </w:t>
      </w:r>
      <w:proofErr w:type="spellStart"/>
      <w:r>
        <w:t>provided</w:t>
      </w:r>
      <w:proofErr w:type="spellEnd"/>
      <w:r>
        <w:t xml:space="preserve"> under </w:t>
      </w:r>
      <w:proofErr w:type="spellStart"/>
      <w:r>
        <w:t>budget</w:t>
      </w:r>
      <w:proofErr w:type="spellEnd"/>
      <w:r>
        <w:t xml:space="preserve"> </w:t>
      </w:r>
      <w:proofErr w:type="spellStart"/>
      <w:r>
        <w:t>chapter</w:t>
      </w:r>
      <w:proofErr w:type="spellEnd"/>
      <w:r>
        <w:t xml:space="preserve"> 530, item 30, for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Statsbygg management, and </w:t>
      </w:r>
      <w:proofErr w:type="spellStart"/>
      <w:r>
        <w:t>chapter</w:t>
      </w:r>
      <w:proofErr w:type="spellEnd"/>
      <w:r>
        <w:t xml:space="preserve"> 2445, item 30, for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rent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paid</w:t>
      </w:r>
      <w:proofErr w:type="spellEnd"/>
      <w:r>
        <w:t xml:space="preserve"> to Statsbygg. </w:t>
      </w:r>
    </w:p>
    <w:p w:rsidR="007D3CA2" w:rsidRPr="007D3CA2" w:rsidRDefault="007D3CA2" w:rsidP="007D3CA2">
      <w:pPr>
        <w:pStyle w:val="tabell-tittel"/>
      </w:pPr>
      <w:r>
        <w:t xml:space="preserve">Projects </w:t>
      </w:r>
      <w:proofErr w:type="spellStart"/>
      <w:r>
        <w:t>notified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exceeding</w:t>
      </w:r>
      <w:proofErr w:type="spellEnd"/>
      <w:r>
        <w:t xml:space="preserve"> NOK 100 million</w:t>
      </w:r>
    </w:p>
    <w:p w:rsidR="007D3CA2" w:rsidRDefault="007D3CA2" w:rsidP="007D3CA2">
      <w:pPr>
        <w:pStyle w:val="Tabellnavn"/>
      </w:pPr>
      <w:r>
        <w:t>05J1xt2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4219"/>
        <w:gridCol w:w="1481"/>
        <w:gridCol w:w="1140"/>
        <w:gridCol w:w="1140"/>
        <w:gridCol w:w="1140"/>
      </w:tblGrid>
      <w:tr w:rsidR="007D3CA2" w:rsidTr="006E6F2E">
        <w:trPr>
          <w:trHeight w:val="320"/>
        </w:trPr>
        <w:tc>
          <w:tcPr>
            <w:tcW w:w="4219" w:type="dxa"/>
            <w:shd w:val="clear" w:color="auto" w:fill="FFFFFF"/>
          </w:tcPr>
          <w:p w:rsidR="007D3CA2" w:rsidRDefault="007D3CA2" w:rsidP="007D3CA2">
            <w:proofErr w:type="spellStart"/>
            <w:r>
              <w:t>Institution</w:t>
            </w:r>
            <w:proofErr w:type="spellEnd"/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r>
              <w:t>Project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>Type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>Gross area (m²)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>Purpose</w:t>
            </w:r>
          </w:p>
        </w:tc>
      </w:tr>
      <w:tr w:rsidR="007D3CA2" w:rsidTr="006E6F2E">
        <w:trPr>
          <w:trHeight w:val="580"/>
        </w:trPr>
        <w:tc>
          <w:tcPr>
            <w:tcW w:w="4219" w:type="dxa"/>
          </w:tcPr>
          <w:p w:rsidR="007D3CA2" w:rsidRDefault="007D3CA2" w:rsidP="007D3CA2">
            <w:r>
              <w:t xml:space="preserve">Volda </w:t>
            </w:r>
            <w:proofErr w:type="spellStart"/>
            <w:r>
              <w:t>University</w:t>
            </w:r>
            <w:proofErr w:type="spellEnd"/>
            <w:r>
              <w:t xml:space="preserve"> College</w:t>
            </w:r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proofErr w:type="spellStart"/>
            <w:r>
              <w:t>Building</w:t>
            </w:r>
            <w:proofErr w:type="spellEnd"/>
            <w:r>
              <w:t xml:space="preserve"> for media and arts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 4 700 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>Media and arts</w:t>
            </w:r>
          </w:p>
        </w:tc>
      </w:tr>
      <w:tr w:rsidR="007D3CA2" w:rsidTr="006E6F2E">
        <w:trPr>
          <w:trHeight w:val="840"/>
        </w:trPr>
        <w:tc>
          <w:tcPr>
            <w:tcW w:w="4219" w:type="dxa"/>
          </w:tcPr>
          <w:p w:rsidR="007D3CA2" w:rsidRDefault="007D3CA2" w:rsidP="007D3CA2">
            <w:r>
              <w:t xml:space="preserve">Western Norway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Applied Sciences</w:t>
            </w:r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r>
              <w:t xml:space="preserve">Maritime </w:t>
            </w:r>
            <w:r>
              <w:br/>
            </w:r>
            <w:proofErr w:type="spellStart"/>
            <w:r>
              <w:t>centre</w:t>
            </w:r>
            <w:proofErr w:type="spellEnd"/>
            <w:r>
              <w:t xml:space="preserve">, </w:t>
            </w:r>
            <w:r>
              <w:br/>
              <w:t>Haugesund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Extension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 8 500 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>Maritime studies</w:t>
            </w:r>
          </w:p>
        </w:tc>
      </w:tr>
      <w:tr w:rsidR="007D3CA2" w:rsidTr="006E6F2E">
        <w:trPr>
          <w:trHeight w:val="580"/>
        </w:trPr>
        <w:tc>
          <w:tcPr>
            <w:tcW w:w="4219" w:type="dxa"/>
          </w:tcPr>
          <w:p w:rsidR="007D3CA2" w:rsidRDefault="007D3CA2" w:rsidP="007D3CA2">
            <w:r>
              <w:t xml:space="preserve">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Science and Technology</w:t>
            </w:r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r>
              <w:t xml:space="preserve">Trondheim </w:t>
            </w:r>
            <w:r>
              <w:br/>
              <w:t>Science Centre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 35 700 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Knowledge </w:t>
            </w:r>
            <w:r>
              <w:br/>
            </w:r>
            <w:proofErr w:type="spellStart"/>
            <w:r>
              <w:t>communication</w:t>
            </w:r>
            <w:proofErr w:type="spellEnd"/>
          </w:p>
        </w:tc>
      </w:tr>
      <w:tr w:rsidR="007D3CA2" w:rsidTr="006E6F2E">
        <w:trPr>
          <w:trHeight w:val="1100"/>
        </w:trPr>
        <w:tc>
          <w:tcPr>
            <w:tcW w:w="4219" w:type="dxa"/>
          </w:tcPr>
          <w:p w:rsidR="007D3CA2" w:rsidRDefault="007D3CA2" w:rsidP="007D3CA2">
            <w:r>
              <w:t xml:space="preserve">Sintef/ 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Science and Technology</w:t>
            </w:r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r>
              <w:t xml:space="preserve">Ocean Space Centre, </w:t>
            </w:r>
            <w:r>
              <w:br/>
              <w:t>Trondheim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  <w:r>
              <w:t xml:space="preserve">, </w:t>
            </w:r>
            <w:r>
              <w:br/>
            </w:r>
            <w:proofErr w:type="spellStart"/>
            <w:r>
              <w:t>renovation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r>
              <w:br/>
            </w:r>
            <w:proofErr w:type="spellStart"/>
            <w:r>
              <w:t>determined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Marine </w:t>
            </w:r>
            <w:proofErr w:type="spellStart"/>
            <w:r>
              <w:t>technology</w:t>
            </w:r>
            <w:proofErr w:type="spellEnd"/>
            <w:r>
              <w:t xml:space="preserve"> labs for </w:t>
            </w:r>
            <w:proofErr w:type="spellStart"/>
            <w:r>
              <w:t>teaching</w:t>
            </w:r>
            <w:proofErr w:type="spellEnd"/>
            <w:r>
              <w:t xml:space="preserve">, </w:t>
            </w:r>
            <w:proofErr w:type="spellStart"/>
            <w:r>
              <w:t>research</w:t>
            </w:r>
            <w:proofErr w:type="spellEnd"/>
            <w:r>
              <w:t xml:space="preserve"> and </w:t>
            </w:r>
            <w:proofErr w:type="spellStart"/>
            <w:r>
              <w:t>innovation</w:t>
            </w:r>
            <w:proofErr w:type="spellEnd"/>
          </w:p>
        </w:tc>
      </w:tr>
      <w:tr w:rsidR="007D3CA2" w:rsidTr="006E6F2E">
        <w:trPr>
          <w:trHeight w:val="580"/>
        </w:trPr>
        <w:tc>
          <w:tcPr>
            <w:tcW w:w="4219" w:type="dxa"/>
          </w:tcPr>
          <w:p w:rsidR="007D3CA2" w:rsidRDefault="007D3CA2" w:rsidP="007D3CA2">
            <w:r>
              <w:t xml:space="preserve">Oslo Metropolitan </w:t>
            </w:r>
            <w:proofErr w:type="spellStart"/>
            <w:r>
              <w:t>University</w:t>
            </w:r>
            <w:proofErr w:type="spellEnd"/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r>
              <w:t xml:space="preserve">Campus </w:t>
            </w:r>
            <w:proofErr w:type="spellStart"/>
            <w:r>
              <w:t>project</w:t>
            </w:r>
            <w:proofErr w:type="spellEnd"/>
            <w:r>
              <w:t xml:space="preserve"> Romerike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r>
              <w:br/>
            </w:r>
            <w:proofErr w:type="spellStart"/>
            <w:r>
              <w:t>determined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r>
              <w:br/>
            </w:r>
            <w:proofErr w:type="spellStart"/>
            <w:r>
              <w:t>determined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Teaching</w:t>
            </w:r>
            <w:proofErr w:type="spellEnd"/>
          </w:p>
        </w:tc>
      </w:tr>
      <w:tr w:rsidR="007D3CA2" w:rsidTr="006E6F2E">
        <w:trPr>
          <w:trHeight w:val="840"/>
        </w:trPr>
        <w:tc>
          <w:tcPr>
            <w:tcW w:w="4219" w:type="dxa"/>
          </w:tcPr>
          <w:p w:rsidR="007D3CA2" w:rsidRDefault="007D3CA2" w:rsidP="007D3CA2">
            <w:r>
              <w:t xml:space="preserve">UiT The Arctic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Norway</w:t>
            </w:r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r>
              <w:t>Narvik Campus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Renovation</w:t>
            </w:r>
            <w:proofErr w:type="spellEnd"/>
            <w:r>
              <w:t xml:space="preserve"> and </w:t>
            </w:r>
            <w:proofErr w:type="spellStart"/>
            <w:r>
              <w:t>development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 7 200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>Engineering</w:t>
            </w:r>
          </w:p>
        </w:tc>
      </w:tr>
      <w:tr w:rsidR="007D3CA2" w:rsidTr="006E6F2E">
        <w:trPr>
          <w:trHeight w:val="580"/>
        </w:trPr>
        <w:tc>
          <w:tcPr>
            <w:tcW w:w="4219" w:type="dxa"/>
          </w:tcPr>
          <w:p w:rsidR="007D3CA2" w:rsidRDefault="007D3CA2" w:rsidP="007D3CA2">
            <w:proofErr w:type="spellStart"/>
            <w:r>
              <w:lastRenderedPageBreak/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Stavanger</w:t>
            </w:r>
          </w:p>
        </w:tc>
        <w:tc>
          <w:tcPr>
            <w:tcW w:w="1481" w:type="dxa"/>
          </w:tcPr>
          <w:p w:rsidR="007D3CA2" w:rsidRDefault="007D3CA2" w:rsidP="007D3CA2">
            <w:pPr>
              <w:jc w:val="right"/>
            </w:pPr>
            <w:r>
              <w:t xml:space="preserve">New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centre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Newbuild</w:t>
            </w:r>
            <w:proofErr w:type="spellEnd"/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r>
              <w:t xml:space="preserve">Not </w:t>
            </w:r>
            <w:r>
              <w:br/>
            </w:r>
            <w:proofErr w:type="spellStart"/>
            <w:r>
              <w:t>determined</w:t>
            </w:r>
            <w:proofErr w:type="spellEnd"/>
            <w:r>
              <w:t xml:space="preserve"> </w:t>
            </w:r>
          </w:p>
        </w:tc>
        <w:tc>
          <w:tcPr>
            <w:tcW w:w="1140" w:type="dxa"/>
          </w:tcPr>
          <w:p w:rsidR="007D3CA2" w:rsidRDefault="007D3CA2" w:rsidP="007D3CA2">
            <w:pPr>
              <w:jc w:val="right"/>
            </w:pPr>
            <w:proofErr w:type="spellStart"/>
            <w:r>
              <w:t>Education</w:t>
            </w:r>
            <w:proofErr w:type="spellEnd"/>
          </w:p>
        </w:tc>
      </w:tr>
    </w:tbl>
    <w:p w:rsidR="007D3CA2" w:rsidRDefault="007D3CA2" w:rsidP="007D3CA2">
      <w:r>
        <w:t xml:space="preserve">The </w:t>
      </w:r>
      <w:proofErr w:type="spellStart"/>
      <w:r>
        <w:t>table</w:t>
      </w:r>
      <w:proofErr w:type="spellEnd"/>
      <w:r>
        <w:t xml:space="preserve"> shows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planning and have </w:t>
      </w:r>
      <w:proofErr w:type="spellStart"/>
      <w:r>
        <w:t>notified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</w:t>
      </w:r>
      <w:proofErr w:type="spellStart"/>
      <w:r>
        <w:t>exceeding</w:t>
      </w:r>
      <w:proofErr w:type="spellEnd"/>
      <w:r>
        <w:t xml:space="preserve"> NOK 100 million. It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as </w:t>
      </w:r>
      <w:proofErr w:type="spellStart"/>
      <w:r>
        <w:t>user-financed</w:t>
      </w:r>
      <w:proofErr w:type="spellEnd"/>
      <w:r>
        <w:t xml:space="preserve"> and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It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 in </w:t>
      </w:r>
      <w:proofErr w:type="spellStart"/>
      <w:r>
        <w:t>new</w:t>
      </w:r>
      <w:proofErr w:type="spellEnd"/>
      <w:r>
        <w:t xml:space="preserve"> hospital </w:t>
      </w:r>
      <w:proofErr w:type="spellStart"/>
      <w:r>
        <w:t>buildings</w:t>
      </w:r>
      <w:proofErr w:type="spellEnd"/>
      <w:r>
        <w:t xml:space="preserve">.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to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budgets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. The Ministry has not </w:t>
      </w:r>
      <w:proofErr w:type="spellStart"/>
      <w:r>
        <w:t>yet</w:t>
      </w:r>
      <w:proofErr w:type="spellEnd"/>
      <w:r>
        <w:t xml:space="preserve"> </w:t>
      </w:r>
      <w:proofErr w:type="spellStart"/>
      <w:r>
        <w:t>assessed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(</w:t>
      </w:r>
      <w:proofErr w:type="spellStart"/>
      <w:r>
        <w:t>scope</w:t>
      </w:r>
      <w:proofErr w:type="spellEnd"/>
      <w:r>
        <w:t xml:space="preserve">, </w:t>
      </w:r>
      <w:proofErr w:type="spellStart"/>
      <w:r>
        <w:t>need</w:t>
      </w:r>
      <w:proofErr w:type="spellEnd"/>
      <w:r>
        <w:t xml:space="preserve"> and </w:t>
      </w:r>
      <w:proofErr w:type="spellStart"/>
      <w:r>
        <w:t>priorities</w:t>
      </w:r>
      <w:proofErr w:type="spellEnd"/>
      <w:r>
        <w:t>).</w:t>
      </w:r>
    </w:p>
    <w:p w:rsidR="007D3CA2" w:rsidRDefault="007D3CA2" w:rsidP="007D3CA2">
      <w:pPr>
        <w:pStyle w:val="Overskrift2"/>
      </w:pPr>
      <w:proofErr w:type="spellStart"/>
      <w:r>
        <w:t>Buildings</w:t>
      </w:r>
      <w:proofErr w:type="spellEnd"/>
      <w:r>
        <w:t xml:space="preserve"> as an input </w:t>
      </w:r>
      <w:proofErr w:type="spellStart"/>
      <w:r>
        <w:t>factor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campus </w:t>
      </w:r>
      <w:proofErr w:type="spellStart"/>
      <w:r>
        <w:t>development</w:t>
      </w:r>
      <w:proofErr w:type="spellEnd"/>
    </w:p>
    <w:p w:rsidR="007D3CA2" w:rsidRDefault="007D3CA2" w:rsidP="007D3CA2">
      <w:pPr>
        <w:pStyle w:val="Overskrift3"/>
      </w:pPr>
      <w:r>
        <w:t xml:space="preserve">The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strategic</w:t>
      </w:r>
      <w:proofErr w:type="spellEnd"/>
      <w:r>
        <w:t xml:space="preserve"> campus </w:t>
      </w:r>
      <w:proofErr w:type="spellStart"/>
      <w:r>
        <w:t>development</w:t>
      </w:r>
      <w:proofErr w:type="spellEnd"/>
      <w:r>
        <w:t xml:space="preserve"> </w:t>
      </w:r>
    </w:p>
    <w:p w:rsidR="007D3CA2" w:rsidRDefault="007D3CA2" w:rsidP="007D3CA2">
      <w:r>
        <w:t xml:space="preserve">Long-term,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must be </w:t>
      </w:r>
      <w:proofErr w:type="spellStart"/>
      <w:r>
        <w:t>seen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’ overall </w:t>
      </w:r>
      <w:proofErr w:type="spellStart"/>
      <w:r>
        <w:t>strategies</w:t>
      </w:r>
      <w:proofErr w:type="spellEnd"/>
      <w:r>
        <w:t xml:space="preserve">, goals, plans and </w:t>
      </w:r>
      <w:proofErr w:type="spellStart"/>
      <w:r>
        <w:t>priorities</w:t>
      </w:r>
      <w:proofErr w:type="spellEnd"/>
      <w:r>
        <w:t xml:space="preserve">. The </w:t>
      </w:r>
      <w:proofErr w:type="spellStart"/>
      <w:r>
        <w:t>Act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students’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detailed</w:t>
      </w:r>
      <w:proofErr w:type="spellEnd"/>
      <w:r>
        <w:t xml:space="preserve"> in </w:t>
      </w:r>
      <w:proofErr w:type="spellStart"/>
      <w:r>
        <w:t>section</w:t>
      </w:r>
      <w:proofErr w:type="spellEnd"/>
      <w:r>
        <w:t xml:space="preserve"> 4-3. The </w:t>
      </w:r>
      <w:proofErr w:type="spellStart"/>
      <w:r>
        <w:t>board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must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dimensioned</w:t>
      </w:r>
      <w:proofErr w:type="spellEnd"/>
      <w:r>
        <w:t xml:space="preserve"> and </w:t>
      </w:r>
      <w:proofErr w:type="spellStart"/>
      <w:r>
        <w:t>equipped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, </w:t>
      </w:r>
      <w:proofErr w:type="spellStart"/>
      <w:r>
        <w:t>property</w:t>
      </w:r>
      <w:proofErr w:type="spellEnd"/>
      <w:r>
        <w:t xml:space="preserve"> managers have </w:t>
      </w:r>
      <w:proofErr w:type="spellStart"/>
      <w:r>
        <w:t>focused</w:t>
      </w:r>
      <w:proofErr w:type="spellEnd"/>
      <w:r>
        <w:t xml:space="preserve"> </w:t>
      </w:r>
      <w:proofErr w:type="spellStart"/>
      <w:r>
        <w:t>largely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make sure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safe to </w:t>
      </w:r>
      <w:proofErr w:type="spellStart"/>
      <w:r>
        <w:t>use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has in </w:t>
      </w:r>
      <w:proofErr w:type="spellStart"/>
      <w:r>
        <w:t>addition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more </w:t>
      </w:r>
      <w:proofErr w:type="spellStart"/>
      <w:r>
        <w:t>emphasis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to </w:t>
      </w:r>
      <w:proofErr w:type="spellStart"/>
      <w:r>
        <w:t>reflect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and to be </w:t>
      </w:r>
      <w:proofErr w:type="spellStart"/>
      <w:r>
        <w:t>suitable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taking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have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span, and it must be </w:t>
      </w:r>
      <w:proofErr w:type="spellStart"/>
      <w:r>
        <w:t>possible</w:t>
      </w:r>
      <w:proofErr w:type="spellEnd"/>
      <w:r>
        <w:t xml:space="preserve"> to </w:t>
      </w:r>
      <w:proofErr w:type="spellStart"/>
      <w:r>
        <w:t>adapt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new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. This is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in Chapter 8.4. </w:t>
      </w:r>
    </w:p>
    <w:p w:rsidR="007D3CA2" w:rsidRDefault="007D3CA2" w:rsidP="007D3CA2">
      <w:proofErr w:type="spellStart"/>
      <w:r>
        <w:t>Several</w:t>
      </w:r>
      <w:proofErr w:type="spellEnd"/>
      <w:r>
        <w:t xml:space="preserve"> studies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Knowledge Centre for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design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venues</w:t>
      </w:r>
      <w:proofErr w:type="spellEnd"/>
      <w:r>
        <w:t xml:space="preserve"> has an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types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and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used for.</w:t>
      </w:r>
      <w:r>
        <w:rPr>
          <w:vertAlign w:val="superscript"/>
        </w:rPr>
        <w:footnoteReference w:id="37"/>
      </w:r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show </w:t>
      </w:r>
      <w:proofErr w:type="spellStart"/>
      <w:r>
        <w:t>that</w:t>
      </w:r>
      <w:proofErr w:type="spellEnd"/>
      <w:r>
        <w:t xml:space="preserve"> spatial design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encourage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old </w:t>
      </w:r>
      <w:proofErr w:type="spellStart"/>
      <w:r>
        <w:t>practices</w:t>
      </w:r>
      <w:proofErr w:type="spellEnd"/>
      <w:r>
        <w:t xml:space="preserve"> or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from </w:t>
      </w:r>
      <w:proofErr w:type="spellStart"/>
      <w:r>
        <w:t>developing</w:t>
      </w:r>
      <w:proofErr w:type="spellEnd"/>
      <w:r>
        <w:t xml:space="preserve">. The </w:t>
      </w:r>
      <w:proofErr w:type="spellStart"/>
      <w:r>
        <w:t>knowledge</w:t>
      </w:r>
      <w:proofErr w:type="spellEnd"/>
      <w:r>
        <w:t xml:space="preserve"> base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is a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rooms</w:t>
      </w:r>
      <w:proofErr w:type="spellEnd"/>
      <w:r>
        <w:t xml:space="preserve"> and </w:t>
      </w:r>
      <w:proofErr w:type="spellStart"/>
      <w:r>
        <w:t>spaces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discussion</w:t>
      </w:r>
      <w:proofErr w:type="spellEnd"/>
      <w:r>
        <w:t xml:space="preserve">, </w:t>
      </w:r>
      <w:proofErr w:type="spellStart"/>
      <w:r>
        <w:t>participation</w:t>
      </w:r>
      <w:proofErr w:type="spellEnd"/>
      <w:r>
        <w:t xml:space="preserve"> and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and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must be 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design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and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rooms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students </w:t>
      </w:r>
      <w:proofErr w:type="spellStart"/>
      <w:r>
        <w:t>thrive</w:t>
      </w:r>
      <w:proofErr w:type="spellEnd"/>
      <w:r>
        <w:t xml:space="preserve">,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supposed</w:t>
      </w:r>
      <w:proofErr w:type="spellEnd"/>
      <w:r>
        <w:t xml:space="preserve"> to,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studies and </w:t>
      </w:r>
      <w:proofErr w:type="spellStart"/>
      <w:r>
        <w:t>achieve</w:t>
      </w:r>
      <w:proofErr w:type="spellEnd"/>
      <w:r>
        <w:t xml:space="preserve"> optimal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. Campus </w:t>
      </w:r>
      <w:proofErr w:type="spellStart"/>
      <w:r>
        <w:t>development</w:t>
      </w:r>
      <w:proofErr w:type="spellEnd"/>
      <w:r>
        <w:t xml:space="preserve"> is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requires</w:t>
      </w:r>
      <w:proofErr w:type="spellEnd"/>
      <w:r>
        <w:t xml:space="preserve"> management </w:t>
      </w:r>
      <w:proofErr w:type="spellStart"/>
      <w:r>
        <w:t>accountability</w:t>
      </w:r>
      <w:proofErr w:type="spellEnd"/>
      <w:r>
        <w:t xml:space="preserve"> for and </w:t>
      </w:r>
      <w:proofErr w:type="spellStart"/>
      <w:r>
        <w:t>ownership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restructuring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all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. </w:t>
      </w:r>
      <w:proofErr w:type="spellStart"/>
      <w:r>
        <w:t>Figure</w:t>
      </w:r>
      <w:proofErr w:type="spellEnd"/>
      <w:r>
        <w:t xml:space="preserve"> 8.3 </w:t>
      </w:r>
      <w:proofErr w:type="spellStart"/>
      <w:r>
        <w:t>illustrates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links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proofErr w:type="spellStart"/>
      <w:r>
        <w:t>institution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design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spaces</w:t>
      </w:r>
      <w:proofErr w:type="spellEnd"/>
      <w:r>
        <w:t>.</w:t>
      </w:r>
    </w:p>
    <w:p w:rsidR="007D3CA2" w:rsidRDefault="006E6F2E" w:rsidP="006E6F2E">
      <w:pPr>
        <w:pStyle w:val="Figur"/>
      </w:pPr>
      <w:proofErr w:type="gramStart"/>
      <w:r>
        <w:lastRenderedPageBreak/>
        <w:t>[:figur</w:t>
      </w:r>
      <w:proofErr w:type="gramEnd"/>
      <w:r>
        <w:t>:fig8-3.jpg]</w:t>
      </w:r>
    </w:p>
    <w:p w:rsidR="007D3CA2" w:rsidRDefault="007D3CA2" w:rsidP="007D3CA2">
      <w:pPr>
        <w:pStyle w:val="figur-tittel"/>
      </w:pPr>
      <w:r>
        <w:t xml:space="preserve">Links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proofErr w:type="spellStart"/>
      <w:r>
        <w:t>institution</w:t>
      </w:r>
      <w:proofErr w:type="spellEnd"/>
      <w:r>
        <w:t xml:space="preserve">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infrastructure</w:t>
      </w:r>
      <w:proofErr w:type="spellEnd"/>
    </w:p>
    <w:p w:rsidR="007D3CA2" w:rsidRDefault="007D3CA2" w:rsidP="007D3CA2">
      <w:pPr>
        <w:pStyle w:val="Overskrift3"/>
      </w:pPr>
      <w:r>
        <w:t xml:space="preserve">Campus </w:t>
      </w:r>
      <w:proofErr w:type="spellStart"/>
      <w:r>
        <w:t>development</w:t>
      </w:r>
      <w:proofErr w:type="spellEnd"/>
      <w:r>
        <w:t xml:space="preserve"> plans </w:t>
      </w:r>
    </w:p>
    <w:p w:rsidR="007D3CA2" w:rsidRDefault="007D3CA2" w:rsidP="007D3CA2">
      <w:r>
        <w:t xml:space="preserve">Campus </w:t>
      </w:r>
      <w:proofErr w:type="spellStart"/>
      <w:r>
        <w:t>development</w:t>
      </w:r>
      <w:proofErr w:type="spellEnd"/>
      <w:r>
        <w:t xml:space="preserve"> plans </w:t>
      </w:r>
      <w:proofErr w:type="spellStart"/>
      <w:r>
        <w:t>are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for forward-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single-campus and </w:t>
      </w:r>
      <w:proofErr w:type="spellStart"/>
      <w:r>
        <w:t>multi</w:t>
      </w:r>
      <w:proofErr w:type="spellEnd"/>
      <w:r>
        <w:t xml:space="preserve">-campus </w:t>
      </w:r>
      <w:proofErr w:type="spellStart"/>
      <w:r>
        <w:t>institutions</w:t>
      </w:r>
      <w:proofErr w:type="spellEnd"/>
      <w:r>
        <w:t xml:space="preserve">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supports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. The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has </w:t>
      </w:r>
      <w:proofErr w:type="spellStart"/>
      <w:r>
        <w:t>asked</w:t>
      </w:r>
      <w:proofErr w:type="spellEnd"/>
      <w:r>
        <w:t xml:space="preserve"> all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</w:t>
      </w:r>
      <w:bookmarkStart w:id="1" w:name="RTF5f476f4261636b"/>
      <w:r>
        <w:t>niversity</w:t>
      </w:r>
      <w:proofErr w:type="spellEnd"/>
      <w:r>
        <w:t xml:space="preserve"> colleges to </w:t>
      </w:r>
      <w:proofErr w:type="spellStart"/>
      <w:r>
        <w:t>prepare</w:t>
      </w:r>
      <w:proofErr w:type="spellEnd"/>
      <w:r>
        <w:t xml:space="preserve"> ca</w:t>
      </w:r>
      <w:bookmarkEnd w:id="1"/>
      <w:r>
        <w:t xml:space="preserve">mpus </w:t>
      </w:r>
      <w:proofErr w:type="spellStart"/>
      <w:r>
        <w:t>development</w:t>
      </w:r>
      <w:proofErr w:type="spellEnd"/>
      <w:r>
        <w:t xml:space="preserve"> plans, </w:t>
      </w:r>
      <w:proofErr w:type="spellStart"/>
      <w:r>
        <w:t>see</w:t>
      </w:r>
      <w:proofErr w:type="spellEnd"/>
      <w:r>
        <w:t xml:space="preserve"> Chapter 8.2.2. The </w:t>
      </w:r>
      <w:proofErr w:type="spellStart"/>
      <w:r>
        <w:t>knowledge</w:t>
      </w:r>
      <w:proofErr w:type="spellEnd"/>
      <w:r>
        <w:t xml:space="preserve"> base </w:t>
      </w:r>
      <w:proofErr w:type="spellStart"/>
      <w:r>
        <w:t>prepared</w:t>
      </w:r>
      <w:proofErr w:type="spellEnd"/>
      <w:r>
        <w:t xml:space="preserve"> by Statsbygg shows </w:t>
      </w:r>
      <w:proofErr w:type="spellStart"/>
      <w:r>
        <w:t>that</w:t>
      </w:r>
      <w:proofErr w:type="spellEnd"/>
      <w:r>
        <w:t xml:space="preserve"> 13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21 </w:t>
      </w:r>
      <w:proofErr w:type="spellStart"/>
      <w:r>
        <w:t>institutions</w:t>
      </w:r>
      <w:proofErr w:type="spellEnd"/>
      <w:r>
        <w:t xml:space="preserve"> have campus </w:t>
      </w:r>
      <w:proofErr w:type="spellStart"/>
      <w:r>
        <w:t>development</w:t>
      </w:r>
      <w:proofErr w:type="spellEnd"/>
      <w:r>
        <w:t xml:space="preserve"> plans for </w:t>
      </w:r>
      <w:proofErr w:type="spellStart"/>
      <w:r>
        <w:t>one</w:t>
      </w:r>
      <w:proofErr w:type="spellEnd"/>
      <w:r>
        <w:t xml:space="preserve"> or more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campuses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have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merged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preparing </w:t>
      </w:r>
      <w:proofErr w:type="spellStart"/>
      <w:r>
        <w:t>new</w:t>
      </w:r>
      <w:proofErr w:type="spellEnd"/>
      <w:r>
        <w:t xml:space="preserve"> or </w:t>
      </w:r>
      <w:proofErr w:type="spellStart"/>
      <w:r>
        <w:t>revised</w:t>
      </w:r>
      <w:proofErr w:type="spellEnd"/>
      <w:r>
        <w:t xml:space="preserve"> plans in order to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and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 from a </w:t>
      </w:r>
      <w:proofErr w:type="spellStart"/>
      <w:r>
        <w:t>multi</w:t>
      </w:r>
      <w:proofErr w:type="spellEnd"/>
      <w:r>
        <w:t xml:space="preserve">-campus </w:t>
      </w:r>
      <w:proofErr w:type="spellStart"/>
      <w:r>
        <w:t>structure</w:t>
      </w:r>
      <w:proofErr w:type="spellEnd"/>
      <w:r>
        <w:t xml:space="preserve">. The </w:t>
      </w:r>
      <w:proofErr w:type="spellStart"/>
      <w:r>
        <w:t>structure</w:t>
      </w:r>
      <w:proofErr w:type="spellEnd"/>
      <w:r>
        <w:t xml:space="preserve"> and time </w:t>
      </w:r>
      <w:proofErr w:type="spellStart"/>
      <w:r>
        <w:t>horizons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plans </w:t>
      </w:r>
      <w:proofErr w:type="spellStart"/>
      <w:r>
        <w:t>vary</w:t>
      </w:r>
      <w:proofErr w:type="spellEnd"/>
      <w:r>
        <w:t xml:space="preserve">. The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Oslo, Bergen and Stavanger and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 have long-term plans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extend</w:t>
      </w:r>
      <w:proofErr w:type="spellEnd"/>
      <w:r>
        <w:t xml:space="preserve"> to 2040 or </w:t>
      </w:r>
      <w:proofErr w:type="spellStart"/>
      <w:r>
        <w:t>beyond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plans have a </w:t>
      </w:r>
      <w:proofErr w:type="spellStart"/>
      <w:r>
        <w:t>shorter</w:t>
      </w:r>
      <w:proofErr w:type="spellEnd"/>
      <w:r>
        <w:t xml:space="preserve"> time </w:t>
      </w:r>
      <w:proofErr w:type="spellStart"/>
      <w:r>
        <w:t>horizon</w:t>
      </w:r>
      <w:proofErr w:type="spellEnd"/>
      <w:r>
        <w:t xml:space="preserve">, up to 2020–2025. The plans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vary</w:t>
      </w:r>
      <w:proofErr w:type="spellEnd"/>
      <w:r>
        <w:t xml:space="preserve"> in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reflect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’ overall </w:t>
      </w:r>
      <w:proofErr w:type="spellStart"/>
      <w:r>
        <w:t>strategy</w:t>
      </w:r>
      <w:proofErr w:type="spellEnd"/>
      <w:r>
        <w:t xml:space="preserve">,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as </w:t>
      </w:r>
      <w:proofErr w:type="gramStart"/>
      <w:r>
        <w:t>real management</w:t>
      </w:r>
      <w:proofErr w:type="gramEnd"/>
      <w:r>
        <w:t xml:space="preserve"> </w:t>
      </w:r>
      <w:proofErr w:type="spellStart"/>
      <w:r>
        <w:t>tools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</w:t>
      </w:r>
    </w:p>
    <w:p w:rsidR="007D3CA2" w:rsidRDefault="007D3CA2" w:rsidP="007D3CA2"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estates</w:t>
      </w:r>
      <w:proofErr w:type="spellEnd"/>
      <w:r>
        <w:t xml:space="preserve"> must be </w:t>
      </w:r>
      <w:proofErr w:type="spellStart"/>
      <w:r>
        <w:t>managed</w:t>
      </w:r>
      <w:proofErr w:type="spellEnd"/>
      <w:r>
        <w:t xml:space="preserve"> and </w:t>
      </w:r>
      <w:proofErr w:type="spellStart"/>
      <w:r>
        <w:t>developed</w:t>
      </w:r>
      <w:proofErr w:type="spellEnd"/>
      <w:r>
        <w:t xml:space="preserve"> in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support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It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set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 for </w:t>
      </w:r>
      <w:proofErr w:type="spellStart"/>
      <w:r>
        <w:t>resources</w:t>
      </w:r>
      <w:proofErr w:type="spellEnd"/>
      <w:r>
        <w:t xml:space="preserve"> to be used for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 xml:space="preserve">. Thus, campus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an integral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’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, and </w:t>
      </w:r>
      <w:proofErr w:type="spellStart"/>
      <w:r>
        <w:t>they</w:t>
      </w:r>
      <w:proofErr w:type="spellEnd"/>
      <w:r>
        <w:t xml:space="preserve"> must </w:t>
      </w:r>
      <w:proofErr w:type="spellStart"/>
      <w:r>
        <w:t>develop</w:t>
      </w:r>
      <w:proofErr w:type="spellEnd"/>
      <w:r>
        <w:t xml:space="preserve"> a sound </w:t>
      </w:r>
      <w:proofErr w:type="spellStart"/>
      <w:r>
        <w:t>approach</w:t>
      </w:r>
      <w:proofErr w:type="spellEnd"/>
      <w:r>
        <w:t xml:space="preserve"> </w:t>
      </w:r>
      <w:proofErr w:type="gramStart"/>
      <w:r>
        <w:t>to innovative and</w:t>
      </w:r>
      <w:proofErr w:type="gram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estates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to have campus </w:t>
      </w:r>
      <w:proofErr w:type="spellStart"/>
      <w:r>
        <w:t>development</w:t>
      </w:r>
      <w:proofErr w:type="spellEnd"/>
      <w:r>
        <w:t xml:space="preserve"> plans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estates</w:t>
      </w:r>
      <w:proofErr w:type="spellEnd"/>
      <w:r>
        <w:t xml:space="preserve"> and support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and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priorities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: </w:t>
      </w:r>
    </w:p>
    <w:p w:rsidR="007D3CA2" w:rsidRDefault="007D3CA2" w:rsidP="007D3CA2">
      <w:pPr>
        <w:pStyle w:val="Liste"/>
      </w:pPr>
      <w:proofErr w:type="spellStart"/>
      <w:r>
        <w:t>evaluate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for campus </w:t>
      </w:r>
      <w:proofErr w:type="spellStart"/>
      <w:r>
        <w:t>development</w:t>
      </w:r>
      <w:proofErr w:type="spellEnd"/>
      <w:r>
        <w:t xml:space="preserve"> plans by 2022.</w:t>
      </w:r>
    </w:p>
    <w:p w:rsidR="007D3CA2" w:rsidRDefault="007D3CA2" w:rsidP="007D3CA2">
      <w:pPr>
        <w:pStyle w:val="tittel-ramme"/>
      </w:pPr>
      <w:proofErr w:type="spellStart"/>
      <w:r>
        <w:t>Concept</w:t>
      </w:r>
      <w:proofErr w:type="spellEnd"/>
      <w:r>
        <w:t xml:space="preserve"> for </w:t>
      </w:r>
      <w:proofErr w:type="spellStart"/>
      <w:r>
        <w:t>new</w:t>
      </w:r>
      <w:proofErr w:type="spellEnd"/>
      <w:r>
        <w:t xml:space="preserve"> Campus NTNU in Trondheim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concept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campus for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 in Trondheim. This </w:t>
      </w:r>
      <w:proofErr w:type="spellStart"/>
      <w:r>
        <w:t>involves</w:t>
      </w:r>
      <w:proofErr w:type="spellEnd"/>
      <w:r>
        <w:t xml:space="preserve"> a </w:t>
      </w:r>
      <w:proofErr w:type="spellStart"/>
      <w:r>
        <w:t>unified</w:t>
      </w:r>
      <w:proofErr w:type="spellEnd"/>
      <w:r>
        <w:t xml:space="preserve"> campus </w:t>
      </w:r>
      <w:proofErr w:type="spellStart"/>
      <w:r>
        <w:t>achieved</w:t>
      </w:r>
      <w:proofErr w:type="spellEnd"/>
      <w:r>
        <w:t xml:space="preserve"> by </w:t>
      </w:r>
      <w:proofErr w:type="spellStart"/>
      <w:r>
        <w:t>relocating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humanities</w:t>
      </w:r>
      <w:proofErr w:type="spellEnd"/>
      <w:r>
        <w:t xml:space="preserve"> and </w:t>
      </w:r>
      <w:proofErr w:type="spellStart"/>
      <w:r>
        <w:t>social</w:t>
      </w:r>
      <w:proofErr w:type="spellEnd"/>
      <w:r>
        <w:t xml:space="preserve"> science </w:t>
      </w:r>
      <w:proofErr w:type="spellStart"/>
      <w:r>
        <w:t>faculties</w:t>
      </w:r>
      <w:proofErr w:type="spellEnd"/>
      <w:r>
        <w:t xml:space="preserve"> from Dragvoll, and </w:t>
      </w:r>
      <w:proofErr w:type="spellStart"/>
      <w:r>
        <w:t>the</w:t>
      </w:r>
      <w:proofErr w:type="spellEnd"/>
      <w:r>
        <w:t xml:space="preserve"> art, </w:t>
      </w:r>
      <w:proofErr w:type="spellStart"/>
      <w:r>
        <w:t>architecture</w:t>
      </w:r>
      <w:proofErr w:type="spellEnd"/>
      <w:r>
        <w:t xml:space="preserve"> and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faculties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from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city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Gløshaugen campus. The </w:t>
      </w:r>
      <w:proofErr w:type="spellStart"/>
      <w:r>
        <w:t>upper</w:t>
      </w:r>
      <w:proofErr w:type="spellEnd"/>
      <w:r>
        <w:t xml:space="preserve"> limits </w:t>
      </w:r>
      <w:proofErr w:type="spellStart"/>
      <w:r>
        <w:t>of</w:t>
      </w:r>
      <w:proofErr w:type="spellEnd"/>
      <w:r>
        <w:t xml:space="preserve"> 92 000 m</w:t>
      </w:r>
      <w:r>
        <w:rPr>
          <w:rStyle w:val="skrift-hevet"/>
          <w:sz w:val="21"/>
          <w:szCs w:val="21"/>
        </w:rPr>
        <w:t>2</w:t>
      </w:r>
      <w:r>
        <w:t xml:space="preserve"> gross </w:t>
      </w:r>
      <w:proofErr w:type="spellStart"/>
      <w:r>
        <w:t>newbuilds</w:t>
      </w:r>
      <w:proofErr w:type="spellEnd"/>
      <w:r>
        <w:t xml:space="preserve"> and 45 000 m</w:t>
      </w:r>
      <w:r>
        <w:rPr>
          <w:rStyle w:val="skrift-hevet"/>
          <w:sz w:val="21"/>
          <w:szCs w:val="21"/>
        </w:rPr>
        <w:t>2</w:t>
      </w:r>
      <w:r>
        <w:t xml:space="preserve"> gross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alterations</w:t>
      </w:r>
      <w:proofErr w:type="spellEnd"/>
      <w:r>
        <w:t xml:space="preserve"> at Gløshaugen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continuity</w:t>
      </w:r>
      <w:proofErr w:type="spellEnd"/>
      <w:r>
        <w:t xml:space="preserve"> and an </w:t>
      </w:r>
      <w:proofErr w:type="spellStart"/>
      <w:r>
        <w:t>integrated</w:t>
      </w:r>
      <w:proofErr w:type="spellEnd"/>
      <w:r>
        <w:t xml:space="preserve"> planning </w:t>
      </w:r>
      <w:proofErr w:type="spellStart"/>
      <w:r>
        <w:t>process</w:t>
      </w:r>
      <w:proofErr w:type="spellEnd"/>
      <w:r>
        <w:t xml:space="preserve"> to be </w:t>
      </w:r>
      <w:proofErr w:type="spellStart"/>
      <w:r>
        <w:t>important</w:t>
      </w:r>
      <w:proofErr w:type="spellEnd"/>
      <w:r>
        <w:t>. The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must </w:t>
      </w:r>
      <w:proofErr w:type="spellStart"/>
      <w:r>
        <w:t>include</w:t>
      </w:r>
      <w:proofErr w:type="spellEnd"/>
      <w:r>
        <w:t xml:space="preserve"> an </w:t>
      </w:r>
      <w:proofErr w:type="spellStart"/>
      <w:r>
        <w:lastRenderedPageBreak/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carrying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 </w:t>
      </w:r>
      <w:proofErr w:type="spellStart"/>
      <w:r>
        <w:t>phased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completion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over a </w:t>
      </w:r>
      <w:proofErr w:type="spellStart"/>
      <w:r>
        <w:t>ten-year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costs</w:t>
      </w:r>
      <w:proofErr w:type="spellEnd"/>
      <w:r>
        <w:t xml:space="preserve"> must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and NTNU,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is to plan a forward-</w:t>
      </w:r>
      <w:proofErr w:type="spellStart"/>
      <w:r>
        <w:t>looking</w:t>
      </w:r>
      <w:proofErr w:type="spellEnd"/>
      <w:r>
        <w:t xml:space="preserve">, </w:t>
      </w:r>
      <w:proofErr w:type="spellStart"/>
      <w:r>
        <w:t>unified</w:t>
      </w:r>
      <w:proofErr w:type="spellEnd"/>
      <w:r>
        <w:t xml:space="preserve"> campus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model</w:t>
      </w:r>
      <w:proofErr w:type="spellEnd"/>
      <w:r>
        <w:t xml:space="preserve"> for </w:t>
      </w:r>
      <w:proofErr w:type="spellStart"/>
      <w:r>
        <w:t>future</w:t>
      </w:r>
      <w:proofErr w:type="spellEnd"/>
      <w:r>
        <w:t xml:space="preserve"> public-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in Norway. The Storting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ambitious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more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. </w:t>
      </w:r>
    </w:p>
    <w:p w:rsidR="007D3CA2" w:rsidRDefault="007D3CA2" w:rsidP="007D3CA2">
      <w:r>
        <w:t xml:space="preserve">The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has </w:t>
      </w:r>
      <w:proofErr w:type="spellStart"/>
      <w:r>
        <w:t>commissioned</w:t>
      </w:r>
      <w:proofErr w:type="spellEnd"/>
      <w:r>
        <w:t xml:space="preserve"> Statsbygg to </w:t>
      </w:r>
      <w:proofErr w:type="spellStart"/>
      <w:r>
        <w:t>prepare</w:t>
      </w:r>
      <w:proofErr w:type="spellEnd"/>
      <w:r>
        <w:t xml:space="preserve"> a pre-</w:t>
      </w:r>
      <w:proofErr w:type="spellStart"/>
      <w:r>
        <w:t>study</w:t>
      </w:r>
      <w:proofErr w:type="spellEnd"/>
      <w:r>
        <w:t xml:space="preserve"> report for Campus NTNU </w:t>
      </w:r>
      <w:proofErr w:type="spellStart"/>
      <w:r>
        <w:t>which</w:t>
      </w:r>
      <w:proofErr w:type="spellEnd"/>
      <w:r>
        <w:t xml:space="preserve"> to be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end </w:t>
      </w:r>
      <w:proofErr w:type="spellStart"/>
      <w:r>
        <w:t>of</w:t>
      </w:r>
      <w:proofErr w:type="spellEnd"/>
      <w:r>
        <w:t xml:space="preserve"> 2018. The pre-</w:t>
      </w:r>
      <w:proofErr w:type="spellStart"/>
      <w:r>
        <w:t>study</w:t>
      </w:r>
      <w:proofErr w:type="spellEnd"/>
      <w:r>
        <w:t xml:space="preserve"> report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undergo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assurance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>.</w:t>
      </w:r>
    </w:p>
    <w:p w:rsidR="007D3CA2" w:rsidRDefault="007D3CA2">
      <w:pPr>
        <w:pStyle w:val="Ramme-slutt"/>
        <w:rPr>
          <w:sz w:val="26"/>
          <w:szCs w:val="26"/>
        </w:rPr>
      </w:pPr>
      <w:r>
        <w:rPr>
          <w:sz w:val="26"/>
          <w:szCs w:val="26"/>
        </w:rPr>
        <w:t>Rammeslutt</w:t>
      </w:r>
    </w:p>
    <w:p w:rsidR="007D3CA2" w:rsidRDefault="007D3CA2" w:rsidP="007D3CA2">
      <w:pPr>
        <w:pStyle w:val="Overskrift2"/>
      </w:pPr>
      <w:r>
        <w:t xml:space="preserve">Development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needs</w:t>
      </w:r>
      <w:proofErr w:type="spellEnd"/>
    </w:p>
    <w:p w:rsidR="007D3CA2" w:rsidRDefault="007D3CA2" w:rsidP="007D3CA2"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purpose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and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achievement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objectives</w:t>
      </w:r>
      <w:proofErr w:type="spellEnd"/>
      <w:r>
        <w:t xml:space="preserve">. The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building</w:t>
      </w:r>
      <w:proofErr w:type="spellEnd"/>
      <w:r>
        <w:t xml:space="preserve"> is </w:t>
      </w:r>
      <w:proofErr w:type="spellStart"/>
      <w:r>
        <w:t>determined</w:t>
      </w:r>
      <w:proofErr w:type="spellEnd"/>
      <w:r>
        <w:t xml:space="preserve"> by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it serves </w:t>
      </w:r>
      <w:proofErr w:type="spellStart"/>
      <w:r>
        <w:t>its</w:t>
      </w:r>
      <w:proofErr w:type="spellEnd"/>
      <w:r>
        <w:t xml:space="preserve"> purpose 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, not </w:t>
      </w:r>
      <w:proofErr w:type="spellStart"/>
      <w:r>
        <w:t>merely</w:t>
      </w:r>
      <w:proofErr w:type="spellEnd"/>
      <w:r>
        <w:t xml:space="preserve"> by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it is </w:t>
      </w:r>
      <w:proofErr w:type="spellStart"/>
      <w:r>
        <w:t>maintained</w:t>
      </w:r>
      <w:proofErr w:type="spellEnd"/>
      <w:r>
        <w:t xml:space="preserve">.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planning </w:t>
      </w:r>
      <w:proofErr w:type="spellStart"/>
      <w:r>
        <w:t>horizon</w:t>
      </w:r>
      <w:proofErr w:type="spellEnd"/>
      <w:r>
        <w:t xml:space="preserve">, most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exist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. More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needed</w:t>
      </w:r>
      <w:proofErr w:type="spellEnd"/>
      <w:r>
        <w:t xml:space="preserve"> as student </w:t>
      </w:r>
      <w:proofErr w:type="spellStart"/>
      <w:r>
        <w:t>numbers</w:t>
      </w:r>
      <w:proofErr w:type="spellEnd"/>
      <w:r>
        <w:t xml:space="preserve"> and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, and it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adapt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to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Centres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Excellence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,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co-location and </w:t>
      </w:r>
      <w:proofErr w:type="spellStart"/>
      <w:r>
        <w:t>mergers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it vital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areas </w:t>
      </w:r>
      <w:proofErr w:type="spellStart"/>
      <w:r>
        <w:t>can</w:t>
      </w:r>
      <w:proofErr w:type="spellEnd"/>
      <w:r>
        <w:t xml:space="preserve"> be used in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:rsidR="007D3CA2" w:rsidRDefault="007D3CA2" w:rsidP="007D3CA2">
      <w:pPr>
        <w:pStyle w:val="Overskrift3"/>
      </w:pPr>
      <w:proofErr w:type="spellStart"/>
      <w:r>
        <w:t>Growing</w:t>
      </w:r>
      <w:proofErr w:type="spellEnd"/>
      <w:r>
        <w:t xml:space="preserve"> student </w:t>
      </w:r>
      <w:proofErr w:type="spellStart"/>
      <w:r>
        <w:t>numbers</w:t>
      </w:r>
      <w:proofErr w:type="spellEnd"/>
    </w:p>
    <w:p w:rsidR="007D3CA2" w:rsidRDefault="007D3CA2" w:rsidP="007D3CA2">
      <w:r>
        <w:t xml:space="preserve">Like </w:t>
      </w:r>
      <w:proofErr w:type="spellStart"/>
      <w:r>
        <w:t>other</w:t>
      </w:r>
      <w:proofErr w:type="spellEnd"/>
      <w:r>
        <w:t xml:space="preserve"> OECD </w:t>
      </w:r>
      <w:proofErr w:type="spellStart"/>
      <w:r>
        <w:t>countries</w:t>
      </w:r>
      <w:proofErr w:type="spellEnd"/>
      <w:r>
        <w:t xml:space="preserve">, Norway has </w:t>
      </w:r>
      <w:proofErr w:type="spellStart"/>
      <w:r>
        <w:t>experienced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In 1970,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50 000 students in Norway. By 2017,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to 257 000.</w:t>
      </w:r>
      <w:r>
        <w:rPr>
          <w:vertAlign w:val="superscript"/>
        </w:rPr>
        <w:footnoteReference w:id="38"/>
      </w:r>
      <w:r>
        <w:t xml:space="preserve"> The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students </w:t>
      </w:r>
      <w:proofErr w:type="spellStart"/>
      <w:r>
        <w:t>increased</w:t>
      </w:r>
      <w:proofErr w:type="spellEnd"/>
      <w:r>
        <w:t xml:space="preserve"> by 37 per cent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1997–2016, most </w:t>
      </w:r>
      <w:proofErr w:type="spellStart"/>
      <w:r>
        <w:t>rapidly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ten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The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staff </w:t>
      </w:r>
      <w:proofErr w:type="spellStart"/>
      <w:r>
        <w:t>increased</w:t>
      </w:r>
      <w:proofErr w:type="spellEnd"/>
      <w:r>
        <w:t xml:space="preserve"> by 63 per cent in </w:t>
      </w:r>
      <w:proofErr w:type="spellStart"/>
      <w:r>
        <w:t>the</w:t>
      </w:r>
      <w:proofErr w:type="spellEnd"/>
      <w:r>
        <w:t xml:space="preserve"> same </w:t>
      </w:r>
      <w:proofErr w:type="spellStart"/>
      <w:r>
        <w:t>period</w:t>
      </w:r>
      <w:proofErr w:type="spellEnd"/>
      <w:r>
        <w:t xml:space="preserve">. The </w:t>
      </w:r>
      <w:proofErr w:type="spellStart"/>
      <w:r>
        <w:t>need</w:t>
      </w:r>
      <w:proofErr w:type="spellEnd"/>
      <w:r>
        <w:t xml:space="preserve"> for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has </w:t>
      </w:r>
      <w:proofErr w:type="spellStart"/>
      <w:r>
        <w:t>implications</w:t>
      </w:r>
      <w:proofErr w:type="spellEnd"/>
      <w:r>
        <w:t xml:space="preserve"> for campus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and services </w:t>
      </w:r>
      <w:proofErr w:type="spellStart"/>
      <w:r>
        <w:t>such</w:t>
      </w:r>
      <w:proofErr w:type="spellEnd"/>
      <w:r>
        <w:t xml:space="preserve"> as student </w:t>
      </w:r>
      <w:proofErr w:type="spellStart"/>
      <w:r>
        <w:t>housing</w:t>
      </w:r>
      <w:proofErr w:type="spellEnd"/>
      <w:r>
        <w:t xml:space="preserve"> and transport. One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increased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is at UiT The Arctic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Norway, </w:t>
      </w:r>
      <w:proofErr w:type="spellStart"/>
      <w:r>
        <w:t>where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for </w:t>
      </w:r>
      <w:proofErr w:type="spellStart"/>
      <w:r>
        <w:t>medicine</w:t>
      </w:r>
      <w:proofErr w:type="spellEnd"/>
      <w:r>
        <w:t xml:space="preserve"> and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in 2018 and student </w:t>
      </w:r>
      <w:proofErr w:type="spellStart"/>
      <w:r>
        <w:t>housing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Breivika campus in Tromsø.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not be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driving force for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renovation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births</w:t>
      </w:r>
      <w:proofErr w:type="spellEnd"/>
      <w:r>
        <w:t xml:space="preserve"> in Norway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few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cohorts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a </w:t>
      </w:r>
      <w:proofErr w:type="spellStart"/>
      <w:r>
        <w:t>historically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in 20 </w:t>
      </w:r>
      <w:proofErr w:type="spellStart"/>
      <w:r>
        <w:t>years</w:t>
      </w:r>
      <w:proofErr w:type="spellEnd"/>
      <w:r>
        <w:t xml:space="preserve">’ time. </w:t>
      </w:r>
      <w:proofErr w:type="spellStart"/>
      <w:r>
        <w:t>Statsbygg’s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indicates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utilised</w:t>
      </w:r>
      <w:proofErr w:type="spellEnd"/>
      <w:r>
        <w:t xml:space="preserve"> </w:t>
      </w:r>
      <w:proofErr w:type="spellStart"/>
      <w:r>
        <w:t>better</w:t>
      </w:r>
      <w:proofErr w:type="spellEnd"/>
      <w:r>
        <w:t>.</w:t>
      </w:r>
      <w:r>
        <w:rPr>
          <w:vertAlign w:val="superscript"/>
        </w:rPr>
        <w:footnoteReference w:id="39"/>
      </w:r>
      <w:r>
        <w:t xml:space="preserve"> </w:t>
      </w:r>
    </w:p>
    <w:p w:rsidR="007D3CA2" w:rsidRDefault="007D3CA2" w:rsidP="007D3CA2">
      <w:pPr>
        <w:pStyle w:val="Overskrift3"/>
      </w:pPr>
      <w:proofErr w:type="spellStart"/>
      <w:r>
        <w:t>Mergers</w:t>
      </w:r>
      <w:proofErr w:type="spellEnd"/>
      <w:r>
        <w:t xml:space="preserve"> and co-location</w:t>
      </w:r>
    </w:p>
    <w:p w:rsidR="007D3CA2" w:rsidRDefault="007D3CA2" w:rsidP="007D3CA2">
      <w:proofErr w:type="spellStart"/>
      <w:r>
        <w:t>Many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major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have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large-scale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mergers</w:t>
      </w:r>
      <w:proofErr w:type="spellEnd"/>
      <w:r>
        <w:t xml:space="preserve">. The first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college reform in 1994,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Storting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98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were</w:t>
      </w:r>
      <w:proofErr w:type="spellEnd"/>
      <w:r>
        <w:t xml:space="preserve"> to be </w:t>
      </w:r>
      <w:proofErr w:type="spellStart"/>
      <w:r>
        <w:t>merged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26 </w:t>
      </w:r>
      <w:proofErr w:type="spellStart"/>
      <w:r>
        <w:t>larger</w:t>
      </w:r>
      <w:proofErr w:type="spellEnd"/>
      <w:r>
        <w:t xml:space="preserve"> units. The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reform </w:t>
      </w:r>
      <w:proofErr w:type="spellStart"/>
      <w:r>
        <w:t>adopted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Storting in 2015. As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reform, Norway </w:t>
      </w:r>
      <w:proofErr w:type="spellStart"/>
      <w:r>
        <w:t>now</w:t>
      </w:r>
      <w:proofErr w:type="spellEnd"/>
      <w:r>
        <w:t xml:space="preserve"> has 21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lastRenderedPageBreak/>
        <w:t>university</w:t>
      </w:r>
      <w:proofErr w:type="spellEnd"/>
      <w:r>
        <w:t xml:space="preserve"> colleges </w:t>
      </w:r>
      <w:proofErr w:type="spellStart"/>
      <w:r>
        <w:t>split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90 </w:t>
      </w:r>
      <w:proofErr w:type="spellStart"/>
      <w:r>
        <w:t>campuses</w:t>
      </w:r>
      <w:proofErr w:type="spellEnd"/>
      <w:r>
        <w:t>.</w:t>
      </w:r>
      <w:r>
        <w:rPr>
          <w:vertAlign w:val="superscript"/>
        </w:rPr>
        <w:footnoteReference w:id="40"/>
      </w:r>
      <w:r>
        <w:t xml:space="preserve"> Construction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co-location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Campus Ås (for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Life Sciences, </w:t>
      </w:r>
      <w:proofErr w:type="spellStart"/>
      <w:r>
        <w:t>formed</w:t>
      </w:r>
      <w:proofErr w:type="spellEnd"/>
      <w:r>
        <w:t xml:space="preserve"> by </w:t>
      </w:r>
      <w:proofErr w:type="spellStart"/>
      <w:r>
        <w:t>merging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for Environment and Life Sciences in Ås and </w:t>
      </w:r>
      <w:proofErr w:type="spellStart"/>
      <w:r>
        <w:t>the</w:t>
      </w:r>
      <w:proofErr w:type="spellEnd"/>
      <w:r>
        <w:t xml:space="preserve"> Norwegian School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Veterinary</w:t>
      </w:r>
      <w:proofErr w:type="spellEnd"/>
      <w:r>
        <w:t xml:space="preserve"> Science in Oslo;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Veterinary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is </w:t>
      </w:r>
      <w:proofErr w:type="spellStart"/>
      <w:r>
        <w:t>being</w:t>
      </w:r>
      <w:proofErr w:type="spellEnd"/>
      <w:r>
        <w:t xml:space="preserve"> co-</w:t>
      </w:r>
      <w:proofErr w:type="spellStart"/>
      <w:r>
        <w:t>located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Life Sciences), Campus Kronstad for </w:t>
      </w:r>
      <w:proofErr w:type="spellStart"/>
      <w:r>
        <w:t>the</w:t>
      </w:r>
      <w:proofErr w:type="spellEnd"/>
      <w:r>
        <w:t xml:space="preserve"> Western Norway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Applied Sciences, and </w:t>
      </w:r>
      <w:proofErr w:type="spellStart"/>
      <w:r>
        <w:t>newbuilds</w:t>
      </w:r>
      <w:proofErr w:type="spellEnd"/>
      <w:r>
        <w:t xml:space="preserve"> for art, </w:t>
      </w:r>
      <w:proofErr w:type="spellStart"/>
      <w:r>
        <w:t>music</w:t>
      </w:r>
      <w:proofErr w:type="spellEnd"/>
      <w:r>
        <w:t xml:space="preserve"> and design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Bergen. </w:t>
      </w:r>
    </w:p>
    <w:p w:rsidR="007D3CA2" w:rsidRDefault="007D3CA2" w:rsidP="007D3CA2">
      <w:proofErr w:type="spellStart"/>
      <w:r>
        <w:t>Many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unlikely</w:t>
      </w:r>
      <w:proofErr w:type="spellEnd"/>
      <w:r>
        <w:t xml:space="preserve"> to </w:t>
      </w:r>
      <w:proofErr w:type="spellStart"/>
      <w:r>
        <w:t>merge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co-location </w:t>
      </w:r>
      <w:proofErr w:type="spellStart"/>
      <w:r>
        <w:t>brings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institutes</w:t>
      </w:r>
      <w:proofErr w:type="spellEnd"/>
      <w:r>
        <w:t xml:space="preserve">, </w:t>
      </w:r>
      <w:proofErr w:type="spellStart"/>
      <w:r>
        <w:t>welfare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and </w:t>
      </w:r>
      <w:proofErr w:type="spellStart"/>
      <w:r>
        <w:t>institutions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.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MediaCity</w:t>
      </w:r>
      <w:proofErr w:type="spellEnd"/>
      <w:r>
        <w:t xml:space="preserve"> Bergen and SINTEF and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Technology. The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Nofima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Institute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Bioeconomy</w:t>
      </w:r>
      <w:proofErr w:type="spellEnd"/>
      <w:r>
        <w:t xml:space="preserve"> Research </w:t>
      </w:r>
      <w:proofErr w:type="spellStart"/>
      <w:r>
        <w:t>both</w:t>
      </w:r>
      <w:proofErr w:type="spellEnd"/>
      <w:r>
        <w:t xml:space="preserve"> have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headquarters</w:t>
      </w:r>
      <w:proofErr w:type="spellEnd"/>
      <w:r>
        <w:t xml:space="preserve"> at Campus Ås. Health trusts, hospitals and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closely</w:t>
      </w:r>
      <w:proofErr w:type="spellEnd"/>
      <w:r>
        <w:t xml:space="preserve">, as </w:t>
      </w:r>
      <w:proofErr w:type="spellStart"/>
      <w:r>
        <w:t>described</w:t>
      </w:r>
      <w:proofErr w:type="spellEnd"/>
      <w:r>
        <w:t xml:space="preserve"> in Chapter 8.2.3.</w:t>
      </w:r>
    </w:p>
    <w:p w:rsidR="007D3CA2" w:rsidRDefault="007D3CA2" w:rsidP="007D3CA2">
      <w:pPr>
        <w:pStyle w:val="Overskrift3"/>
      </w:pPr>
      <w:proofErr w:type="spellStart"/>
      <w:r>
        <w:t>Historical</w:t>
      </w:r>
      <w:proofErr w:type="spellEnd"/>
      <w:r>
        <w:t xml:space="preserve"> </w:t>
      </w:r>
      <w:proofErr w:type="spellStart"/>
      <w:r>
        <w:t>buildings</w:t>
      </w:r>
      <w:proofErr w:type="spellEnd"/>
    </w:p>
    <w:p w:rsidR="007D3CA2" w:rsidRDefault="007D3CA2" w:rsidP="007D3CA2">
      <w:proofErr w:type="spellStart"/>
      <w:r>
        <w:t>Historical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play an </w:t>
      </w:r>
      <w:proofErr w:type="spellStart"/>
      <w:r>
        <w:t>important</w:t>
      </w:r>
      <w:proofErr w:type="spellEnd"/>
      <w:r>
        <w:t xml:space="preserve"> part in forming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character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centrally </w:t>
      </w:r>
      <w:proofErr w:type="spellStart"/>
      <w:r>
        <w:t>located</w:t>
      </w:r>
      <w:proofErr w:type="spellEnd"/>
      <w:r>
        <w:t xml:space="preserve"> and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serve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, and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distinctive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and a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belonging</w:t>
      </w:r>
      <w:proofErr w:type="spellEnd"/>
      <w:r>
        <w:t xml:space="preserve">. The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upgrade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renovation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 </w:t>
      </w:r>
      <w:proofErr w:type="spellStart"/>
      <w:r>
        <w:t>centre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Bergen,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Clock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Life Sciences and </w:t>
      </w:r>
      <w:proofErr w:type="spellStart"/>
      <w:r>
        <w:t>the</w:t>
      </w:r>
      <w:proofErr w:type="spellEnd"/>
      <w:r>
        <w:t xml:space="preserve"> Norwegian School </w:t>
      </w:r>
      <w:proofErr w:type="spellStart"/>
      <w:r>
        <w:t>of</w:t>
      </w:r>
      <w:proofErr w:type="spellEnd"/>
      <w:r>
        <w:t xml:space="preserve"> Sport Sciences. The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upgrading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today’s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:rsidR="007D3CA2" w:rsidRDefault="007D3CA2" w:rsidP="007D3CA2">
      <w:r>
        <w:t xml:space="preserve">Just over half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 date from </w:t>
      </w:r>
      <w:proofErr w:type="spellStart"/>
      <w:r>
        <w:t>before</w:t>
      </w:r>
      <w:proofErr w:type="spellEnd"/>
      <w:r>
        <w:t xml:space="preserve"> 1970, and </w:t>
      </w:r>
      <w:proofErr w:type="spellStart"/>
      <w:r>
        <w:t>about</w:t>
      </w:r>
      <w:proofErr w:type="spellEnd"/>
      <w:r>
        <w:t xml:space="preserve"> 70 per cent from </w:t>
      </w:r>
      <w:proofErr w:type="spellStart"/>
      <w:r>
        <w:t>before</w:t>
      </w:r>
      <w:proofErr w:type="spellEnd"/>
      <w:r>
        <w:t xml:space="preserve"> 1990. </w:t>
      </w:r>
      <w:proofErr w:type="spellStart"/>
      <w:r>
        <w:t>Around</w:t>
      </w:r>
      <w:proofErr w:type="spellEnd"/>
      <w:r>
        <w:t xml:space="preserve"> 11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older </w:t>
      </w:r>
      <w:proofErr w:type="spellStart"/>
      <w:r>
        <w:t>buildings</w:t>
      </w:r>
      <w:proofErr w:type="spellEnd"/>
      <w:r>
        <w:t xml:space="preserve"> at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form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>.</w:t>
      </w:r>
      <w:r>
        <w:rPr>
          <w:vertAlign w:val="superscript"/>
        </w:rPr>
        <w:footnoteReference w:id="41"/>
      </w:r>
      <w:r>
        <w:t xml:space="preserve"> At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is true </w:t>
      </w:r>
      <w:proofErr w:type="spellStart"/>
      <w:r>
        <w:t>of</w:t>
      </w:r>
      <w:proofErr w:type="spellEnd"/>
      <w:r>
        <w:t xml:space="preserve"> up to 70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. This </w:t>
      </w:r>
      <w:proofErr w:type="spellStart"/>
      <w:r>
        <w:t>can</w:t>
      </w:r>
      <w:proofErr w:type="spellEnd"/>
      <w:r>
        <w:t xml:space="preserve"> make </w:t>
      </w:r>
      <w:proofErr w:type="spellStart"/>
      <w:r>
        <w:t>renovation</w:t>
      </w:r>
      <w:proofErr w:type="spellEnd"/>
      <w:r>
        <w:t xml:space="preserve"> and </w:t>
      </w:r>
      <w:proofErr w:type="spellStart"/>
      <w:r>
        <w:t>upgrading</w:t>
      </w:r>
      <w:proofErr w:type="spellEnd"/>
      <w:r>
        <w:t xml:space="preserve"> more </w:t>
      </w:r>
      <w:proofErr w:type="spellStart"/>
      <w:r>
        <w:t>demanding</w:t>
      </w:r>
      <w:proofErr w:type="spellEnd"/>
      <w:r>
        <w:t xml:space="preserve"> and more </w:t>
      </w:r>
      <w:proofErr w:type="spellStart"/>
      <w:r>
        <w:t>costly</w:t>
      </w:r>
      <w:proofErr w:type="spellEnd"/>
      <w:r>
        <w:t xml:space="preserve">. The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. </w:t>
      </w:r>
    </w:p>
    <w:p w:rsidR="007D3CA2" w:rsidRDefault="007D3CA2" w:rsidP="007D3CA2">
      <w:pPr>
        <w:pStyle w:val="Overskrift3"/>
      </w:pPr>
      <w:proofErr w:type="spellStart"/>
      <w:r>
        <w:t>Modernisation</w:t>
      </w:r>
      <w:proofErr w:type="spellEnd"/>
      <w:r>
        <w:t xml:space="preserve"> and </w:t>
      </w:r>
      <w:proofErr w:type="spellStart"/>
      <w:r>
        <w:t>upgrading</w:t>
      </w:r>
      <w:proofErr w:type="spellEnd"/>
    </w:p>
    <w:p w:rsidR="007D3CA2" w:rsidRDefault="007D3CA2" w:rsidP="007D3CA2">
      <w:r>
        <w:t xml:space="preserve">The 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modernisation</w:t>
      </w:r>
      <w:proofErr w:type="spellEnd"/>
      <w:r>
        <w:t xml:space="preserve"> and </w:t>
      </w:r>
      <w:proofErr w:type="spellStart"/>
      <w:r>
        <w:t>upgrading</w:t>
      </w:r>
      <w:proofErr w:type="spellEnd"/>
      <w:r>
        <w:t xml:space="preserve"> is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in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and </w:t>
      </w:r>
      <w:proofErr w:type="spellStart"/>
      <w:r>
        <w:t>suitable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purpose. A </w:t>
      </w:r>
      <w:proofErr w:type="spellStart"/>
      <w:r>
        <w:t>high-quality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support </w:t>
      </w:r>
      <w:proofErr w:type="spellStart"/>
      <w:r>
        <w:t>modern</w:t>
      </w:r>
      <w:proofErr w:type="spellEnd"/>
      <w:r>
        <w:t xml:space="preserve"> forms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must be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basis </w:t>
      </w:r>
      <w:proofErr w:type="spellStart"/>
      <w:r>
        <w:t>of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and in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surroundings</w:t>
      </w:r>
      <w:proofErr w:type="spellEnd"/>
      <w:r>
        <w:t xml:space="preserve"> students </w:t>
      </w:r>
      <w:proofErr w:type="spellStart"/>
      <w:r>
        <w:t>learn</w:t>
      </w:r>
      <w:proofErr w:type="spellEnd"/>
      <w:r>
        <w:t xml:space="preserve"> best. </w:t>
      </w:r>
    </w:p>
    <w:p w:rsidR="007D3CA2" w:rsidRDefault="007D3CA2" w:rsidP="007D3CA2">
      <w:proofErr w:type="spellStart"/>
      <w:r>
        <w:t>Several</w:t>
      </w:r>
      <w:proofErr w:type="spellEnd"/>
      <w:r>
        <w:t xml:space="preserve"> major </w:t>
      </w:r>
      <w:proofErr w:type="spellStart"/>
      <w:r>
        <w:t>initiatives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and </w:t>
      </w:r>
      <w:proofErr w:type="spellStart"/>
      <w:r>
        <w:t>alteration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. To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prestigious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status as a Centre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Excellence</w:t>
      </w:r>
      <w:proofErr w:type="spellEnd"/>
      <w:r>
        <w:t xml:space="preserve"> under </w:t>
      </w:r>
      <w:proofErr w:type="spellStart"/>
      <w:r>
        <w:t>the</w:t>
      </w:r>
      <w:proofErr w:type="spellEnd"/>
      <w:r>
        <w:t xml:space="preserve"> Research Council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or a grant from </w:t>
      </w:r>
      <w:proofErr w:type="spellStart"/>
      <w:r>
        <w:t>the</w:t>
      </w:r>
      <w:proofErr w:type="spellEnd"/>
      <w:r>
        <w:t xml:space="preserve"> European Research Council, an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have to make </w:t>
      </w:r>
      <w:proofErr w:type="spellStart"/>
      <w:r>
        <w:t>alterations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larger</w:t>
      </w:r>
      <w:proofErr w:type="spellEnd"/>
      <w:r>
        <w:t xml:space="preserve"> or </w:t>
      </w:r>
      <w:proofErr w:type="spellStart"/>
      <w:r>
        <w:t>smaller</w:t>
      </w:r>
      <w:proofErr w:type="spellEnd"/>
      <w:r>
        <w:t xml:space="preserve"> </w:t>
      </w:r>
      <w:proofErr w:type="spellStart"/>
      <w:r>
        <w:t>scale</w:t>
      </w:r>
      <w:proofErr w:type="spellEnd"/>
      <w:r>
        <w:t xml:space="preserve">. Adaptation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stock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important</w:t>
      </w:r>
      <w:proofErr w:type="spellEnd"/>
      <w:r>
        <w:t xml:space="preserve"> in </w:t>
      </w:r>
      <w:proofErr w:type="spellStart"/>
      <w:r>
        <w:t>reducing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overview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Knowledge Centre for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to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documenting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spatial design </w:t>
      </w:r>
      <w:proofErr w:type="spellStart"/>
      <w:r>
        <w:t>may</w:t>
      </w:r>
      <w:proofErr w:type="spellEnd"/>
      <w:r>
        <w:t xml:space="preserve"> be a </w:t>
      </w:r>
      <w:proofErr w:type="spellStart"/>
      <w:r>
        <w:t>barrier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innovative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technology</w:t>
      </w:r>
      <w:proofErr w:type="spellEnd"/>
      <w:r>
        <w:t xml:space="preserve">. </w:t>
      </w:r>
      <w:proofErr w:type="spellStart"/>
      <w:r>
        <w:t>Well-functioning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digitalisation</w:t>
      </w:r>
      <w:proofErr w:type="spellEnd"/>
      <w:r>
        <w:t xml:space="preserve">, and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market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graduates</w:t>
      </w:r>
      <w:proofErr w:type="spellEnd"/>
      <w:r>
        <w:t xml:space="preserve"> from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system,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OECD report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</w:t>
      </w:r>
      <w:r>
        <w:lastRenderedPageBreak/>
        <w:t>tion</w:t>
      </w:r>
      <w:proofErr w:type="spellEnd"/>
      <w:r>
        <w:t xml:space="preserve"> in Norway </w:t>
      </w:r>
      <w:proofErr w:type="spellStart"/>
      <w:r>
        <w:t>published</w:t>
      </w:r>
      <w:proofErr w:type="spellEnd"/>
      <w:r>
        <w:t xml:space="preserve"> in 2018.</w:t>
      </w:r>
      <w:r>
        <w:rPr>
          <w:vertAlign w:val="superscript"/>
        </w:rPr>
        <w:footnoteReference w:id="42"/>
      </w:r>
      <w:r>
        <w:t xml:space="preserve"> Students </w:t>
      </w:r>
      <w:proofErr w:type="spellStart"/>
      <w:r>
        <w:t>are</w:t>
      </w:r>
      <w:proofErr w:type="spellEnd"/>
      <w:r>
        <w:t xml:space="preserve"> not as dependent </w:t>
      </w:r>
      <w:proofErr w:type="spellStart"/>
      <w:r>
        <w:t>on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campus as </w:t>
      </w:r>
      <w:proofErr w:type="spellStart"/>
      <w:r>
        <w:t>they</w:t>
      </w:r>
      <w:proofErr w:type="spellEnd"/>
      <w:r>
        <w:t xml:space="preserve"> used to be.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makes it less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and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same time, </w:t>
      </w:r>
      <w:proofErr w:type="spellStart"/>
      <w:r>
        <w:t>new</w:t>
      </w:r>
      <w:proofErr w:type="spellEnd"/>
      <w:r>
        <w:t xml:space="preserve"> forms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more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, </w:t>
      </w:r>
      <w:proofErr w:type="spellStart"/>
      <w:r>
        <w:t>discussion</w:t>
      </w:r>
      <w:proofErr w:type="spellEnd"/>
      <w:r>
        <w:t xml:space="preserve"> and problem-</w:t>
      </w:r>
      <w:proofErr w:type="spellStart"/>
      <w:r>
        <w:t>solving</w:t>
      </w:r>
      <w:proofErr w:type="spellEnd"/>
      <w:r>
        <w:t xml:space="preserve">. The campus design </w:t>
      </w:r>
      <w:proofErr w:type="spellStart"/>
      <w:r>
        <w:t>overview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Knowledge Centre for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base </w:t>
      </w:r>
      <w:proofErr w:type="spellStart"/>
      <w:r>
        <w:t>compiled</w:t>
      </w:r>
      <w:proofErr w:type="spellEnd"/>
      <w:r>
        <w:t xml:space="preserve"> by Statsbygg </w:t>
      </w:r>
      <w:proofErr w:type="spellStart"/>
      <w:r>
        <w:t>identify</w:t>
      </w:r>
      <w:proofErr w:type="spellEnd"/>
      <w:r>
        <w:t xml:space="preserve"> a pressing </w:t>
      </w:r>
      <w:proofErr w:type="spellStart"/>
      <w:r>
        <w:t>need</w:t>
      </w:r>
      <w:proofErr w:type="spellEnd"/>
      <w:r>
        <w:t xml:space="preserve"> to design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in a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promotes and </w:t>
      </w:r>
      <w:proofErr w:type="spellStart"/>
      <w:r>
        <w:t>stimulates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real-</w:t>
      </w:r>
      <w:proofErr w:type="spellStart"/>
      <w:r>
        <w:t>life</w:t>
      </w:r>
      <w:proofErr w:type="spellEnd"/>
      <w:r>
        <w:t xml:space="preserve"> and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. Statsbygg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alterations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walls</w:t>
      </w:r>
      <w:proofErr w:type="spellEnd"/>
      <w:r>
        <w:t xml:space="preserve"> or </w:t>
      </w:r>
      <w:proofErr w:type="spellStart"/>
      <w:r>
        <w:t>revitalising</w:t>
      </w:r>
      <w:proofErr w:type="spellEnd"/>
      <w:r>
        <w:t xml:space="preserve"> underused areas </w:t>
      </w:r>
      <w:proofErr w:type="spellStart"/>
      <w:r>
        <w:t>can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more </w:t>
      </w:r>
      <w:proofErr w:type="spellStart"/>
      <w:r>
        <w:t>efficient</w:t>
      </w:r>
      <w:proofErr w:type="spellEnd"/>
      <w:r>
        <w:t xml:space="preserve">.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alterations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older auditoriums at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and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and </w:t>
      </w:r>
      <w:proofErr w:type="spellStart"/>
      <w:r>
        <w:t>revitalisation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proofErr w:type="spellStart"/>
      <w:r>
        <w:t>entrance</w:t>
      </w:r>
      <w:proofErr w:type="spellEnd"/>
      <w:r>
        <w:t xml:space="preserve"> hall at Campus Kristiansand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Agder (</w:t>
      </w:r>
      <w:proofErr w:type="spellStart"/>
      <w:r>
        <w:t>see</w:t>
      </w:r>
      <w:proofErr w:type="spellEnd"/>
      <w:r>
        <w:t xml:space="preserve"> Box 8.3).</w:t>
      </w:r>
    </w:p>
    <w:p w:rsidR="007D3CA2" w:rsidRDefault="007D3CA2" w:rsidP="007D3CA2">
      <w:pPr>
        <w:pStyle w:val="tittel-ramme"/>
      </w:pPr>
      <w:r>
        <w:t xml:space="preserve">Campus Kristiansand: </w:t>
      </w:r>
      <w:proofErr w:type="spellStart"/>
      <w:r>
        <w:t>revitalisation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an </w:t>
      </w:r>
      <w:proofErr w:type="spellStart"/>
      <w:r>
        <w:t>entrance</w:t>
      </w:r>
      <w:proofErr w:type="spellEnd"/>
      <w:r>
        <w:t xml:space="preserve"> hall</w:t>
      </w:r>
    </w:p>
    <w:p w:rsidR="007D3CA2" w:rsidRDefault="007D3CA2" w:rsidP="007D3CA2">
      <w:r>
        <w:t xml:space="preserve">A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students and staff has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alterations</w:t>
      </w:r>
      <w:proofErr w:type="spellEnd"/>
      <w:r>
        <w:t xml:space="preserve"> and </w:t>
      </w:r>
      <w:proofErr w:type="spellStart"/>
      <w:r>
        <w:t>extensions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students </w:t>
      </w:r>
      <w:proofErr w:type="spellStart"/>
      <w:r>
        <w:t>nowadays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cafeteria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areas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a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 or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The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Agder </w:t>
      </w:r>
      <w:proofErr w:type="spellStart"/>
      <w:r>
        <w:t>needed</w:t>
      </w:r>
      <w:proofErr w:type="spellEnd"/>
      <w:r>
        <w:t xml:space="preserve"> a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cafeteria</w:t>
      </w:r>
      <w:proofErr w:type="spellEnd"/>
      <w:r>
        <w:t xml:space="preserve"> and more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 for students.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to alter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entrance</w:t>
      </w:r>
      <w:proofErr w:type="spellEnd"/>
      <w:r>
        <w:t xml:space="preserve"> hall. This </w:t>
      </w:r>
      <w:proofErr w:type="spellStart"/>
      <w:r>
        <w:t>was</w:t>
      </w:r>
      <w:proofErr w:type="spellEnd"/>
      <w:r>
        <w:t xml:space="preserve"> an 800 m</w:t>
      </w:r>
      <w:r>
        <w:rPr>
          <w:rStyle w:val="skrift-hevet"/>
          <w:sz w:val="21"/>
          <w:szCs w:val="21"/>
        </w:rPr>
        <w:t>2</w:t>
      </w:r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merely</w:t>
      </w:r>
      <w:proofErr w:type="spellEnd"/>
      <w:r>
        <w:t xml:space="preserve"> used to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is </w:t>
      </w:r>
      <w:proofErr w:type="spellStart"/>
      <w:r>
        <w:t>now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used as a </w:t>
      </w:r>
      <w:proofErr w:type="spellStart"/>
      <w:r>
        <w:t>cafeteria</w:t>
      </w:r>
      <w:proofErr w:type="spellEnd"/>
      <w:r>
        <w:t xml:space="preserve"> and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. The </w:t>
      </w:r>
      <w:proofErr w:type="spellStart"/>
      <w:r>
        <w:t>alterations</w:t>
      </w:r>
      <w:proofErr w:type="spellEnd"/>
      <w:r>
        <w:t xml:space="preserve"> have given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more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extend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. </w:t>
      </w:r>
    </w:p>
    <w:p w:rsidR="007D3CA2" w:rsidRDefault="007D3CA2">
      <w:pPr>
        <w:pStyle w:val="Ramme-slutt"/>
        <w:rPr>
          <w:sz w:val="26"/>
          <w:szCs w:val="26"/>
        </w:rPr>
      </w:pPr>
      <w:r>
        <w:rPr>
          <w:sz w:val="26"/>
          <w:szCs w:val="26"/>
        </w:rPr>
        <w:t>Rammeslutt</w:t>
      </w:r>
    </w:p>
    <w:p w:rsidR="007D3CA2" w:rsidRDefault="007D3CA2" w:rsidP="007D3CA2">
      <w:r>
        <w:t xml:space="preserve">In 2012, </w:t>
      </w:r>
      <w:proofErr w:type="spellStart"/>
      <w:r>
        <w:t>the</w:t>
      </w:r>
      <w:proofErr w:type="spellEnd"/>
      <w:r>
        <w:t xml:space="preserve">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Auditor</w:t>
      </w:r>
      <w:proofErr w:type="spellEnd"/>
      <w:r>
        <w:t xml:space="preserve"> General </w:t>
      </w:r>
      <w:proofErr w:type="spellStart"/>
      <w:r>
        <w:t>conducted</w:t>
      </w:r>
      <w:proofErr w:type="spellEnd"/>
      <w:r>
        <w:t xml:space="preserve"> an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estates</w:t>
      </w:r>
      <w:proofErr w:type="spellEnd"/>
      <w:r>
        <w:t>.</w:t>
      </w:r>
      <w:r>
        <w:rPr>
          <w:vertAlign w:val="superscript"/>
        </w:rPr>
        <w:footnoteReference w:id="43"/>
      </w:r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report,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deterioration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19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2003–2011. The Ministry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Research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 have </w:t>
      </w:r>
      <w:proofErr w:type="spellStart"/>
      <w:r>
        <w:t>taken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in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Auditor</w:t>
      </w:r>
      <w:proofErr w:type="spellEnd"/>
      <w:r>
        <w:t xml:space="preserve"> </w:t>
      </w:r>
      <w:proofErr w:type="spellStart"/>
      <w:r>
        <w:t>General’s</w:t>
      </w:r>
      <w:proofErr w:type="spellEnd"/>
      <w:r>
        <w:t xml:space="preserve"> report. The Ministry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 to have long-term </w:t>
      </w:r>
      <w:proofErr w:type="spellStart"/>
      <w:r>
        <w:t>maintenance</w:t>
      </w:r>
      <w:proofErr w:type="spellEnd"/>
      <w:r>
        <w:t xml:space="preserve"> and </w:t>
      </w:r>
      <w:proofErr w:type="spellStart"/>
      <w:r>
        <w:t>upgrading</w:t>
      </w:r>
      <w:proofErr w:type="spellEnd"/>
      <w:r>
        <w:t xml:space="preserve"> plans. From 2018,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 have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rent system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estates</w:t>
      </w:r>
      <w:proofErr w:type="spellEnd"/>
      <w:r>
        <w:t xml:space="preserve"> and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for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</w:t>
      </w:r>
      <w:proofErr w:type="gramStart"/>
      <w:r>
        <w:t>to preserve</w:t>
      </w:r>
      <w:proofErr w:type="gram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. The Ministry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asked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higher-education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to </w:t>
      </w:r>
      <w:proofErr w:type="spellStart"/>
      <w:r>
        <w:t>prepare</w:t>
      </w:r>
      <w:proofErr w:type="spellEnd"/>
      <w:r>
        <w:t xml:space="preserve"> long-term campus </w:t>
      </w:r>
      <w:proofErr w:type="spellStart"/>
      <w:r>
        <w:t>development</w:t>
      </w:r>
      <w:proofErr w:type="spellEnd"/>
      <w:r>
        <w:t xml:space="preserve"> plans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estates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Chapter 8.3. The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spend a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proportion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basic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estates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used to. For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 have spent NOK 1.1–1.3 billion </w:t>
      </w:r>
      <w:proofErr w:type="spellStart"/>
      <w:r>
        <w:t>annually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maintenance</w:t>
      </w:r>
      <w:proofErr w:type="spellEnd"/>
      <w:r>
        <w:t xml:space="preserve"> and </w:t>
      </w:r>
      <w:proofErr w:type="spellStart"/>
      <w:r>
        <w:t>improvements</w:t>
      </w:r>
      <w:proofErr w:type="spellEnd"/>
      <w:r>
        <w:t xml:space="preserve"> from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budgets</w:t>
      </w:r>
      <w:proofErr w:type="spellEnd"/>
      <w:r>
        <w:t xml:space="preserve">. </w:t>
      </w:r>
    </w:p>
    <w:p w:rsidR="007D3CA2" w:rsidRDefault="007D3CA2" w:rsidP="007D3CA2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2015-2018,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a total </w:t>
      </w:r>
      <w:proofErr w:type="spellStart"/>
      <w:r>
        <w:t>of</w:t>
      </w:r>
      <w:proofErr w:type="spellEnd"/>
      <w:r>
        <w:t xml:space="preserve"> NOK 330 million for </w:t>
      </w:r>
      <w:proofErr w:type="spellStart"/>
      <w:r>
        <w:t>upgrading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in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managers,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50 per cent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In all,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allocations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’ </w:t>
      </w:r>
      <w:proofErr w:type="spellStart"/>
      <w:r>
        <w:t>own</w:t>
      </w:r>
      <w:proofErr w:type="spellEnd"/>
      <w:r>
        <w:t xml:space="preserve"> </w:t>
      </w:r>
      <w:proofErr w:type="spellStart"/>
      <w:r>
        <w:t>investments</w:t>
      </w:r>
      <w:proofErr w:type="spellEnd"/>
      <w:r>
        <w:t xml:space="preserve"> have </w:t>
      </w:r>
      <w:proofErr w:type="spellStart"/>
      <w:r>
        <w:t>resulted</w:t>
      </w:r>
      <w:proofErr w:type="spellEnd"/>
      <w:r>
        <w:t xml:space="preserve"> in </w:t>
      </w:r>
      <w:proofErr w:type="spellStart"/>
      <w:r>
        <w:t>upgrades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NOK 1 billion. </w:t>
      </w:r>
    </w:p>
    <w:p w:rsidR="007D3CA2" w:rsidRDefault="007D3CA2" w:rsidP="007D3CA2">
      <w:r>
        <w:t xml:space="preserve">Public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and </w:t>
      </w:r>
      <w:proofErr w:type="spellStart"/>
      <w:r>
        <w:t>upgrading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 and </w:t>
      </w:r>
      <w:proofErr w:type="spellStart"/>
      <w:r>
        <w:t>consider</w:t>
      </w:r>
      <w:proofErr w:type="spellEnd"/>
      <w:r>
        <w:t xml:space="preserve"> reinvestments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for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>:</w:t>
      </w:r>
    </w:p>
    <w:p w:rsidR="007D3CA2" w:rsidRDefault="007D3CA2" w:rsidP="007D3CA2">
      <w:pPr>
        <w:pStyle w:val="Liste"/>
        <w:rPr>
          <w:rFonts w:cs="Times New Roman"/>
          <w:szCs w:val="24"/>
          <w:lang w:val="en-GB"/>
        </w:rPr>
      </w:pP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to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adaptation</w:t>
      </w:r>
      <w:proofErr w:type="spellEnd"/>
      <w:r>
        <w:t xml:space="preserve"> and </w:t>
      </w:r>
      <w:proofErr w:type="spellStart"/>
      <w:r>
        <w:t>maintenance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estates</w:t>
      </w:r>
      <w:proofErr w:type="spellEnd"/>
      <w:r>
        <w:t xml:space="preserve">. 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lastRenderedPageBreak/>
        <w:t>encourage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progress and </w:t>
      </w:r>
      <w:proofErr w:type="spellStart"/>
      <w:r>
        <w:t>investment</w:t>
      </w:r>
      <w:proofErr w:type="spellEnd"/>
      <w:r>
        <w:t xml:space="preserve"> in </w:t>
      </w:r>
      <w:proofErr w:type="spellStart"/>
      <w:r>
        <w:t>upgrading</w:t>
      </w:r>
      <w:proofErr w:type="spellEnd"/>
      <w:r>
        <w:t xml:space="preserve"> and </w:t>
      </w:r>
      <w:proofErr w:type="spellStart"/>
      <w:r>
        <w:t>adaptation</w:t>
      </w:r>
      <w:proofErr w:type="spellEnd"/>
      <w:r>
        <w:t xml:space="preserve"> by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for </w:t>
      </w:r>
      <w:proofErr w:type="spellStart"/>
      <w:r>
        <w:t>upgrading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managers;</w:t>
      </w:r>
    </w:p>
    <w:p w:rsidR="007D3CA2" w:rsidRDefault="007D3CA2" w:rsidP="007D3CA2">
      <w:pPr>
        <w:pStyle w:val="Liste"/>
      </w:pPr>
      <w:r>
        <w:t xml:space="preserve">introduce a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for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rent to Statsbygg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>.</w:t>
      </w:r>
    </w:p>
    <w:p w:rsidR="007D3CA2" w:rsidRDefault="007D3CA2" w:rsidP="007D3CA2">
      <w:pPr>
        <w:pStyle w:val="Overskrift2"/>
      </w:pPr>
      <w:proofErr w:type="spellStart"/>
      <w:r>
        <w:t>Cost-effective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play a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solutions</w:t>
      </w:r>
      <w:proofErr w:type="spellEnd"/>
    </w:p>
    <w:p w:rsidR="007D3CA2" w:rsidRDefault="007D3CA2" w:rsidP="007D3CA2">
      <w:proofErr w:type="spellStart"/>
      <w:r>
        <w:t>Norway’s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has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 </w:t>
      </w:r>
      <w:proofErr w:type="spellStart"/>
      <w:r>
        <w:t>portfolios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country </w:t>
      </w:r>
      <w:proofErr w:type="spellStart"/>
      <w:r>
        <w:t>measured</w:t>
      </w:r>
      <w:proofErr w:type="spellEnd"/>
      <w:r>
        <w:t xml:space="preserve"> by area.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surroundings</w:t>
      </w:r>
      <w:proofErr w:type="spellEnd"/>
      <w:r>
        <w:t xml:space="preserve">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, </w:t>
      </w:r>
      <w:proofErr w:type="spellStart"/>
      <w:r>
        <w:t>sited</w:t>
      </w:r>
      <w:proofErr w:type="spellEnd"/>
      <w:r>
        <w:t xml:space="preserve">, </w:t>
      </w:r>
      <w:proofErr w:type="spellStart"/>
      <w:r>
        <w:t>operated</w:t>
      </w:r>
      <w:proofErr w:type="spellEnd"/>
      <w:r>
        <w:t xml:space="preserve"> and used. This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part in </w:t>
      </w:r>
      <w:proofErr w:type="spellStart"/>
      <w:r>
        <w:t>helping</w:t>
      </w:r>
      <w:proofErr w:type="spellEnd"/>
      <w:r>
        <w:t xml:space="preserve"> Norway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Development Goals –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campus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’ </w:t>
      </w:r>
      <w:proofErr w:type="spellStart"/>
      <w:r>
        <w:t>key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promoting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nationally</w:t>
      </w:r>
      <w:proofErr w:type="spellEnd"/>
      <w:r>
        <w:t xml:space="preserve"> and </w:t>
      </w:r>
      <w:proofErr w:type="spellStart"/>
      <w:r>
        <w:t>globally</w:t>
      </w:r>
      <w:proofErr w:type="spellEnd"/>
      <w:r>
        <w:t xml:space="preserve">. </w:t>
      </w:r>
      <w:proofErr w:type="spellStart"/>
      <w:r>
        <w:t>Campuses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outdoor</w:t>
      </w:r>
      <w:proofErr w:type="spellEnd"/>
      <w:r>
        <w:t xml:space="preserve"> areas for students and staff and </w:t>
      </w:r>
      <w:proofErr w:type="spellStart"/>
      <w:r>
        <w:t>also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general </w:t>
      </w:r>
      <w:proofErr w:type="spellStart"/>
      <w:r>
        <w:t>public</w:t>
      </w:r>
      <w:proofErr w:type="spellEnd"/>
      <w:r>
        <w:t xml:space="preserve">. If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designed</w:t>
      </w:r>
      <w:proofErr w:type="spellEnd"/>
      <w:r>
        <w:t xml:space="preserve"> as an integral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urban </w:t>
      </w:r>
      <w:proofErr w:type="spellStart"/>
      <w:r>
        <w:t>space</w:t>
      </w:r>
      <w:proofErr w:type="spellEnd"/>
      <w:r>
        <w:t xml:space="preserve">, </w:t>
      </w:r>
      <w:proofErr w:type="spellStart"/>
      <w:r>
        <w:t>outdoor</w:t>
      </w:r>
      <w:proofErr w:type="spellEnd"/>
      <w:r>
        <w:t xml:space="preserve"> areas in and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and </w:t>
      </w:r>
      <w:proofErr w:type="spellStart"/>
      <w:r>
        <w:t>thoroughfares</w:t>
      </w:r>
      <w:proofErr w:type="spellEnd"/>
      <w:r>
        <w:t xml:space="preserve">. It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broad-based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management, </w:t>
      </w:r>
      <w:proofErr w:type="spellStart"/>
      <w:r>
        <w:t>operation</w:t>
      </w:r>
      <w:proofErr w:type="spellEnd"/>
      <w:r>
        <w:t xml:space="preserve"> and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facilities</w:t>
      </w:r>
      <w:proofErr w:type="spellEnd"/>
      <w:r>
        <w:t xml:space="preserve">. </w:t>
      </w:r>
    </w:p>
    <w:p w:rsidR="007D3CA2" w:rsidRDefault="007D3CA2" w:rsidP="007D3CA2">
      <w:r>
        <w:t xml:space="preserve">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r>
        <w:rPr>
          <w:rStyle w:val="kursiv"/>
          <w:sz w:val="21"/>
          <w:szCs w:val="21"/>
        </w:rPr>
        <w:t xml:space="preserve">Long-term </w:t>
      </w:r>
      <w:proofErr w:type="spellStart"/>
      <w:r>
        <w:rPr>
          <w:rStyle w:val="kursiv"/>
          <w:sz w:val="21"/>
          <w:szCs w:val="21"/>
        </w:rPr>
        <w:t>Perspectives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on</w:t>
      </w:r>
      <w:proofErr w:type="spellEnd"/>
      <w:r>
        <w:rPr>
          <w:rStyle w:val="kursiv"/>
          <w:sz w:val="21"/>
          <w:szCs w:val="21"/>
        </w:rPr>
        <w:t xml:space="preserve"> </w:t>
      </w:r>
      <w:proofErr w:type="spellStart"/>
      <w:r>
        <w:rPr>
          <w:rStyle w:val="kursiv"/>
          <w:sz w:val="21"/>
          <w:szCs w:val="21"/>
        </w:rPr>
        <w:t>the</w:t>
      </w:r>
      <w:proofErr w:type="spellEnd"/>
      <w:r>
        <w:rPr>
          <w:rStyle w:val="kursiv"/>
          <w:sz w:val="21"/>
          <w:szCs w:val="21"/>
        </w:rPr>
        <w:t xml:space="preserve"> Norwegian </w:t>
      </w:r>
      <w:proofErr w:type="spellStart"/>
      <w:r>
        <w:rPr>
          <w:rStyle w:val="kursiv"/>
          <w:sz w:val="21"/>
          <w:szCs w:val="21"/>
        </w:rPr>
        <w:t>Economy</w:t>
      </w:r>
      <w:proofErr w:type="spellEnd"/>
      <w:r>
        <w:rPr>
          <w:rStyle w:val="kursiv"/>
          <w:sz w:val="21"/>
          <w:szCs w:val="21"/>
        </w:rPr>
        <w:t xml:space="preserve"> 2017,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emphasises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coordinating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policy instruments,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targets do not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goals in </w:t>
      </w:r>
      <w:proofErr w:type="spellStart"/>
      <w:r>
        <w:t>other</w:t>
      </w:r>
      <w:proofErr w:type="spellEnd"/>
      <w:r>
        <w:t xml:space="preserve"> areas.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different </w:t>
      </w:r>
      <w:proofErr w:type="spellStart"/>
      <w:r>
        <w:t>approaches</w:t>
      </w:r>
      <w:proofErr w:type="spellEnd"/>
      <w:r>
        <w:t xml:space="preserve"> to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, for </w:t>
      </w:r>
      <w:proofErr w:type="spellStart"/>
      <w:r>
        <w:t>example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 and Bergen and </w:t>
      </w:r>
      <w:proofErr w:type="spellStart"/>
      <w:r>
        <w:t>the</w:t>
      </w:r>
      <w:proofErr w:type="spellEnd"/>
      <w:r>
        <w:t xml:space="preserve">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Technology, have </w:t>
      </w:r>
      <w:proofErr w:type="spellStart"/>
      <w:r>
        <w:t>developed</w:t>
      </w:r>
      <w:proofErr w:type="spellEnd"/>
      <w:r>
        <w:t xml:space="preserve"> separate </w:t>
      </w:r>
      <w:proofErr w:type="spellStart"/>
      <w:r>
        <w:t>environmental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for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>.</w:t>
      </w:r>
    </w:p>
    <w:p w:rsidR="007D3CA2" w:rsidRDefault="007D3CA2" w:rsidP="007D3CA2">
      <w:pPr>
        <w:pStyle w:val="tittel-ramme"/>
      </w:pPr>
      <w:proofErr w:type="spellStart"/>
      <w:r>
        <w:t>Environmental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Oslo’s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 </w:t>
      </w:r>
      <w:proofErr w:type="spellStart"/>
      <w:r>
        <w:t>operations</w:t>
      </w:r>
      <w:proofErr w:type="spellEnd"/>
    </w:p>
    <w:p w:rsidR="007D3CA2" w:rsidRDefault="007D3CA2" w:rsidP="007D3CA2"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nine</w:t>
      </w:r>
      <w:proofErr w:type="spellEnd"/>
      <w:r>
        <w:t xml:space="preserve"> elements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university’s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 </w:t>
      </w:r>
      <w:proofErr w:type="spellStart"/>
      <w:r>
        <w:t>operations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to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: </w:t>
      </w:r>
    </w:p>
    <w:p w:rsidR="007D3CA2" w:rsidRDefault="007D3CA2" w:rsidP="007D3CA2">
      <w:pPr>
        <w:pStyle w:val="Liste"/>
      </w:pPr>
      <w:proofErr w:type="spellStart"/>
      <w:r>
        <w:t>reduction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greenhouse gas </w:t>
      </w:r>
      <w:proofErr w:type="spellStart"/>
      <w:r>
        <w:t>emissions</w:t>
      </w:r>
      <w:proofErr w:type="spellEnd"/>
    </w:p>
    <w:p w:rsidR="007D3CA2" w:rsidRDefault="007D3CA2" w:rsidP="007D3CA2">
      <w:pPr>
        <w:pStyle w:val="Liste"/>
      </w:pPr>
      <w:proofErr w:type="spellStart"/>
      <w:r>
        <w:t>reduced</w:t>
      </w:r>
      <w:proofErr w:type="spellEnd"/>
      <w:r>
        <w:t xml:space="preserve"> and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</w:p>
    <w:p w:rsidR="007D3CA2" w:rsidRDefault="007D3CA2" w:rsidP="007D3CA2">
      <w:pPr>
        <w:pStyle w:val="Liste"/>
      </w:pP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transport</w:t>
      </w:r>
    </w:p>
    <w:p w:rsidR="007D3CA2" w:rsidRDefault="007D3CA2" w:rsidP="007D3CA2">
      <w:pPr>
        <w:pStyle w:val="Liste"/>
      </w:pPr>
      <w:proofErr w:type="spellStart"/>
      <w:r>
        <w:t>waste</w:t>
      </w:r>
      <w:proofErr w:type="spellEnd"/>
      <w:r>
        <w:t xml:space="preserve"> </w:t>
      </w:r>
      <w:proofErr w:type="spellStart"/>
      <w:r>
        <w:t>reduction</w:t>
      </w:r>
      <w:proofErr w:type="spellEnd"/>
      <w:r>
        <w:t xml:space="preserve"> and more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separation</w:t>
      </w:r>
      <w:proofErr w:type="spellEnd"/>
      <w:r>
        <w:t xml:space="preserve"> at </w:t>
      </w:r>
      <w:proofErr w:type="spellStart"/>
      <w:r>
        <w:t>source</w:t>
      </w:r>
      <w:proofErr w:type="spellEnd"/>
    </w:p>
    <w:p w:rsidR="007D3CA2" w:rsidRDefault="007D3CA2" w:rsidP="007D3CA2">
      <w:pPr>
        <w:pStyle w:val="Liste"/>
      </w:pPr>
      <w:proofErr w:type="spellStart"/>
      <w:r>
        <w:t>environmentally</w:t>
      </w:r>
      <w:proofErr w:type="spellEnd"/>
      <w:r>
        <w:t xml:space="preserve"> sound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materials and </w:t>
      </w:r>
      <w:proofErr w:type="spellStart"/>
      <w:r>
        <w:t>resources</w:t>
      </w:r>
      <w:proofErr w:type="spellEnd"/>
    </w:p>
    <w:p w:rsidR="007D3CA2" w:rsidRDefault="007D3CA2" w:rsidP="007D3CA2">
      <w:pPr>
        <w:pStyle w:val="Liste"/>
      </w:pPr>
      <w:proofErr w:type="spellStart"/>
      <w:r>
        <w:t>using</w:t>
      </w:r>
      <w:proofErr w:type="spellEnd"/>
      <w:r>
        <w:t xml:space="preserve"> </w:t>
      </w:r>
      <w:proofErr w:type="spellStart"/>
      <w:r>
        <w:t>procurement</w:t>
      </w:r>
      <w:proofErr w:type="spellEnd"/>
      <w:r>
        <w:t xml:space="preserve"> as a driver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environmentally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estate</w:t>
      </w:r>
      <w:proofErr w:type="spellEnd"/>
      <w:r>
        <w:t xml:space="preserve"> </w:t>
      </w:r>
      <w:proofErr w:type="spellStart"/>
      <w:r>
        <w:t>operations</w:t>
      </w:r>
      <w:proofErr w:type="spellEnd"/>
    </w:p>
    <w:p w:rsidR="007D3CA2" w:rsidRDefault="007D3CA2" w:rsidP="007D3CA2">
      <w:pPr>
        <w:pStyle w:val="Liste"/>
      </w:pPr>
      <w:proofErr w:type="spellStart"/>
      <w:r>
        <w:t>efficient</w:t>
      </w:r>
      <w:proofErr w:type="spellEnd"/>
      <w:r>
        <w:t xml:space="preserve"> </w:t>
      </w:r>
      <w:proofErr w:type="gramStart"/>
      <w:r>
        <w:t>spatial management</w:t>
      </w:r>
      <w:proofErr w:type="gram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gives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and </w:t>
      </w:r>
      <w:proofErr w:type="spellStart"/>
      <w:r>
        <w:t>creates</w:t>
      </w:r>
      <w:proofErr w:type="spellEnd"/>
      <w:r>
        <w:t xml:space="preserve"> a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environment</w:t>
      </w:r>
      <w:proofErr w:type="spellEnd"/>
    </w:p>
    <w:p w:rsidR="007D3CA2" w:rsidRDefault="007D3CA2" w:rsidP="007D3CA2">
      <w:pPr>
        <w:pStyle w:val="Liste"/>
      </w:pPr>
      <w:proofErr w:type="spellStart"/>
      <w:r>
        <w:t>environmentally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buildings</w:t>
      </w:r>
      <w:proofErr w:type="spellEnd"/>
    </w:p>
    <w:p w:rsidR="007D3CA2" w:rsidRDefault="007D3CA2" w:rsidP="007D3CA2">
      <w:pPr>
        <w:pStyle w:val="Liste"/>
        <w:rPr>
          <w:rFonts w:cs="Times New Roman"/>
          <w:szCs w:val="24"/>
          <w:lang w:val="en-GB"/>
        </w:rPr>
      </w:pPr>
      <w:proofErr w:type="spellStart"/>
      <w:r>
        <w:t>environmentally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outdoor</w:t>
      </w:r>
      <w:proofErr w:type="spellEnd"/>
      <w:r>
        <w:t xml:space="preserve"> areas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positive </w:t>
      </w:r>
      <w:proofErr w:type="spellStart"/>
      <w:r>
        <w:t>environment</w:t>
      </w:r>
      <w:proofErr w:type="spellEnd"/>
      <w:r>
        <w:t>.</w:t>
      </w:r>
    </w:p>
    <w:p w:rsidR="007D3CA2" w:rsidRDefault="007D3CA2" w:rsidP="007D3CA2">
      <w:r>
        <w:t>https://www.uio.no/english/about/strategy/environment/index.html</w:t>
      </w:r>
    </w:p>
    <w:p w:rsidR="007D3CA2" w:rsidRDefault="007D3CA2">
      <w:pPr>
        <w:pStyle w:val="Ramme-slutt"/>
        <w:rPr>
          <w:sz w:val="26"/>
          <w:szCs w:val="26"/>
        </w:rPr>
      </w:pPr>
      <w:r>
        <w:rPr>
          <w:sz w:val="26"/>
          <w:szCs w:val="26"/>
        </w:rPr>
        <w:t>Rammeslutt</w:t>
      </w:r>
    </w:p>
    <w:p w:rsidR="007D3CA2" w:rsidRDefault="007D3CA2" w:rsidP="007D3CA2">
      <w:r>
        <w:t xml:space="preserve">The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limit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re-</w:t>
      </w:r>
      <w:proofErr w:type="spellStart"/>
      <w:r>
        <w:t>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, </w:t>
      </w:r>
      <w:proofErr w:type="gramStart"/>
      <w:r>
        <w:t>spatial management</w:t>
      </w:r>
      <w:proofErr w:type="gramEnd"/>
      <w:r>
        <w:t xml:space="preserve">, </w:t>
      </w:r>
      <w:proofErr w:type="spellStart"/>
      <w:r>
        <w:t>energy</w:t>
      </w:r>
      <w:proofErr w:type="spellEnd"/>
      <w:r>
        <w:t xml:space="preserve"> and materials </w:t>
      </w:r>
      <w:proofErr w:type="spellStart"/>
      <w:r>
        <w:t>use</w:t>
      </w:r>
      <w:proofErr w:type="spellEnd"/>
      <w:r>
        <w:t xml:space="preserve">, and by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, transport and </w:t>
      </w:r>
      <w:proofErr w:type="spellStart"/>
      <w:r>
        <w:t>pollution</w:t>
      </w:r>
      <w:proofErr w:type="spellEnd"/>
      <w:r>
        <w:t xml:space="preserve">. The </w:t>
      </w: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</w:t>
      </w:r>
      <w:proofErr w:type="spellStart"/>
      <w:r>
        <w:t>also</w:t>
      </w:r>
      <w:proofErr w:type="spellEnd"/>
      <w:r>
        <w:t xml:space="preserve"> have a </w:t>
      </w:r>
      <w:proofErr w:type="spellStart"/>
      <w:r>
        <w:t>special</w:t>
      </w:r>
      <w:proofErr w:type="spellEnd"/>
      <w:r>
        <w:t xml:space="preserve"> part to play in </w:t>
      </w:r>
      <w:proofErr w:type="spellStart"/>
      <w:r>
        <w:t>developing</w:t>
      </w:r>
      <w:proofErr w:type="spellEnd"/>
      <w:r>
        <w:t xml:space="preserve"> and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,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in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innovation</w:t>
      </w:r>
      <w:proofErr w:type="spellEnd"/>
      <w:r>
        <w:t xml:space="preserve"> and </w:t>
      </w:r>
      <w:proofErr w:type="spellStart"/>
      <w:r>
        <w:t>dissemination</w:t>
      </w:r>
      <w:proofErr w:type="spellEnd"/>
      <w:r>
        <w:t xml:space="preserve"> and </w:t>
      </w:r>
      <w:proofErr w:type="spellStart"/>
      <w:r>
        <w:t>procurement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in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debate</w:t>
      </w:r>
      <w:proofErr w:type="spellEnd"/>
      <w:r>
        <w:t xml:space="preserve">. </w:t>
      </w:r>
    </w:p>
    <w:p w:rsidR="007D3CA2" w:rsidRDefault="007D3CA2" w:rsidP="007D3CA2">
      <w:proofErr w:type="spellStart"/>
      <w:r>
        <w:t>Environmental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for </w:t>
      </w:r>
      <w:proofErr w:type="spellStart"/>
      <w:r>
        <w:t>buildings</w:t>
      </w:r>
      <w:proofErr w:type="spellEnd"/>
      <w:r>
        <w:t xml:space="preserve">, materials and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facilities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a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, Norwegian </w:t>
      </w:r>
      <w:proofErr w:type="spellStart"/>
      <w:r>
        <w:t>regulations</w:t>
      </w:r>
      <w:proofErr w:type="spellEnd"/>
      <w:r>
        <w:t xml:space="preserve"> and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as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maintaining</w:t>
      </w:r>
      <w:proofErr w:type="spellEnd"/>
      <w:r>
        <w:t xml:space="preserve"> a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for green </w:t>
      </w:r>
      <w:proofErr w:type="spellStart"/>
      <w:r>
        <w:t>operations</w:t>
      </w:r>
      <w:proofErr w:type="spellEnd"/>
      <w:r>
        <w:t xml:space="preserve">. The </w:t>
      </w:r>
      <w:proofErr w:type="spellStart"/>
      <w:r>
        <w:t>knowledge</w:t>
      </w:r>
      <w:proofErr w:type="spellEnd"/>
      <w:r>
        <w:t xml:space="preserve"> base </w:t>
      </w:r>
      <w:proofErr w:type="spellStart"/>
      <w:r>
        <w:t>compiled</w:t>
      </w:r>
      <w:proofErr w:type="spellEnd"/>
      <w:r>
        <w:t xml:space="preserve"> by Statsbygg </w:t>
      </w:r>
      <w:proofErr w:type="spellStart"/>
      <w:r>
        <w:t>refers</w:t>
      </w:r>
      <w:proofErr w:type="spellEnd"/>
      <w:r>
        <w:t xml:space="preserve"> to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inappropriate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counteract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«</w:t>
      </w:r>
      <w:proofErr w:type="spellStart"/>
      <w:r>
        <w:t>poor</w:t>
      </w:r>
      <w:proofErr w:type="spellEnd"/>
      <w:r>
        <w:t xml:space="preserve">» </w:t>
      </w:r>
      <w:proofErr w:type="spellStart"/>
      <w:r>
        <w:lastRenderedPageBreak/>
        <w:t>buildings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run energy-</w:t>
      </w:r>
      <w:proofErr w:type="spellStart"/>
      <w:r>
        <w:t>efficiently</w:t>
      </w:r>
      <w:proofErr w:type="spellEnd"/>
      <w:r>
        <w:t>.</w:t>
      </w:r>
      <w:r>
        <w:rPr>
          <w:vertAlign w:val="superscript"/>
        </w:rPr>
        <w:footnoteReference w:id="44"/>
      </w:r>
      <w:r>
        <w:t xml:space="preserve">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investments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needed</w:t>
      </w:r>
      <w:proofErr w:type="spellEnd"/>
      <w:r>
        <w:t xml:space="preserve"> to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satisfy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existing</w:t>
      </w:r>
      <w:proofErr w:type="spellEnd"/>
      <w:r>
        <w:t xml:space="preserve"> and in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>.</w:t>
      </w:r>
    </w:p>
    <w:p w:rsidR="007D3CA2" w:rsidRDefault="007D3CA2" w:rsidP="007D3CA2">
      <w:pPr>
        <w:pStyle w:val="tittel-ramme"/>
      </w:pPr>
      <w:r>
        <w:t xml:space="preserve">Museum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Archaeology</w:t>
      </w:r>
      <w:proofErr w:type="spellEnd"/>
    </w:p>
    <w:p w:rsidR="007D3CA2" w:rsidRDefault="007D3CA2" w:rsidP="007D3CA2">
      <w:r>
        <w:t xml:space="preserve">The Museum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Archaeology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 in 1975 and has </w:t>
      </w:r>
      <w:proofErr w:type="spellStart"/>
      <w:r>
        <w:t>been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Stavanger </w:t>
      </w:r>
      <w:proofErr w:type="spellStart"/>
      <w:r>
        <w:t>since</w:t>
      </w:r>
      <w:proofErr w:type="spellEnd"/>
      <w:r>
        <w:t xml:space="preserve"> 2009. The museum is </w:t>
      </w:r>
      <w:proofErr w:type="spellStart"/>
      <w:r>
        <w:t>responsible</w:t>
      </w:r>
      <w:proofErr w:type="spellEnd"/>
      <w:r>
        <w:t xml:space="preserve"> for </w:t>
      </w:r>
      <w:proofErr w:type="spellStart"/>
      <w:r>
        <w:t>collecting</w:t>
      </w:r>
      <w:proofErr w:type="spellEnd"/>
      <w:r>
        <w:t xml:space="preserve">, </w:t>
      </w:r>
      <w:proofErr w:type="spellStart"/>
      <w:r>
        <w:t>conserving</w:t>
      </w:r>
      <w:proofErr w:type="spellEnd"/>
      <w:r>
        <w:t xml:space="preserve"> and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from pre-</w:t>
      </w:r>
      <w:proofErr w:type="spellStart"/>
      <w:r>
        <w:t>reformation</w:t>
      </w:r>
      <w:proofErr w:type="spellEnd"/>
      <w:r>
        <w:t xml:space="preserve"> times, and is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housed</w:t>
      </w:r>
      <w:proofErr w:type="spellEnd"/>
      <w:r>
        <w:t xml:space="preserve"> in </w:t>
      </w:r>
      <w:proofErr w:type="spellStart"/>
      <w:r>
        <w:t>premises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1920s and 1990s.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plans for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adjoining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for </w:t>
      </w:r>
      <w:proofErr w:type="spellStart"/>
      <w:r>
        <w:t>education</w:t>
      </w:r>
      <w:proofErr w:type="spellEnd"/>
      <w:r>
        <w:t xml:space="preserve"> and visitor services,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renovated</w:t>
      </w:r>
      <w:proofErr w:type="spellEnd"/>
      <w:r>
        <w:t xml:space="preserve">. The overall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is 6 100 m</w:t>
      </w:r>
      <w:r>
        <w:rPr>
          <w:rStyle w:val="skrift-hevet"/>
          <w:sz w:val="21"/>
          <w:szCs w:val="21"/>
        </w:rPr>
        <w:t>2</w:t>
      </w:r>
      <w:r>
        <w:t xml:space="preserve">. The </w:t>
      </w:r>
      <w:proofErr w:type="spellStart"/>
      <w:r>
        <w:t>newbuild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problems </w:t>
      </w:r>
      <w:proofErr w:type="spellStart"/>
      <w:r>
        <w:t>of</w:t>
      </w:r>
      <w:proofErr w:type="spellEnd"/>
      <w:r>
        <w:t xml:space="preserve"> </w:t>
      </w:r>
      <w:proofErr w:type="spellStart"/>
      <w:r>
        <w:t>cramped</w:t>
      </w:r>
      <w:proofErr w:type="spellEnd"/>
      <w:r>
        <w:t xml:space="preserve"> visitor </w:t>
      </w:r>
      <w:proofErr w:type="spellStart"/>
      <w:r>
        <w:t>facilities</w:t>
      </w:r>
      <w:proofErr w:type="spellEnd"/>
      <w:r>
        <w:t xml:space="preserve"> and </w:t>
      </w:r>
      <w:proofErr w:type="spellStart"/>
      <w:r>
        <w:t>unsatisfactory</w:t>
      </w:r>
      <w:proofErr w:type="spellEnd"/>
      <w:r>
        <w:t xml:space="preserve"> </w:t>
      </w:r>
      <w:proofErr w:type="spellStart"/>
      <w:r>
        <w:t>safeguarding</w:t>
      </w:r>
      <w:proofErr w:type="spellEnd"/>
      <w:r>
        <w:t xml:space="preserve"> and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artefacts</w:t>
      </w:r>
      <w:proofErr w:type="spellEnd"/>
      <w:r>
        <w:t>.</w:t>
      </w:r>
    </w:p>
    <w:p w:rsidR="007D3CA2" w:rsidRDefault="007D3CA2">
      <w:pPr>
        <w:pStyle w:val="Ramme-slutt"/>
        <w:rPr>
          <w:sz w:val="26"/>
          <w:szCs w:val="26"/>
        </w:rPr>
      </w:pPr>
      <w:r>
        <w:rPr>
          <w:sz w:val="26"/>
          <w:szCs w:val="26"/>
        </w:rPr>
        <w:t>Rammeslutt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>:</w:t>
      </w:r>
    </w:p>
    <w:p w:rsidR="007D3CA2" w:rsidRDefault="007D3CA2" w:rsidP="007D3CA2">
      <w:pPr>
        <w:pStyle w:val="Liste"/>
        <w:rPr>
          <w:rFonts w:cs="Times New Roman"/>
          <w:szCs w:val="24"/>
          <w:lang w:val="en-GB"/>
        </w:rPr>
      </w:pPr>
      <w:proofErr w:type="spellStart"/>
      <w:r>
        <w:t>universities</w:t>
      </w:r>
      <w:proofErr w:type="spellEnd"/>
      <w:r>
        <w:t xml:space="preserve"> and </w:t>
      </w:r>
      <w:proofErr w:type="spellStart"/>
      <w:r>
        <w:t>university</w:t>
      </w:r>
      <w:proofErr w:type="spellEnd"/>
      <w:r>
        <w:t xml:space="preserve"> colleges to play a part in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used in </w:t>
      </w:r>
      <w:proofErr w:type="spellStart"/>
      <w:r>
        <w:t>developing</w:t>
      </w:r>
      <w:proofErr w:type="spellEnd"/>
      <w:r>
        <w:t xml:space="preserve"> and </w:t>
      </w:r>
      <w:proofErr w:type="spellStart"/>
      <w:r>
        <w:t>deploying</w:t>
      </w:r>
      <w:proofErr w:type="spellEnd"/>
      <w:r>
        <w:t xml:space="preserve"> </w:t>
      </w:r>
      <w:proofErr w:type="spellStart"/>
      <w:r>
        <w:t>cost-effective</w:t>
      </w:r>
      <w:proofErr w:type="spellEnd"/>
      <w:r>
        <w:t xml:space="preserve">, </w:t>
      </w:r>
      <w:proofErr w:type="spellStart"/>
      <w:r>
        <w:t>sustainable</w:t>
      </w:r>
      <w:proofErr w:type="spellEnd"/>
      <w:r>
        <w:t xml:space="preserve"> and </w:t>
      </w:r>
      <w:proofErr w:type="spellStart"/>
      <w:r>
        <w:t>climate</w:t>
      </w:r>
      <w:proofErr w:type="spellEnd"/>
      <w:r>
        <w:t xml:space="preserve"> and </w:t>
      </w:r>
      <w:proofErr w:type="spellStart"/>
      <w:r>
        <w:t>environmentally</w:t>
      </w:r>
      <w:proofErr w:type="spellEnd"/>
      <w:r>
        <w:t xml:space="preserve"> </w:t>
      </w:r>
      <w:proofErr w:type="spellStart"/>
      <w:r>
        <w:t>friendly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satisfy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develop</w:t>
      </w:r>
      <w:proofErr w:type="spellEnd"/>
      <w:r>
        <w:t xml:space="preserve"> and </w:t>
      </w:r>
      <w:proofErr w:type="spellStart"/>
      <w:r>
        <w:t>use</w:t>
      </w:r>
      <w:proofErr w:type="spellEnd"/>
      <w:r>
        <w:t xml:space="preserve"> green </w:t>
      </w:r>
      <w:proofErr w:type="spellStart"/>
      <w:r>
        <w:t>indicators</w:t>
      </w:r>
      <w:proofErr w:type="spellEnd"/>
      <w:r>
        <w:t xml:space="preserve"> to </w:t>
      </w:r>
      <w:proofErr w:type="spellStart"/>
      <w:r>
        <w:t>highlight</w:t>
      </w:r>
      <w:proofErr w:type="spellEnd"/>
      <w:r>
        <w:t xml:space="preserve"> and monitor </w:t>
      </w:r>
      <w:proofErr w:type="spellStart"/>
      <w:r>
        <w:t>climate-related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campus </w:t>
      </w:r>
      <w:proofErr w:type="spellStart"/>
      <w:r>
        <w:t>development</w:t>
      </w:r>
      <w:proofErr w:type="spellEnd"/>
      <w:r>
        <w:t>;</w:t>
      </w:r>
    </w:p>
    <w:p w:rsidR="007D3CA2" w:rsidRDefault="007D3CA2" w:rsidP="007D3CA2">
      <w:pPr>
        <w:pStyle w:val="Liste"/>
      </w:pPr>
      <w:proofErr w:type="spellStart"/>
      <w:r>
        <w:t>review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overall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>.</w:t>
      </w:r>
    </w:p>
    <w:p w:rsidR="007D3CA2" w:rsidRDefault="007D3CA2" w:rsidP="007D3CA2">
      <w:pPr>
        <w:pStyle w:val="Overskrift2"/>
      </w:pPr>
      <w:proofErr w:type="spellStart"/>
      <w:r>
        <w:t>Unique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for Norwegian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 and </w:t>
      </w:r>
      <w:proofErr w:type="spellStart"/>
      <w:r>
        <w:t>identity</w:t>
      </w:r>
      <w:proofErr w:type="spellEnd"/>
      <w:r>
        <w:t xml:space="preserve"> </w:t>
      </w:r>
    </w:p>
    <w:p w:rsidR="007D3CA2" w:rsidRDefault="007D3CA2" w:rsidP="007D3CA2">
      <w:pPr>
        <w:pStyle w:val="Overskrift3"/>
      </w:pPr>
      <w:proofErr w:type="spellStart"/>
      <w:r>
        <w:t>University</w:t>
      </w:r>
      <w:proofErr w:type="spellEnd"/>
      <w:r>
        <w:t xml:space="preserve"> museums</w:t>
      </w:r>
    </w:p>
    <w:p w:rsidR="007D3CA2" w:rsidRDefault="007D3CA2" w:rsidP="007D3CA2">
      <w:r>
        <w:t xml:space="preserve">The Norwegian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and Technology,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Bergen, Oslo and Stavanger and UiT The Arctic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Norway have </w:t>
      </w:r>
      <w:proofErr w:type="spellStart"/>
      <w:r>
        <w:t>been</w:t>
      </w:r>
      <w:proofErr w:type="spellEnd"/>
      <w:r>
        <w:t xml:space="preserve"> given a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running</w:t>
      </w:r>
      <w:proofErr w:type="spellEnd"/>
      <w:r>
        <w:t xml:space="preserve"> museums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and </w:t>
      </w:r>
      <w:proofErr w:type="spellStart"/>
      <w:r>
        <w:t>exhibitions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. The </w:t>
      </w:r>
      <w:proofErr w:type="spellStart"/>
      <w:r>
        <w:t>university</w:t>
      </w:r>
      <w:proofErr w:type="spellEnd"/>
      <w:r>
        <w:t xml:space="preserve"> museums </w:t>
      </w:r>
      <w:proofErr w:type="spellStart"/>
      <w:r>
        <w:t>manage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and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, </w:t>
      </w:r>
      <w:proofErr w:type="spellStart"/>
      <w:r>
        <w:t>containing</w:t>
      </w:r>
      <w:proofErr w:type="spellEnd"/>
      <w:r>
        <w:t xml:space="preserve"> a total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19 million </w:t>
      </w:r>
      <w:proofErr w:type="spellStart"/>
      <w:r>
        <w:t>objects</w:t>
      </w:r>
      <w:proofErr w:type="spellEnd"/>
      <w:r>
        <w:t xml:space="preserve">, and have a total </w:t>
      </w:r>
      <w:proofErr w:type="spellStart"/>
      <w:r>
        <w:t>floor</w:t>
      </w:r>
      <w:proofErr w:type="spellEnd"/>
      <w:r>
        <w:t xml:space="preserve"> area </w:t>
      </w:r>
      <w:proofErr w:type="spellStart"/>
      <w:r>
        <w:t>of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> 130 000 m</w:t>
      </w:r>
      <w:r>
        <w:rPr>
          <w:rStyle w:val="skrift-hevet"/>
          <w:sz w:val="21"/>
          <w:szCs w:val="21"/>
        </w:rPr>
        <w:t>2</w:t>
      </w:r>
      <w:r>
        <w:t xml:space="preserve">. In 2017,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museums </w:t>
      </w:r>
      <w:proofErr w:type="spellStart"/>
      <w:r>
        <w:t>had</w:t>
      </w:r>
      <w:proofErr w:type="spellEnd"/>
      <w:r>
        <w:t xml:space="preserve"> just under 1.9 million visitors.</w:t>
      </w:r>
    </w:p>
    <w:p w:rsidR="007D3CA2" w:rsidRDefault="007D3CA2" w:rsidP="007D3CA2">
      <w:pPr>
        <w:pStyle w:val="tittel-ramme"/>
      </w:pPr>
      <w:r>
        <w:t xml:space="preserve">Viking Age Museum, Museum </w:t>
      </w:r>
      <w:proofErr w:type="spellStart"/>
      <w:r>
        <w:t>of</w:t>
      </w:r>
      <w:proofErr w:type="spellEnd"/>
      <w:r>
        <w:t xml:space="preserve"> Cultural </w:t>
      </w:r>
      <w:proofErr w:type="spellStart"/>
      <w:r>
        <w:t>History</w:t>
      </w:r>
      <w:proofErr w:type="spellEnd"/>
    </w:p>
    <w:p w:rsidR="007D3CA2" w:rsidRDefault="007D3CA2" w:rsidP="007D3CA2">
      <w:r>
        <w:t xml:space="preserve">The </w:t>
      </w:r>
      <w:proofErr w:type="spellStart"/>
      <w:r>
        <w:t>world’s</w:t>
      </w:r>
      <w:proofErr w:type="spellEnd"/>
      <w:r>
        <w:t xml:space="preserve"> best </w:t>
      </w:r>
      <w:proofErr w:type="spellStart"/>
      <w:r>
        <w:t>preserved</w:t>
      </w:r>
      <w:proofErr w:type="spellEnd"/>
      <w:r>
        <w:t xml:space="preserve"> Viking </w:t>
      </w:r>
      <w:proofErr w:type="spellStart"/>
      <w:r>
        <w:t>ships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Oseberg, Gokstad and Tune </w:t>
      </w:r>
      <w:proofErr w:type="spellStart"/>
      <w:r>
        <w:t>ships</w:t>
      </w:r>
      <w:proofErr w:type="spellEnd"/>
      <w:r>
        <w:t xml:space="preserve">, </w:t>
      </w:r>
      <w:proofErr w:type="spellStart"/>
      <w:r>
        <w:t>will</w:t>
      </w:r>
      <w:proofErr w:type="spellEnd"/>
      <w:r>
        <w:t xml:space="preserve"> make up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Viking Age Museum, </w:t>
      </w:r>
      <w:proofErr w:type="spellStart"/>
      <w:r>
        <w:t>which</w:t>
      </w:r>
      <w:proofErr w:type="spellEnd"/>
      <w:r>
        <w:t xml:space="preserve"> is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Cultural </w:t>
      </w:r>
      <w:proofErr w:type="spellStart"/>
      <w:r>
        <w:t>History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Oslo. This is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distinctive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, and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iconic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make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</w:t>
      </w:r>
      <w:proofErr w:type="spellStart"/>
      <w:r>
        <w:t>globally</w:t>
      </w:r>
      <w:proofErr w:type="spellEnd"/>
      <w:r>
        <w:t xml:space="preserve"> </w:t>
      </w:r>
      <w:proofErr w:type="spellStart"/>
      <w:r>
        <w:t>unique</w:t>
      </w:r>
      <w:proofErr w:type="spellEnd"/>
      <w:r>
        <w:t>.</w:t>
      </w:r>
    </w:p>
    <w:p w:rsidR="007D3CA2" w:rsidRDefault="007D3CA2" w:rsidP="007D3CA2">
      <w:proofErr w:type="spellStart"/>
      <w:r>
        <w:t>Safeguarding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Viking Age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is a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.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has </w:t>
      </w:r>
      <w:proofErr w:type="spellStart"/>
      <w:r>
        <w:t>discovered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have </w:t>
      </w:r>
      <w:proofErr w:type="spellStart"/>
      <w:r>
        <w:t>deteriorated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. In </w:t>
      </w:r>
      <w:proofErr w:type="spellStart"/>
      <w:r>
        <w:t>addition</w:t>
      </w:r>
      <w:proofErr w:type="spellEnd"/>
      <w:r>
        <w:t xml:space="preserve">, more </w:t>
      </w:r>
      <w:proofErr w:type="spellStart"/>
      <w:r>
        <w:t>than</w:t>
      </w:r>
      <w:proofErr w:type="spellEnd"/>
      <w:r>
        <w:t xml:space="preserve"> 100 000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visit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month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summer </w:t>
      </w:r>
      <w:proofErr w:type="spellStart"/>
      <w:r>
        <w:t>season</w:t>
      </w:r>
      <w:proofErr w:type="spellEnd"/>
      <w:r>
        <w:t xml:space="preserve">. This </w:t>
      </w:r>
      <w:proofErr w:type="spellStart"/>
      <w:r>
        <w:t>puts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and </w:t>
      </w:r>
      <w:proofErr w:type="spellStart"/>
      <w:r>
        <w:t>artefacts</w:t>
      </w:r>
      <w:proofErr w:type="spellEnd"/>
      <w:r>
        <w:t xml:space="preserve">, and makes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more </w:t>
      </w:r>
      <w:proofErr w:type="spellStart"/>
      <w:r>
        <w:t>important</w:t>
      </w:r>
      <w:proofErr w:type="spellEnd"/>
      <w:r>
        <w:t xml:space="preserve">.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best </w:t>
      </w:r>
      <w:proofErr w:type="spellStart"/>
      <w:r>
        <w:t>solution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Viking Age </w:t>
      </w:r>
      <w:proofErr w:type="spellStart"/>
      <w:r>
        <w:t>collection</w:t>
      </w:r>
      <w:proofErr w:type="spellEnd"/>
      <w:r>
        <w:t>.</w:t>
      </w:r>
    </w:p>
    <w:p w:rsidR="007D3CA2" w:rsidRDefault="007D3CA2" w:rsidP="007D3CA2">
      <w:r>
        <w:t xml:space="preserve">An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appointed</w:t>
      </w:r>
      <w:proofErr w:type="spellEnd"/>
      <w:r>
        <w:t xml:space="preserve"> to make a risk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plans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ships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in 2012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Viking </w:t>
      </w:r>
      <w:proofErr w:type="spellStart"/>
      <w:r>
        <w:t>ship</w:t>
      </w:r>
      <w:proofErr w:type="spellEnd"/>
      <w:r>
        <w:t xml:space="preserve"> </w:t>
      </w:r>
      <w:proofErr w:type="spellStart"/>
      <w:r>
        <w:t>assemblage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not to be </w:t>
      </w:r>
      <w:proofErr w:type="spellStart"/>
      <w:r>
        <w:t>moved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endorsed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proposal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</w:t>
      </w:r>
      <w:proofErr w:type="spellEnd"/>
      <w:r>
        <w:t xml:space="preserve"> at Bygdøy in Oslo. Expansion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buildings</w:t>
      </w:r>
      <w:proofErr w:type="spellEnd"/>
      <w:r>
        <w:t xml:space="preserve"> is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to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and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generations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given </w:t>
      </w:r>
      <w:proofErr w:type="spellStart"/>
      <w:r>
        <w:t>access</w:t>
      </w:r>
      <w:proofErr w:type="spellEnd"/>
      <w:r>
        <w:t xml:space="preserve"> to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lastRenderedPageBreak/>
        <w:t>history</w:t>
      </w:r>
      <w:proofErr w:type="spellEnd"/>
      <w:r>
        <w:t xml:space="preserve"> and an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Viking Age. The </w:t>
      </w:r>
      <w:proofErr w:type="spellStart"/>
      <w:r>
        <w:t>framework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is a </w:t>
      </w:r>
      <w:proofErr w:type="spellStart"/>
      <w:r>
        <w:t>maximum</w:t>
      </w:r>
      <w:proofErr w:type="spellEnd"/>
      <w:r>
        <w:t xml:space="preserve"> gross area </w:t>
      </w:r>
      <w:proofErr w:type="spellStart"/>
      <w:r>
        <w:t>of</w:t>
      </w:r>
      <w:proofErr w:type="spellEnd"/>
      <w:r>
        <w:t xml:space="preserve"> 13 100 m</w:t>
      </w:r>
      <w:r>
        <w:rPr>
          <w:rStyle w:val="skrift-hevet"/>
          <w:sz w:val="21"/>
          <w:szCs w:val="21"/>
        </w:rPr>
        <w:t>2</w:t>
      </w:r>
      <w:r>
        <w:t xml:space="preserve">,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9 300 m</w:t>
      </w:r>
      <w:r>
        <w:rPr>
          <w:rStyle w:val="skrift-hevet"/>
          <w:sz w:val="21"/>
          <w:szCs w:val="21"/>
        </w:rPr>
        <w:t xml:space="preserve">2 </w:t>
      </w:r>
      <w:r>
        <w:t xml:space="preserve">is </w:t>
      </w:r>
      <w:proofErr w:type="spellStart"/>
      <w:r>
        <w:t>newbuilds</w:t>
      </w:r>
      <w:proofErr w:type="spellEnd"/>
      <w:r>
        <w:t>.</w:t>
      </w:r>
    </w:p>
    <w:p w:rsidR="007D3CA2" w:rsidRDefault="007D3CA2">
      <w:pPr>
        <w:pStyle w:val="Ramme-slutt"/>
        <w:rPr>
          <w:sz w:val="26"/>
          <w:szCs w:val="26"/>
        </w:rPr>
      </w:pPr>
      <w:r>
        <w:rPr>
          <w:sz w:val="26"/>
          <w:szCs w:val="26"/>
        </w:rPr>
        <w:t>Rammeslutt</w:t>
      </w:r>
    </w:p>
    <w:p w:rsidR="007D3CA2" w:rsidRDefault="007D3CA2" w:rsidP="007D3CA2">
      <w:r>
        <w:t xml:space="preserve">The Office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Auditor</w:t>
      </w:r>
      <w:proofErr w:type="spellEnd"/>
      <w:r>
        <w:t xml:space="preserve">-General has </w:t>
      </w:r>
      <w:proofErr w:type="spellStart"/>
      <w:r>
        <w:t>twice</w:t>
      </w:r>
      <w:proofErr w:type="spellEnd"/>
      <w:r>
        <w:t xml:space="preserve"> </w:t>
      </w:r>
      <w:proofErr w:type="spellStart"/>
      <w:r>
        <w:t>investigated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and </w:t>
      </w:r>
      <w:proofErr w:type="spellStart"/>
      <w:r>
        <w:t>safeguarding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at </w:t>
      </w:r>
      <w:proofErr w:type="spellStart"/>
      <w:r>
        <w:t>public</w:t>
      </w:r>
      <w:proofErr w:type="spellEnd"/>
      <w:r>
        <w:t xml:space="preserve"> museums, and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at </w:t>
      </w:r>
      <w:proofErr w:type="spellStart"/>
      <w:r>
        <w:t>university</w:t>
      </w:r>
      <w:proofErr w:type="spellEnd"/>
      <w:r>
        <w:t xml:space="preserve"> museums have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in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responsibilities</w:t>
      </w:r>
      <w:proofErr w:type="spellEnd"/>
      <w:r>
        <w:t xml:space="preserve"> has not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satisfactory</w:t>
      </w:r>
      <w:proofErr w:type="spellEnd"/>
      <w:r>
        <w:t>.</w:t>
      </w:r>
      <w:r>
        <w:rPr>
          <w:vertAlign w:val="superscript"/>
        </w:rPr>
        <w:footnoteReference w:id="45"/>
      </w:r>
      <w:r>
        <w:t xml:space="preserve"> In </w:t>
      </w:r>
      <w:proofErr w:type="spellStart"/>
      <w:r>
        <w:t>response</w:t>
      </w:r>
      <w:proofErr w:type="spellEnd"/>
      <w:r>
        <w:t xml:space="preserve"> to a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museums (Report No. 15 (2007–2008) to </w:t>
      </w:r>
      <w:proofErr w:type="spellStart"/>
      <w:r>
        <w:t>the</w:t>
      </w:r>
      <w:proofErr w:type="spellEnd"/>
      <w:r>
        <w:t xml:space="preserve"> Storting),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Ministry’s</w:t>
      </w:r>
      <w:proofErr w:type="spellEnd"/>
      <w:r>
        <w:t xml:space="preserve"> overall administrative </w:t>
      </w:r>
      <w:proofErr w:type="spellStart"/>
      <w:r>
        <w:t>control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’ </w:t>
      </w:r>
      <w:proofErr w:type="spellStart"/>
      <w:r>
        <w:t>internal</w:t>
      </w:r>
      <w:proofErr w:type="spellEnd"/>
      <w:r>
        <w:t xml:space="preserve"> management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museums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.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museums is </w:t>
      </w:r>
      <w:proofErr w:type="spellStart"/>
      <w:r>
        <w:t>now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’ management </w:t>
      </w:r>
      <w:proofErr w:type="spellStart"/>
      <w:r>
        <w:t>documents</w:t>
      </w:r>
      <w:proofErr w:type="spellEnd"/>
      <w:r>
        <w:t xml:space="preserve"> and </w:t>
      </w:r>
      <w:proofErr w:type="spellStart"/>
      <w:r>
        <w:t>routines</w:t>
      </w:r>
      <w:proofErr w:type="spellEnd"/>
      <w:r>
        <w:t xml:space="preserve">. The </w:t>
      </w:r>
      <w:proofErr w:type="spellStart"/>
      <w:r>
        <w:t>institutions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a </w:t>
      </w:r>
      <w:proofErr w:type="spellStart"/>
      <w:r>
        <w:t>concerted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over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and </w:t>
      </w:r>
      <w:proofErr w:type="spellStart"/>
      <w:r>
        <w:t>some</w:t>
      </w:r>
      <w:proofErr w:type="spellEnd"/>
      <w:r>
        <w:t xml:space="preserve"> have </w:t>
      </w:r>
      <w:proofErr w:type="spellStart"/>
      <w:r>
        <w:t>solved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problems by </w:t>
      </w:r>
      <w:proofErr w:type="spellStart"/>
      <w:r>
        <w:t>renting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. Major </w:t>
      </w:r>
      <w:proofErr w:type="spellStart"/>
      <w:r>
        <w:t>challenges</w:t>
      </w:r>
      <w:proofErr w:type="spellEnd"/>
      <w:r>
        <w:t xml:space="preserve"> still </w:t>
      </w:r>
      <w:proofErr w:type="spellStart"/>
      <w:r>
        <w:t>remain</w:t>
      </w:r>
      <w:proofErr w:type="spellEnd"/>
      <w:r>
        <w:t xml:space="preserve">, </w:t>
      </w:r>
      <w:proofErr w:type="spellStart"/>
      <w:r>
        <w:t>however</w:t>
      </w:r>
      <w:proofErr w:type="spellEnd"/>
      <w:r>
        <w:t xml:space="preserve">.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Viking Age </w:t>
      </w:r>
      <w:proofErr w:type="spellStart"/>
      <w:r>
        <w:t>collection</w:t>
      </w:r>
      <w:proofErr w:type="spellEnd"/>
      <w:r>
        <w:t xml:space="preserve"> in Oslo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alum</w:t>
      </w:r>
      <w:proofErr w:type="spellEnd"/>
      <w:r>
        <w:t xml:space="preserve"> </w:t>
      </w:r>
      <w:proofErr w:type="spellStart"/>
      <w:r>
        <w:t>conservation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and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disintegrating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, </w:t>
      </w:r>
      <w:proofErr w:type="spellStart"/>
      <w:r>
        <w:t>see</w:t>
      </w:r>
      <w:proofErr w:type="spellEnd"/>
      <w:r>
        <w:t xml:space="preserve"> Box 8.6. Large parts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museum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in </w:t>
      </w:r>
      <w:proofErr w:type="spellStart"/>
      <w:r>
        <w:t>storage</w:t>
      </w:r>
      <w:proofErr w:type="spellEnd"/>
      <w:r>
        <w:t xml:space="preserve">, </w:t>
      </w:r>
      <w:proofErr w:type="spellStart"/>
      <w:r>
        <w:t>unavailable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thefts</w:t>
      </w:r>
      <w:proofErr w:type="spellEnd"/>
      <w:r>
        <w:t xml:space="preserve"> from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Bergen in 2017.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2018 status report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sector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risk </w:t>
      </w:r>
      <w:proofErr w:type="spellStart"/>
      <w:r>
        <w:t>of</w:t>
      </w:r>
      <w:proofErr w:type="spellEnd"/>
      <w:r>
        <w:t xml:space="preserve"> water </w:t>
      </w:r>
      <w:proofErr w:type="spellStart"/>
      <w:r>
        <w:t>damage</w:t>
      </w:r>
      <w:proofErr w:type="spellEnd"/>
      <w:r>
        <w:t xml:space="preserve"> is </w:t>
      </w:r>
      <w:proofErr w:type="spellStart"/>
      <w:r>
        <w:t>high</w:t>
      </w:r>
      <w:proofErr w:type="spellEnd"/>
      <w:r>
        <w:t xml:space="preserve"> at most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museums.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,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preparedness</w:t>
      </w:r>
      <w:proofErr w:type="spellEnd"/>
      <w:r>
        <w:t xml:space="preserve"> and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(</w:t>
      </w:r>
      <w:proofErr w:type="spellStart"/>
      <w:r>
        <w:t>humidity</w:t>
      </w:r>
      <w:proofErr w:type="spellEnd"/>
      <w:r>
        <w:t xml:space="preserve"> and </w:t>
      </w:r>
      <w:proofErr w:type="spellStart"/>
      <w:r>
        <w:t>temperature</w:t>
      </w:r>
      <w:proofErr w:type="spellEnd"/>
      <w:r>
        <w:t xml:space="preserve">). The </w:t>
      </w:r>
      <w:proofErr w:type="spellStart"/>
      <w:r>
        <w:t>extent</w:t>
      </w:r>
      <w:proofErr w:type="spellEnd"/>
      <w:r>
        <w:t xml:space="preserve">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digitised</w:t>
      </w:r>
      <w:proofErr w:type="spellEnd"/>
      <w:r>
        <w:t xml:space="preserve"> and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online </w:t>
      </w:r>
      <w:proofErr w:type="spellStart"/>
      <w:r>
        <w:t>varies</w:t>
      </w:r>
      <w:proofErr w:type="spellEnd"/>
      <w:r>
        <w:t xml:space="preserve"> </w:t>
      </w:r>
      <w:proofErr w:type="spellStart"/>
      <w:r>
        <w:t>widely</w:t>
      </w:r>
      <w:proofErr w:type="spellEnd"/>
      <w:r>
        <w:t xml:space="preserve">. </w:t>
      </w:r>
      <w:proofErr w:type="spellStart"/>
      <w:r>
        <w:t>Safeguarding</w:t>
      </w:r>
      <w:proofErr w:type="spellEnd"/>
      <w:r>
        <w:t xml:space="preserve"> and </w:t>
      </w:r>
      <w:proofErr w:type="spellStart"/>
      <w:r>
        <w:t>conserving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for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premises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expanded</w:t>
      </w:r>
      <w:proofErr w:type="spellEnd"/>
      <w:r>
        <w:t xml:space="preserve"> and </w:t>
      </w:r>
      <w:proofErr w:type="spellStart"/>
      <w:r>
        <w:t>upgraded</w:t>
      </w:r>
      <w:proofErr w:type="spellEnd"/>
      <w:r>
        <w:t xml:space="preserve">. </w:t>
      </w:r>
    </w:p>
    <w:p w:rsidR="007D3CA2" w:rsidRDefault="007D3CA2" w:rsidP="007D3CA2">
      <w:proofErr w:type="spellStart"/>
      <w:r>
        <w:t>Restoration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Bergen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autumn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2018,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exhibitions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completed</w:t>
      </w:r>
      <w:proofErr w:type="spellEnd"/>
      <w:r>
        <w:t xml:space="preserve"> in spring 2019. The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Viking Age Museum (part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Cultural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Oslo) and for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Archaeology</w:t>
      </w:r>
      <w:proofErr w:type="spellEnd"/>
      <w:r>
        <w:t xml:space="preserve"> (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Stavanger). The </w:t>
      </w:r>
      <w:proofErr w:type="spellStart"/>
      <w:r>
        <w:t>Government</w:t>
      </w:r>
      <w:proofErr w:type="spellEnd"/>
      <w:r>
        <w:t xml:space="preserve"> has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site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Arctic </w:t>
      </w:r>
      <w:proofErr w:type="spellStart"/>
      <w:r>
        <w:t>University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Norway in Tromsø,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planned</w:t>
      </w:r>
      <w:proofErr w:type="spellEnd"/>
      <w:r>
        <w:t xml:space="preserve"> as an </w:t>
      </w:r>
      <w:proofErr w:type="spellStart"/>
      <w:r>
        <w:t>ordinary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. The </w:t>
      </w:r>
      <w:proofErr w:type="spellStart"/>
      <w:r>
        <w:t>concept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Campus NTNU </w:t>
      </w:r>
      <w:proofErr w:type="spellStart"/>
      <w:r>
        <w:t>includes</w:t>
      </w:r>
      <w:proofErr w:type="spellEnd"/>
      <w:r>
        <w:t xml:space="preserve"> plans for an </w:t>
      </w:r>
      <w:proofErr w:type="spellStart"/>
      <w:r>
        <w:t>upgrade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areas at </w:t>
      </w:r>
      <w:proofErr w:type="spellStart"/>
      <w:r>
        <w:t>the</w:t>
      </w:r>
      <w:proofErr w:type="spellEnd"/>
      <w:r>
        <w:t xml:space="preserve"> NTNU </w:t>
      </w:r>
      <w:proofErr w:type="spellStart"/>
      <w:r>
        <w:t>University</w:t>
      </w:r>
      <w:proofErr w:type="spellEnd"/>
      <w:r>
        <w:t xml:space="preserve"> Museum.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exhibition</w:t>
      </w:r>
      <w:proofErr w:type="spellEnd"/>
      <w:r>
        <w:t xml:space="preserve"> greenhouse at </w:t>
      </w:r>
      <w:proofErr w:type="spellStart"/>
      <w:r>
        <w:t>the</w:t>
      </w:r>
      <w:proofErr w:type="spellEnd"/>
      <w:r>
        <w:t xml:space="preserve"> Natural </w:t>
      </w:r>
      <w:proofErr w:type="spellStart"/>
      <w:r>
        <w:t>History</w:t>
      </w:r>
      <w:proofErr w:type="spellEnd"/>
      <w:r>
        <w:t xml:space="preserve"> Museum,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 is </w:t>
      </w:r>
      <w:proofErr w:type="spellStart"/>
      <w:r>
        <w:t>also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pre-</w:t>
      </w:r>
      <w:proofErr w:type="spellStart"/>
      <w:r>
        <w:t>project</w:t>
      </w:r>
      <w:proofErr w:type="spellEnd"/>
      <w:r>
        <w:t xml:space="preserve"> stage. </w:t>
      </w:r>
    </w:p>
    <w:p w:rsidR="007D3CA2" w:rsidRDefault="007D3CA2" w:rsidP="007D3CA2">
      <w:r>
        <w:t xml:space="preserve">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announced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it </w:t>
      </w:r>
      <w:proofErr w:type="spellStart"/>
      <w:r>
        <w:t>would</w:t>
      </w:r>
      <w:proofErr w:type="spellEnd"/>
      <w:r>
        <w:t xml:space="preserve"> make </w:t>
      </w:r>
      <w:proofErr w:type="spellStart"/>
      <w:r>
        <w:t>Norway’s</w:t>
      </w:r>
      <w:proofErr w:type="spellEnd"/>
      <w:r>
        <w:t xml:space="preserve">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heritage</w:t>
      </w:r>
      <w:proofErr w:type="spellEnd"/>
      <w:r>
        <w:t xml:space="preserve"> more </w:t>
      </w:r>
      <w:proofErr w:type="spellStart"/>
      <w:r>
        <w:t>accessible</w:t>
      </w:r>
      <w:proofErr w:type="spellEnd"/>
      <w:r>
        <w:t xml:space="preserve"> by </w:t>
      </w:r>
      <w:proofErr w:type="spellStart"/>
      <w:r>
        <w:t>strengthening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museums’ </w:t>
      </w:r>
      <w:proofErr w:type="spellStart"/>
      <w:r>
        <w:t>expertise</w:t>
      </w:r>
      <w:proofErr w:type="spellEnd"/>
      <w:r>
        <w:t xml:space="preserve"> in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interpretation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it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pre-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phase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Viking Age Museum,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Oslo, and </w:t>
      </w:r>
      <w:proofErr w:type="spellStart"/>
      <w:r>
        <w:t>the</w:t>
      </w:r>
      <w:proofErr w:type="spellEnd"/>
      <w:r>
        <w:t xml:space="preserve"> Museum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Archaeology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Stavanger.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make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safeguarding</w:t>
      </w:r>
      <w:proofErr w:type="spellEnd"/>
      <w:r>
        <w:t xml:space="preserve"> and </w:t>
      </w:r>
      <w:proofErr w:type="spellStart"/>
      <w:r>
        <w:t>conserving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and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and to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and disseminating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:rsidR="007D3CA2" w:rsidRDefault="007D3CA2" w:rsidP="007D3CA2">
      <w:r>
        <w:t xml:space="preserve">The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expects</w:t>
      </w:r>
      <w:proofErr w:type="spellEnd"/>
      <w:r>
        <w:t>:</w:t>
      </w:r>
    </w:p>
    <w:p w:rsidR="007D3CA2" w:rsidRDefault="007D3CA2" w:rsidP="007D3CA2">
      <w:pPr>
        <w:pStyle w:val="Liste"/>
      </w:pPr>
      <w:proofErr w:type="spellStart"/>
      <w:r>
        <w:t>the</w:t>
      </w:r>
      <w:proofErr w:type="spellEnd"/>
      <w:r>
        <w:t xml:space="preserve"> </w:t>
      </w:r>
      <w:proofErr w:type="spellStart"/>
      <w:r>
        <w:t>universities</w:t>
      </w:r>
      <w:proofErr w:type="spellEnd"/>
      <w:r>
        <w:t xml:space="preserve"> to </w:t>
      </w:r>
      <w:proofErr w:type="spellStart"/>
      <w:r>
        <w:t>fulfil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for </w:t>
      </w:r>
      <w:proofErr w:type="spellStart"/>
      <w:r>
        <w:t>safeguarding</w:t>
      </w:r>
      <w:proofErr w:type="spellEnd"/>
      <w:r>
        <w:t xml:space="preserve"> and </w:t>
      </w:r>
      <w:proofErr w:type="spellStart"/>
      <w:r>
        <w:t>conserving</w:t>
      </w:r>
      <w:proofErr w:type="spellEnd"/>
      <w:r>
        <w:t xml:space="preserve">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collections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digitally</w:t>
      </w:r>
      <w:proofErr w:type="spellEnd"/>
      <w:r>
        <w:t xml:space="preserve"> and </w:t>
      </w:r>
      <w:proofErr w:type="spellStart"/>
      <w:r>
        <w:t>ensuring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routines</w:t>
      </w:r>
      <w:proofErr w:type="spellEnd"/>
      <w:r>
        <w:t xml:space="preserve"> and </w:t>
      </w:r>
      <w:proofErr w:type="spellStart"/>
      <w:r>
        <w:t>satisfactory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preparedness</w:t>
      </w:r>
      <w:proofErr w:type="spellEnd"/>
      <w:r>
        <w:t>.</w:t>
      </w:r>
    </w:p>
    <w:sectPr w:rsidR="007D3C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CA2" w:rsidRDefault="007D3CA2">
      <w:pPr>
        <w:spacing w:after="0" w:line="240" w:lineRule="auto"/>
      </w:pPr>
      <w:r>
        <w:separator/>
      </w:r>
    </w:p>
  </w:endnote>
  <w:endnote w:type="continuationSeparator" w:id="0">
    <w:p w:rsidR="007D3CA2" w:rsidRDefault="007D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charset w:val="00"/>
    <w:family w:val="roman"/>
    <w:pitch w:val="variable"/>
    <w:sig w:usb0="20002A87" w:usb1="00000000" w:usb2="00000000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A2" w:rsidRDefault="007D3C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A2" w:rsidRDefault="007D3CA2" w:rsidP="007D3CA2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A2" w:rsidRDefault="007D3C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CA2" w:rsidRDefault="007D3CA2">
      <w:pPr>
        <w:spacing w:after="0" w:line="240" w:lineRule="auto"/>
      </w:pPr>
      <w:r>
        <w:separator/>
      </w:r>
    </w:p>
  </w:footnote>
  <w:footnote w:type="continuationSeparator" w:id="0">
    <w:p w:rsidR="007D3CA2" w:rsidRDefault="007D3CA2">
      <w:pPr>
        <w:spacing w:after="0" w:line="240" w:lineRule="auto"/>
      </w:pPr>
      <w:r>
        <w:continuationSeparator/>
      </w:r>
    </w:p>
  </w:footnote>
  <w:footnote w:id="1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 xml:space="preserve">OECD </w:t>
      </w:r>
      <w:proofErr w:type="spellStart"/>
      <w:r>
        <w:rPr>
          <w:rStyle w:val="kursiv"/>
          <w:sz w:val="17"/>
          <w:szCs w:val="17"/>
        </w:rPr>
        <w:t>Reviews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Innovation</w:t>
      </w:r>
      <w:proofErr w:type="spellEnd"/>
      <w:r>
        <w:rPr>
          <w:rStyle w:val="kursiv"/>
          <w:sz w:val="17"/>
          <w:szCs w:val="17"/>
        </w:rPr>
        <w:t xml:space="preserve"> Policy: Norway. 2017</w:t>
      </w:r>
    </w:p>
  </w:footnote>
  <w:footnote w:id="2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>https://www.uib.no/sdgbergen</w:t>
      </w:r>
    </w:p>
  </w:footnote>
  <w:footnote w:id="3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NTNU </w:t>
      </w:r>
      <w:proofErr w:type="spellStart"/>
      <w:r>
        <w:rPr>
          <w:rStyle w:val="kursiv"/>
          <w:sz w:val="17"/>
          <w:szCs w:val="17"/>
        </w:rPr>
        <w:t>Strategy</w:t>
      </w:r>
      <w:proofErr w:type="spellEnd"/>
      <w:r>
        <w:rPr>
          <w:rStyle w:val="kursiv"/>
          <w:sz w:val="17"/>
          <w:szCs w:val="17"/>
        </w:rPr>
        <w:t xml:space="preserve"> 2018–2025 Knowledge for a </w:t>
      </w:r>
      <w:proofErr w:type="spellStart"/>
      <w:r>
        <w:rPr>
          <w:rStyle w:val="kursiv"/>
          <w:sz w:val="17"/>
          <w:szCs w:val="17"/>
        </w:rPr>
        <w:t>better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world</w:t>
      </w:r>
      <w:proofErr w:type="spellEnd"/>
      <w:r>
        <w:rPr>
          <w:rStyle w:val="kursiv"/>
          <w:sz w:val="17"/>
          <w:szCs w:val="17"/>
        </w:rPr>
        <w:t xml:space="preserve">. </w:t>
      </w:r>
      <w:r>
        <w:rPr>
          <w:sz w:val="17"/>
          <w:szCs w:val="17"/>
        </w:rPr>
        <w:t>2017</w:t>
      </w:r>
    </w:p>
  </w:footnote>
  <w:footnote w:id="4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>See https://www.ntnu.no/baerekraftmaal</w:t>
      </w:r>
    </w:p>
  </w:footnote>
  <w:footnote w:id="5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>See http://www.sum.uio.no/english/research/groups/oslo-sdg-initiative/</w:t>
      </w:r>
    </w:p>
  </w:footnote>
  <w:footnote w:id="6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See </w:t>
      </w:r>
      <w:proofErr w:type="spellStart"/>
      <w:r>
        <w:rPr>
          <w:sz w:val="17"/>
          <w:szCs w:val="17"/>
        </w:rPr>
        <w:t>also</w:t>
      </w:r>
      <w:proofErr w:type="spellEnd"/>
      <w:r>
        <w:rPr>
          <w:sz w:val="17"/>
          <w:szCs w:val="17"/>
        </w:rPr>
        <w:t xml:space="preserve"> </w:t>
      </w:r>
      <w:r>
        <w:rPr>
          <w:rStyle w:val="kursiv"/>
          <w:sz w:val="17"/>
          <w:szCs w:val="17"/>
        </w:rPr>
        <w:t xml:space="preserve">Research for </w:t>
      </w:r>
      <w:proofErr w:type="spellStart"/>
      <w:r>
        <w:rPr>
          <w:rStyle w:val="kursiv"/>
          <w:sz w:val="17"/>
          <w:szCs w:val="17"/>
        </w:rPr>
        <w:t>Sustainable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Societal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Industrial</w:t>
      </w:r>
      <w:proofErr w:type="spellEnd"/>
      <w:r>
        <w:rPr>
          <w:rStyle w:val="kursiv"/>
          <w:sz w:val="17"/>
          <w:szCs w:val="17"/>
        </w:rPr>
        <w:t xml:space="preserve"> Development</w:t>
      </w:r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Research </w:t>
      </w:r>
      <w:proofErr w:type="spellStart"/>
      <w:r>
        <w:rPr>
          <w:sz w:val="17"/>
          <w:szCs w:val="17"/>
        </w:rPr>
        <w:t>Council's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Strategy</w:t>
      </w:r>
      <w:proofErr w:type="spellEnd"/>
      <w:r>
        <w:rPr>
          <w:sz w:val="17"/>
          <w:szCs w:val="17"/>
        </w:rPr>
        <w:t xml:space="preserve"> for </w:t>
      </w:r>
      <w:proofErr w:type="spellStart"/>
      <w:r>
        <w:rPr>
          <w:sz w:val="17"/>
          <w:szCs w:val="17"/>
        </w:rPr>
        <w:t>Sustainability</w:t>
      </w:r>
      <w:proofErr w:type="spellEnd"/>
      <w:r>
        <w:rPr>
          <w:sz w:val="17"/>
          <w:szCs w:val="17"/>
        </w:rPr>
        <w:t>, 2017–2020. 2017</w:t>
      </w:r>
    </w:p>
  </w:footnote>
  <w:footnote w:id="7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>https://www.eea.europa.eu/soer</w:t>
      </w:r>
    </w:p>
  </w:footnote>
  <w:footnote w:id="8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United Nations Environment </w:t>
      </w:r>
      <w:proofErr w:type="spellStart"/>
      <w:r>
        <w:rPr>
          <w:sz w:val="17"/>
          <w:szCs w:val="17"/>
        </w:rPr>
        <w:t>Programme</w:t>
      </w:r>
      <w:proofErr w:type="spellEnd"/>
      <w:r>
        <w:rPr>
          <w:sz w:val="17"/>
          <w:szCs w:val="17"/>
        </w:rPr>
        <w:t xml:space="preserve">, </w:t>
      </w:r>
      <w:r>
        <w:rPr>
          <w:rStyle w:val="kursiv"/>
          <w:sz w:val="17"/>
          <w:szCs w:val="17"/>
        </w:rPr>
        <w:t xml:space="preserve">The </w:t>
      </w:r>
      <w:proofErr w:type="spellStart"/>
      <w:r>
        <w:rPr>
          <w:rStyle w:val="kursiv"/>
          <w:sz w:val="17"/>
          <w:szCs w:val="17"/>
        </w:rPr>
        <w:t>Emissions</w:t>
      </w:r>
      <w:proofErr w:type="spellEnd"/>
      <w:r>
        <w:rPr>
          <w:rStyle w:val="kursiv"/>
          <w:sz w:val="17"/>
          <w:szCs w:val="17"/>
        </w:rPr>
        <w:t xml:space="preserve"> Gap Report 2017: </w:t>
      </w:r>
      <w:proofErr w:type="spellStart"/>
      <w:r>
        <w:rPr>
          <w:rStyle w:val="kursiv"/>
          <w:sz w:val="17"/>
          <w:szCs w:val="17"/>
        </w:rPr>
        <w:t>Executive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Summary</w:t>
      </w:r>
      <w:proofErr w:type="spellEnd"/>
      <w:r>
        <w:rPr>
          <w:rStyle w:val="kursiv"/>
          <w:sz w:val="17"/>
          <w:szCs w:val="17"/>
        </w:rPr>
        <w:t xml:space="preserve">. </w:t>
      </w:r>
      <w:r>
        <w:rPr>
          <w:sz w:val="17"/>
          <w:szCs w:val="17"/>
        </w:rPr>
        <w:t>https://wedocs.unep.org/bitstream/handle/20.500.11822/22101/EGR_2017_ES.pdf?sequence=1&amp;isAllowed=yC</w:t>
      </w:r>
      <w:r>
        <w:rPr>
          <w:rStyle w:val="kursiv"/>
          <w:sz w:val="17"/>
          <w:szCs w:val="17"/>
        </w:rPr>
        <w:t xml:space="preserve">onsequences for Norway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transnational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climate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impacts</w:t>
      </w:r>
      <w:proofErr w:type="spellEnd"/>
      <w:r>
        <w:rPr>
          <w:rStyle w:val="kursiv"/>
          <w:sz w:val="17"/>
          <w:szCs w:val="17"/>
        </w:rPr>
        <w:t>, N</w:t>
      </w:r>
      <w:r>
        <w:rPr>
          <w:sz w:val="17"/>
          <w:szCs w:val="17"/>
        </w:rPr>
        <w:t xml:space="preserve">orwegian Environment </w:t>
      </w:r>
      <w:proofErr w:type="spellStart"/>
      <w:r>
        <w:rPr>
          <w:sz w:val="17"/>
          <w:szCs w:val="17"/>
        </w:rPr>
        <w:t>Agency</w:t>
      </w:r>
      <w:proofErr w:type="spellEnd"/>
      <w:r>
        <w:rPr>
          <w:sz w:val="17"/>
          <w:szCs w:val="17"/>
        </w:rPr>
        <w:t xml:space="preserve"> 2018 http://www.miljodirektoratet.no/no/Nyheter/Arrangementer/Grenseoverskridende-klimarisiko/</w:t>
      </w:r>
    </w:p>
  </w:footnote>
  <w:footnote w:id="9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 xml:space="preserve">Digital21: Digitale grep for norsk verdiskaping [Digital </w:t>
      </w:r>
      <w:proofErr w:type="spellStart"/>
      <w:r>
        <w:rPr>
          <w:rStyle w:val="kursiv"/>
          <w:sz w:val="17"/>
          <w:szCs w:val="17"/>
        </w:rPr>
        <w:t>measures</w:t>
      </w:r>
      <w:proofErr w:type="spellEnd"/>
      <w:r>
        <w:rPr>
          <w:rStyle w:val="kursiv"/>
          <w:sz w:val="17"/>
          <w:szCs w:val="17"/>
        </w:rPr>
        <w:t xml:space="preserve"> for </w:t>
      </w:r>
      <w:proofErr w:type="spellStart"/>
      <w:r>
        <w:rPr>
          <w:rStyle w:val="kursiv"/>
          <w:sz w:val="17"/>
          <w:szCs w:val="17"/>
        </w:rPr>
        <w:t>value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creation</w:t>
      </w:r>
      <w:proofErr w:type="spellEnd"/>
      <w:r>
        <w:rPr>
          <w:rStyle w:val="kursiv"/>
          <w:sz w:val="17"/>
          <w:szCs w:val="17"/>
        </w:rPr>
        <w:t xml:space="preserve"> in Norway]</w:t>
      </w:r>
      <w:r>
        <w:rPr>
          <w:sz w:val="17"/>
          <w:szCs w:val="17"/>
        </w:rPr>
        <w:t>. 2018</w:t>
      </w:r>
    </w:p>
  </w:footnote>
  <w:footnote w:id="10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sz w:val="17"/>
          <w:szCs w:val="17"/>
        </w:rPr>
        <w:t>Official</w:t>
      </w:r>
      <w:proofErr w:type="spellEnd"/>
      <w:r>
        <w:rPr>
          <w:sz w:val="17"/>
          <w:szCs w:val="17"/>
        </w:rPr>
        <w:t xml:space="preserve"> Norwegian Report (NOU) 2015: 1 </w:t>
      </w:r>
      <w:r>
        <w:rPr>
          <w:rStyle w:val="kursiv"/>
          <w:sz w:val="17"/>
          <w:szCs w:val="17"/>
        </w:rPr>
        <w:t xml:space="preserve">Produktivitet – Grunnlag for vekst og velferd [Productivity – Foundation for </w:t>
      </w:r>
      <w:proofErr w:type="spellStart"/>
      <w:r>
        <w:rPr>
          <w:rStyle w:val="kursiv"/>
          <w:sz w:val="17"/>
          <w:szCs w:val="17"/>
        </w:rPr>
        <w:t>growth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prosperity</w:t>
      </w:r>
      <w:proofErr w:type="spellEnd"/>
      <w:r>
        <w:rPr>
          <w:rStyle w:val="kursiv"/>
          <w:sz w:val="17"/>
          <w:szCs w:val="17"/>
        </w:rPr>
        <w:t>]</w:t>
      </w:r>
      <w:r>
        <w:rPr>
          <w:sz w:val="17"/>
          <w:szCs w:val="17"/>
        </w:rPr>
        <w:t xml:space="preserve"> – first report from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Productivity Commission; Meld. St. 27 (2016–2017) </w:t>
      </w:r>
      <w:r>
        <w:rPr>
          <w:rStyle w:val="kursiv"/>
          <w:sz w:val="17"/>
          <w:szCs w:val="17"/>
        </w:rPr>
        <w:t xml:space="preserve">A greener, </w:t>
      </w:r>
      <w:proofErr w:type="spellStart"/>
      <w:r>
        <w:rPr>
          <w:rStyle w:val="kursiv"/>
          <w:sz w:val="17"/>
          <w:szCs w:val="17"/>
        </w:rPr>
        <w:t>smarter</w:t>
      </w:r>
      <w:proofErr w:type="spellEnd"/>
      <w:r>
        <w:rPr>
          <w:rStyle w:val="kursiv"/>
          <w:sz w:val="17"/>
          <w:szCs w:val="17"/>
        </w:rPr>
        <w:t xml:space="preserve"> and more innovative </w:t>
      </w:r>
      <w:proofErr w:type="spellStart"/>
      <w:r>
        <w:rPr>
          <w:rStyle w:val="kursiv"/>
          <w:sz w:val="17"/>
          <w:szCs w:val="17"/>
        </w:rPr>
        <w:t>industry</w:t>
      </w:r>
      <w:proofErr w:type="spellEnd"/>
    </w:p>
  </w:footnote>
  <w:footnote w:id="11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The case is still under </w:t>
      </w:r>
      <w:proofErr w:type="spellStart"/>
      <w:r>
        <w:rPr>
          <w:sz w:val="17"/>
          <w:szCs w:val="17"/>
        </w:rPr>
        <w:t>investigation</w:t>
      </w:r>
      <w:proofErr w:type="spellEnd"/>
      <w:r>
        <w:rPr>
          <w:sz w:val="17"/>
          <w:szCs w:val="17"/>
        </w:rPr>
        <w:t xml:space="preserve">, and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company</w:t>
      </w:r>
      <w:proofErr w:type="spellEnd"/>
      <w:r>
        <w:rPr>
          <w:sz w:val="17"/>
          <w:szCs w:val="17"/>
        </w:rPr>
        <w:t xml:space="preserve"> has </w:t>
      </w:r>
      <w:proofErr w:type="spellStart"/>
      <w:r>
        <w:rPr>
          <w:sz w:val="17"/>
          <w:szCs w:val="17"/>
        </w:rPr>
        <w:t>been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shut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down</w:t>
      </w:r>
      <w:proofErr w:type="spellEnd"/>
      <w:r>
        <w:rPr>
          <w:sz w:val="17"/>
          <w:szCs w:val="17"/>
        </w:rPr>
        <w:t>. https://www.theguardian.com/news/series/cambridge-analytica-files</w:t>
      </w:r>
    </w:p>
  </w:footnote>
  <w:footnote w:id="12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rStyle w:val="kursiv"/>
          <w:sz w:val="17"/>
          <w:szCs w:val="17"/>
        </w:rPr>
        <w:t>Disinformation</w:t>
      </w:r>
      <w:proofErr w:type="spellEnd"/>
      <w:r>
        <w:rPr>
          <w:rStyle w:val="kursiv"/>
          <w:sz w:val="17"/>
          <w:szCs w:val="17"/>
        </w:rPr>
        <w:t xml:space="preserve"> and '</w:t>
      </w:r>
      <w:proofErr w:type="spellStart"/>
      <w:r>
        <w:rPr>
          <w:rStyle w:val="kursiv"/>
          <w:sz w:val="17"/>
          <w:szCs w:val="17"/>
        </w:rPr>
        <w:t>fake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news</w:t>
      </w:r>
      <w:proofErr w:type="spellEnd"/>
      <w:r>
        <w:rPr>
          <w:rStyle w:val="kursiv"/>
          <w:sz w:val="17"/>
          <w:szCs w:val="17"/>
        </w:rPr>
        <w:t xml:space="preserve">': Interim Report, </w:t>
      </w:r>
      <w:r>
        <w:rPr>
          <w:sz w:val="17"/>
          <w:szCs w:val="17"/>
        </w:rPr>
        <w:t xml:space="preserve">House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Commons</w:t>
      </w:r>
      <w:proofErr w:type="spellEnd"/>
      <w:r>
        <w:rPr>
          <w:sz w:val="17"/>
          <w:szCs w:val="17"/>
        </w:rPr>
        <w:t xml:space="preserve"> Digital, </w:t>
      </w:r>
      <w:proofErr w:type="spellStart"/>
      <w:r>
        <w:rPr>
          <w:sz w:val="17"/>
          <w:szCs w:val="17"/>
        </w:rPr>
        <w:t>Culture</w:t>
      </w:r>
      <w:proofErr w:type="spellEnd"/>
      <w:r>
        <w:rPr>
          <w:sz w:val="17"/>
          <w:szCs w:val="17"/>
        </w:rPr>
        <w:t xml:space="preserve">, Media and Sport Committee (29 </w:t>
      </w:r>
      <w:proofErr w:type="spellStart"/>
      <w:r>
        <w:rPr>
          <w:sz w:val="17"/>
          <w:szCs w:val="17"/>
        </w:rPr>
        <w:t>July</w:t>
      </w:r>
      <w:proofErr w:type="spellEnd"/>
      <w:r>
        <w:rPr>
          <w:sz w:val="17"/>
          <w:szCs w:val="17"/>
        </w:rPr>
        <w:t xml:space="preserve"> 2018); https://publications.parliament.uk/pa/cm201719/cmselect/cmcumeds/363/36302.htm</w:t>
      </w:r>
    </w:p>
  </w:footnote>
  <w:footnote w:id="13">
    <w:p w:rsidR="007D3CA2" w:rsidRPr="000B60C1" w:rsidRDefault="007D3CA2">
      <w:pPr>
        <w:pStyle w:val="Fotnotetekst"/>
        <w:rPr>
          <w:iCs/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 xml:space="preserve">The Rome </w:t>
      </w:r>
      <w:proofErr w:type="spellStart"/>
      <w:r>
        <w:rPr>
          <w:rStyle w:val="kursiv"/>
          <w:sz w:val="17"/>
          <w:szCs w:val="17"/>
        </w:rPr>
        <w:t>Declaration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on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Responsible</w:t>
      </w:r>
      <w:proofErr w:type="spellEnd"/>
      <w:r>
        <w:rPr>
          <w:rStyle w:val="kursiv"/>
          <w:sz w:val="17"/>
          <w:szCs w:val="17"/>
        </w:rPr>
        <w:t xml:space="preserve"> Research and </w:t>
      </w:r>
      <w:proofErr w:type="spellStart"/>
      <w:r>
        <w:rPr>
          <w:rStyle w:val="kursiv"/>
          <w:sz w:val="17"/>
          <w:szCs w:val="17"/>
        </w:rPr>
        <w:t>Innovation</w:t>
      </w:r>
      <w:proofErr w:type="spellEnd"/>
      <w:r>
        <w:rPr>
          <w:rStyle w:val="kursiv"/>
          <w:sz w:val="17"/>
          <w:szCs w:val="17"/>
        </w:rPr>
        <w:t xml:space="preserve"> in Europe</w:t>
      </w:r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states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that</w:t>
      </w:r>
      <w:proofErr w:type="spellEnd"/>
      <w:r>
        <w:rPr>
          <w:sz w:val="17"/>
          <w:szCs w:val="17"/>
        </w:rPr>
        <w:t xml:space="preserve"> «</w:t>
      </w:r>
      <w:proofErr w:type="spellStart"/>
      <w:r>
        <w:rPr>
          <w:sz w:val="17"/>
          <w:szCs w:val="17"/>
        </w:rPr>
        <w:t>Decisions</w:t>
      </w:r>
      <w:proofErr w:type="spellEnd"/>
      <w:r>
        <w:rPr>
          <w:sz w:val="17"/>
          <w:szCs w:val="17"/>
        </w:rPr>
        <w:t xml:space="preserve"> in </w:t>
      </w:r>
      <w:proofErr w:type="spellStart"/>
      <w:r>
        <w:rPr>
          <w:sz w:val="17"/>
          <w:szCs w:val="17"/>
        </w:rPr>
        <w:t>research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innovation</w:t>
      </w:r>
      <w:proofErr w:type="spellEnd"/>
      <w:r>
        <w:rPr>
          <w:sz w:val="17"/>
          <w:szCs w:val="17"/>
        </w:rPr>
        <w:t xml:space="preserve"> must </w:t>
      </w:r>
      <w:proofErr w:type="spellStart"/>
      <w:r>
        <w:rPr>
          <w:sz w:val="17"/>
          <w:szCs w:val="17"/>
        </w:rPr>
        <w:t>consider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principles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which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European Union is </w:t>
      </w:r>
      <w:proofErr w:type="spellStart"/>
      <w:r>
        <w:rPr>
          <w:sz w:val="17"/>
          <w:szCs w:val="17"/>
        </w:rPr>
        <w:t>founded</w:t>
      </w:r>
      <w:proofErr w:type="spellEnd"/>
      <w:r>
        <w:rPr>
          <w:sz w:val="17"/>
          <w:szCs w:val="17"/>
        </w:rPr>
        <w:t xml:space="preserve">, i.e.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respect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human </w:t>
      </w:r>
      <w:proofErr w:type="spellStart"/>
      <w:r>
        <w:rPr>
          <w:sz w:val="17"/>
          <w:szCs w:val="17"/>
        </w:rPr>
        <w:t>dignity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freedom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democracy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equality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rule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law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respect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human </w:t>
      </w:r>
      <w:proofErr w:type="spellStart"/>
      <w:r>
        <w:rPr>
          <w:sz w:val="17"/>
          <w:szCs w:val="17"/>
        </w:rPr>
        <w:t>rights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including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rights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persons </w:t>
      </w:r>
      <w:proofErr w:type="spellStart"/>
      <w:r>
        <w:rPr>
          <w:sz w:val="17"/>
          <w:szCs w:val="17"/>
        </w:rPr>
        <w:t>belonging</w:t>
      </w:r>
      <w:proofErr w:type="spellEnd"/>
      <w:r>
        <w:rPr>
          <w:sz w:val="17"/>
          <w:szCs w:val="17"/>
        </w:rPr>
        <w:t xml:space="preserve"> to </w:t>
      </w:r>
      <w:proofErr w:type="spellStart"/>
      <w:r>
        <w:rPr>
          <w:sz w:val="17"/>
          <w:szCs w:val="17"/>
        </w:rPr>
        <w:t>minorities</w:t>
      </w:r>
      <w:proofErr w:type="spellEnd"/>
      <w:r>
        <w:rPr>
          <w:sz w:val="17"/>
          <w:szCs w:val="17"/>
        </w:rPr>
        <w:t>.»</w:t>
      </w:r>
    </w:p>
  </w:footnote>
  <w:footnote w:id="14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The </w:t>
      </w:r>
      <w:proofErr w:type="spellStart"/>
      <w:r>
        <w:rPr>
          <w:sz w:val="17"/>
          <w:szCs w:val="17"/>
        </w:rPr>
        <w:t>international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literature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uses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terms «</w:t>
      </w:r>
      <w:proofErr w:type="spellStart"/>
      <w:r>
        <w:rPr>
          <w:sz w:val="17"/>
          <w:szCs w:val="17"/>
        </w:rPr>
        <w:t>social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responsibility</w:t>
      </w:r>
      <w:proofErr w:type="spellEnd"/>
      <w:r>
        <w:rPr>
          <w:sz w:val="17"/>
          <w:szCs w:val="17"/>
        </w:rPr>
        <w:t>» and «</w:t>
      </w:r>
      <w:proofErr w:type="spellStart"/>
      <w:r>
        <w:rPr>
          <w:sz w:val="17"/>
          <w:szCs w:val="17"/>
        </w:rPr>
        <w:t>civic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social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engagement</w:t>
      </w:r>
      <w:proofErr w:type="spellEnd"/>
      <w:r>
        <w:rPr>
          <w:sz w:val="17"/>
          <w:szCs w:val="17"/>
        </w:rPr>
        <w:t>».</w:t>
      </w:r>
    </w:p>
  </w:footnote>
  <w:footnote w:id="15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 xml:space="preserve">The </w:t>
      </w:r>
      <w:proofErr w:type="spellStart"/>
      <w:r>
        <w:rPr>
          <w:rStyle w:val="kursiv"/>
          <w:sz w:val="17"/>
          <w:szCs w:val="17"/>
        </w:rPr>
        <w:t>Government's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Strategy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against</w:t>
      </w:r>
      <w:proofErr w:type="spellEnd"/>
      <w:r>
        <w:rPr>
          <w:rStyle w:val="kursiv"/>
          <w:sz w:val="17"/>
          <w:szCs w:val="17"/>
        </w:rPr>
        <w:t xml:space="preserve"> Hate Speech (</w:t>
      </w:r>
      <w:r>
        <w:rPr>
          <w:sz w:val="17"/>
          <w:szCs w:val="17"/>
        </w:rPr>
        <w:t>2016–2020)</w:t>
      </w:r>
    </w:p>
  </w:footnote>
  <w:footnote w:id="16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Meld. St. 16 (2016–2017) </w:t>
      </w:r>
      <w:proofErr w:type="spellStart"/>
      <w:r>
        <w:rPr>
          <w:rStyle w:val="kursiv"/>
          <w:sz w:val="17"/>
          <w:szCs w:val="17"/>
        </w:rPr>
        <w:t>Quality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Culture</w:t>
      </w:r>
      <w:proofErr w:type="spellEnd"/>
      <w:r>
        <w:rPr>
          <w:rStyle w:val="kursiv"/>
          <w:sz w:val="17"/>
          <w:szCs w:val="17"/>
        </w:rPr>
        <w:t xml:space="preserve"> in </w:t>
      </w:r>
      <w:proofErr w:type="spellStart"/>
      <w:r>
        <w:rPr>
          <w:rStyle w:val="kursiv"/>
          <w:sz w:val="17"/>
          <w:szCs w:val="17"/>
        </w:rPr>
        <w:t>Higher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Education</w:t>
      </w:r>
      <w:proofErr w:type="spellEnd"/>
    </w:p>
  </w:footnote>
  <w:footnote w:id="17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sz w:val="17"/>
          <w:szCs w:val="17"/>
        </w:rPr>
        <w:t>Since</w:t>
      </w:r>
      <w:proofErr w:type="spellEnd"/>
      <w:r>
        <w:rPr>
          <w:sz w:val="17"/>
          <w:szCs w:val="17"/>
        </w:rPr>
        <w:t xml:space="preserve"> 1972,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Nordic </w:t>
      </w:r>
      <w:proofErr w:type="spellStart"/>
      <w:r>
        <w:rPr>
          <w:sz w:val="17"/>
          <w:szCs w:val="17"/>
        </w:rPr>
        <w:t>Institute</w:t>
      </w:r>
      <w:proofErr w:type="spellEnd"/>
      <w:r>
        <w:rPr>
          <w:sz w:val="17"/>
          <w:szCs w:val="17"/>
        </w:rPr>
        <w:t xml:space="preserve"> for Studies in </w:t>
      </w:r>
      <w:proofErr w:type="spellStart"/>
      <w:r>
        <w:rPr>
          <w:sz w:val="17"/>
          <w:szCs w:val="17"/>
        </w:rPr>
        <w:t>Innovation</w:t>
      </w:r>
      <w:proofErr w:type="spellEnd"/>
      <w:r>
        <w:rPr>
          <w:sz w:val="17"/>
          <w:szCs w:val="17"/>
        </w:rPr>
        <w:t xml:space="preserve">, Research and </w:t>
      </w:r>
      <w:proofErr w:type="spellStart"/>
      <w:r>
        <w:rPr>
          <w:sz w:val="17"/>
          <w:szCs w:val="17"/>
        </w:rPr>
        <w:t>Education</w:t>
      </w:r>
      <w:proofErr w:type="spellEnd"/>
      <w:r>
        <w:rPr>
          <w:sz w:val="17"/>
          <w:szCs w:val="17"/>
        </w:rPr>
        <w:t xml:space="preserve"> has </w:t>
      </w:r>
      <w:proofErr w:type="spellStart"/>
      <w:r>
        <w:rPr>
          <w:sz w:val="17"/>
          <w:szCs w:val="17"/>
        </w:rPr>
        <w:t>been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commissioned</w:t>
      </w:r>
      <w:proofErr w:type="spellEnd"/>
      <w:r>
        <w:rPr>
          <w:sz w:val="17"/>
          <w:szCs w:val="17"/>
        </w:rPr>
        <w:t xml:space="preserve"> by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Ministry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Education</w:t>
      </w:r>
      <w:proofErr w:type="spellEnd"/>
      <w:r>
        <w:rPr>
          <w:sz w:val="17"/>
          <w:szCs w:val="17"/>
        </w:rPr>
        <w:t xml:space="preserve"> and Research to </w:t>
      </w:r>
      <w:proofErr w:type="spellStart"/>
      <w:r>
        <w:rPr>
          <w:sz w:val="17"/>
          <w:szCs w:val="17"/>
        </w:rPr>
        <w:t>carry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out</w:t>
      </w:r>
      <w:proofErr w:type="spellEnd"/>
      <w:r>
        <w:rPr>
          <w:sz w:val="17"/>
          <w:szCs w:val="17"/>
        </w:rPr>
        <w:t xml:space="preserve"> surveys </w:t>
      </w:r>
      <w:proofErr w:type="spellStart"/>
      <w:r>
        <w:rPr>
          <w:sz w:val="17"/>
          <w:szCs w:val="17"/>
        </w:rPr>
        <w:t>among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graduates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universities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university</w:t>
      </w:r>
      <w:proofErr w:type="spellEnd"/>
      <w:r>
        <w:rPr>
          <w:sz w:val="17"/>
          <w:szCs w:val="17"/>
        </w:rPr>
        <w:t xml:space="preserve"> colleges </w:t>
      </w:r>
      <w:proofErr w:type="spellStart"/>
      <w:r>
        <w:rPr>
          <w:sz w:val="17"/>
          <w:szCs w:val="17"/>
        </w:rPr>
        <w:t>regarding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success</w:t>
      </w:r>
      <w:proofErr w:type="spellEnd"/>
      <w:r>
        <w:rPr>
          <w:sz w:val="17"/>
          <w:szCs w:val="17"/>
        </w:rPr>
        <w:t xml:space="preserve"> in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labour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market</w:t>
      </w:r>
      <w:proofErr w:type="spellEnd"/>
      <w:r>
        <w:rPr>
          <w:sz w:val="17"/>
          <w:szCs w:val="17"/>
        </w:rPr>
        <w:t xml:space="preserve">. Surveys </w:t>
      </w:r>
      <w:proofErr w:type="spellStart"/>
      <w:r>
        <w:rPr>
          <w:sz w:val="17"/>
          <w:szCs w:val="17"/>
        </w:rPr>
        <w:t>examine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scope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employment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unemployment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where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they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graduates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work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their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occupation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their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income</w:t>
      </w:r>
      <w:proofErr w:type="spellEnd"/>
      <w:r>
        <w:rPr>
          <w:sz w:val="17"/>
          <w:szCs w:val="17"/>
        </w:rPr>
        <w:t xml:space="preserve">, etc. In </w:t>
      </w:r>
      <w:proofErr w:type="spellStart"/>
      <w:r>
        <w:rPr>
          <w:sz w:val="17"/>
          <w:szCs w:val="17"/>
        </w:rPr>
        <w:t>recent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years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survey has </w:t>
      </w:r>
      <w:proofErr w:type="spellStart"/>
      <w:r>
        <w:rPr>
          <w:sz w:val="17"/>
          <w:szCs w:val="17"/>
        </w:rPr>
        <w:t>also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included</w:t>
      </w:r>
      <w:proofErr w:type="spellEnd"/>
      <w:r>
        <w:rPr>
          <w:sz w:val="17"/>
          <w:szCs w:val="17"/>
        </w:rPr>
        <w:t xml:space="preserve"> questions </w:t>
      </w:r>
      <w:proofErr w:type="spellStart"/>
      <w:r>
        <w:rPr>
          <w:sz w:val="17"/>
          <w:szCs w:val="17"/>
        </w:rPr>
        <w:t>about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their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assessment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quality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relevance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their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education</w:t>
      </w:r>
      <w:proofErr w:type="spellEnd"/>
      <w:r>
        <w:rPr>
          <w:sz w:val="17"/>
          <w:szCs w:val="17"/>
        </w:rPr>
        <w:t>.</w:t>
      </w:r>
    </w:p>
  </w:footnote>
  <w:footnote w:id="18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The European </w:t>
      </w:r>
      <w:proofErr w:type="spellStart"/>
      <w:r>
        <w:rPr>
          <w:sz w:val="17"/>
          <w:szCs w:val="17"/>
        </w:rPr>
        <w:t>Innovation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Scoreboard</w:t>
      </w:r>
      <w:proofErr w:type="spellEnd"/>
      <w:r>
        <w:rPr>
          <w:sz w:val="17"/>
          <w:szCs w:val="17"/>
        </w:rPr>
        <w:t xml:space="preserve"> 2018 </w:t>
      </w:r>
      <w:proofErr w:type="spellStart"/>
      <w:r>
        <w:rPr>
          <w:sz w:val="17"/>
          <w:szCs w:val="17"/>
        </w:rPr>
        <w:t>classifies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countries</w:t>
      </w:r>
      <w:proofErr w:type="spellEnd"/>
      <w:r>
        <w:rPr>
          <w:sz w:val="17"/>
          <w:szCs w:val="17"/>
        </w:rPr>
        <w:t xml:space="preserve"> as </w:t>
      </w:r>
      <w:proofErr w:type="spellStart"/>
      <w:r>
        <w:rPr>
          <w:sz w:val="17"/>
          <w:szCs w:val="17"/>
        </w:rPr>
        <w:t>either</w:t>
      </w:r>
      <w:proofErr w:type="spellEnd"/>
      <w:r>
        <w:rPr>
          <w:sz w:val="17"/>
          <w:szCs w:val="17"/>
        </w:rPr>
        <w:t xml:space="preserve"> «</w:t>
      </w:r>
      <w:proofErr w:type="spellStart"/>
      <w:r>
        <w:rPr>
          <w:sz w:val="17"/>
          <w:szCs w:val="17"/>
        </w:rPr>
        <w:t>Innovation</w:t>
      </w:r>
      <w:proofErr w:type="spellEnd"/>
      <w:r>
        <w:rPr>
          <w:sz w:val="17"/>
          <w:szCs w:val="17"/>
        </w:rPr>
        <w:t xml:space="preserve"> leaders», «</w:t>
      </w:r>
      <w:proofErr w:type="spellStart"/>
      <w:r>
        <w:rPr>
          <w:sz w:val="17"/>
          <w:szCs w:val="17"/>
        </w:rPr>
        <w:t>Strong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innovators</w:t>
      </w:r>
      <w:proofErr w:type="spellEnd"/>
      <w:r>
        <w:rPr>
          <w:sz w:val="17"/>
          <w:szCs w:val="17"/>
        </w:rPr>
        <w:t xml:space="preserve">», «Moderate </w:t>
      </w:r>
      <w:proofErr w:type="spellStart"/>
      <w:r>
        <w:rPr>
          <w:sz w:val="17"/>
          <w:szCs w:val="17"/>
        </w:rPr>
        <w:t>innovators</w:t>
      </w:r>
      <w:proofErr w:type="spellEnd"/>
      <w:r>
        <w:rPr>
          <w:sz w:val="17"/>
          <w:szCs w:val="17"/>
        </w:rPr>
        <w:t xml:space="preserve">» or «Modest </w:t>
      </w:r>
      <w:proofErr w:type="spellStart"/>
      <w:r>
        <w:rPr>
          <w:sz w:val="17"/>
          <w:szCs w:val="17"/>
        </w:rPr>
        <w:t>innovators</w:t>
      </w:r>
      <w:proofErr w:type="spellEnd"/>
      <w:r>
        <w:rPr>
          <w:sz w:val="17"/>
          <w:szCs w:val="17"/>
        </w:rPr>
        <w:t xml:space="preserve">». All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Norway’s</w:t>
      </w:r>
      <w:proofErr w:type="spellEnd"/>
      <w:r>
        <w:rPr>
          <w:sz w:val="17"/>
          <w:szCs w:val="17"/>
        </w:rPr>
        <w:t xml:space="preserve"> Nordic </w:t>
      </w:r>
      <w:proofErr w:type="spellStart"/>
      <w:r>
        <w:rPr>
          <w:sz w:val="17"/>
          <w:szCs w:val="17"/>
        </w:rPr>
        <w:t>neighbours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are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classified</w:t>
      </w:r>
      <w:proofErr w:type="spellEnd"/>
      <w:r>
        <w:rPr>
          <w:sz w:val="17"/>
          <w:szCs w:val="17"/>
        </w:rPr>
        <w:t xml:space="preserve"> as «</w:t>
      </w:r>
      <w:proofErr w:type="spellStart"/>
      <w:r>
        <w:rPr>
          <w:sz w:val="17"/>
          <w:szCs w:val="17"/>
        </w:rPr>
        <w:t>innovation</w:t>
      </w:r>
      <w:proofErr w:type="spellEnd"/>
      <w:r>
        <w:rPr>
          <w:sz w:val="17"/>
          <w:szCs w:val="17"/>
        </w:rPr>
        <w:t xml:space="preserve"> leaders», </w:t>
      </w:r>
      <w:proofErr w:type="spellStart"/>
      <w:r>
        <w:rPr>
          <w:sz w:val="17"/>
          <w:szCs w:val="17"/>
        </w:rPr>
        <w:t>along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with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UK, Luxembourg and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Netherlands</w:t>
      </w:r>
      <w:proofErr w:type="spellEnd"/>
      <w:r>
        <w:rPr>
          <w:sz w:val="17"/>
          <w:szCs w:val="17"/>
        </w:rPr>
        <w:t>.</w:t>
      </w:r>
    </w:p>
  </w:footnote>
  <w:footnote w:id="19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>Research Barometer 2018</w:t>
      </w:r>
    </w:p>
  </w:footnote>
  <w:footnote w:id="20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Meld. St. 29 (2016–2017) </w:t>
      </w:r>
      <w:r>
        <w:rPr>
          <w:rStyle w:val="kursiv"/>
          <w:sz w:val="17"/>
          <w:szCs w:val="17"/>
        </w:rPr>
        <w:t xml:space="preserve">Long-Term </w:t>
      </w:r>
      <w:proofErr w:type="spellStart"/>
      <w:r>
        <w:rPr>
          <w:rStyle w:val="kursiv"/>
          <w:sz w:val="17"/>
          <w:szCs w:val="17"/>
        </w:rPr>
        <w:t>Perspectives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on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Norwegian </w:t>
      </w:r>
      <w:proofErr w:type="spellStart"/>
      <w:r>
        <w:rPr>
          <w:rStyle w:val="kursiv"/>
          <w:sz w:val="17"/>
          <w:szCs w:val="17"/>
        </w:rPr>
        <w:t>Economy</w:t>
      </w:r>
      <w:proofErr w:type="spellEnd"/>
      <w:r>
        <w:rPr>
          <w:rStyle w:val="kursiv"/>
          <w:sz w:val="17"/>
          <w:szCs w:val="17"/>
        </w:rPr>
        <w:t xml:space="preserve"> 2017</w:t>
      </w:r>
    </w:p>
  </w:footnote>
  <w:footnote w:id="21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Meld. St. 27 (2016–2017) </w:t>
      </w:r>
      <w:r>
        <w:rPr>
          <w:rStyle w:val="kursiv"/>
          <w:sz w:val="17"/>
          <w:szCs w:val="17"/>
        </w:rPr>
        <w:t xml:space="preserve">A greener, </w:t>
      </w:r>
      <w:proofErr w:type="spellStart"/>
      <w:r>
        <w:rPr>
          <w:rStyle w:val="kursiv"/>
          <w:sz w:val="17"/>
          <w:szCs w:val="17"/>
        </w:rPr>
        <w:t>smarter</w:t>
      </w:r>
      <w:proofErr w:type="spellEnd"/>
      <w:r>
        <w:rPr>
          <w:rStyle w:val="kursiv"/>
          <w:sz w:val="17"/>
          <w:szCs w:val="17"/>
        </w:rPr>
        <w:t xml:space="preserve"> and more innovative </w:t>
      </w:r>
      <w:proofErr w:type="spellStart"/>
      <w:r>
        <w:rPr>
          <w:rStyle w:val="kursiv"/>
          <w:sz w:val="17"/>
          <w:szCs w:val="17"/>
        </w:rPr>
        <w:t>industry</w:t>
      </w:r>
      <w:proofErr w:type="spellEnd"/>
      <w:r>
        <w:rPr>
          <w:rStyle w:val="kursiv"/>
          <w:sz w:val="17"/>
          <w:szCs w:val="17"/>
        </w:rPr>
        <w:t xml:space="preserve"> </w:t>
      </w:r>
    </w:p>
  </w:footnote>
  <w:footnote w:id="22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rStyle w:val="kursiv"/>
          <w:sz w:val="17"/>
          <w:szCs w:val="17"/>
        </w:rPr>
        <w:t>Familiar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resources</w:t>
      </w:r>
      <w:proofErr w:type="spellEnd"/>
      <w:r>
        <w:rPr>
          <w:rStyle w:val="kursiv"/>
          <w:sz w:val="17"/>
          <w:szCs w:val="17"/>
        </w:rPr>
        <w:t xml:space="preserve"> – </w:t>
      </w:r>
      <w:proofErr w:type="spellStart"/>
      <w:r>
        <w:rPr>
          <w:rStyle w:val="kursiv"/>
          <w:sz w:val="17"/>
          <w:szCs w:val="17"/>
        </w:rPr>
        <w:t>undreamt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possibilities</w:t>
      </w:r>
      <w:proofErr w:type="spellEnd"/>
      <w:r>
        <w:rPr>
          <w:rStyle w:val="kursiv"/>
          <w:sz w:val="17"/>
          <w:szCs w:val="17"/>
        </w:rPr>
        <w:t xml:space="preserve"> – </w:t>
      </w:r>
      <w:r>
        <w:rPr>
          <w:sz w:val="17"/>
          <w:szCs w:val="17"/>
        </w:rPr>
        <w:t xml:space="preserve">The </w:t>
      </w:r>
      <w:proofErr w:type="spellStart"/>
      <w:r>
        <w:rPr>
          <w:sz w:val="17"/>
          <w:szCs w:val="17"/>
        </w:rPr>
        <w:t>Government's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Bioeconomy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Strategy</w:t>
      </w:r>
      <w:proofErr w:type="spellEnd"/>
      <w:r>
        <w:rPr>
          <w:sz w:val="17"/>
          <w:szCs w:val="17"/>
        </w:rPr>
        <w:t>. 2016</w:t>
      </w:r>
    </w:p>
  </w:footnote>
  <w:footnote w:id="23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sz w:val="17"/>
          <w:szCs w:val="17"/>
        </w:rPr>
        <w:t>Sustainable</w:t>
      </w:r>
      <w:proofErr w:type="spellEnd"/>
      <w:r>
        <w:rPr>
          <w:sz w:val="17"/>
          <w:szCs w:val="17"/>
        </w:rPr>
        <w:t xml:space="preserve"> Development Goal 9 – </w:t>
      </w:r>
      <w:proofErr w:type="spellStart"/>
      <w:r>
        <w:rPr>
          <w:sz w:val="17"/>
          <w:szCs w:val="17"/>
        </w:rPr>
        <w:t>Build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resilient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infrastructure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promote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sustainable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industrialisation</w:t>
      </w:r>
      <w:proofErr w:type="spellEnd"/>
      <w:r>
        <w:rPr>
          <w:sz w:val="17"/>
          <w:szCs w:val="17"/>
        </w:rPr>
        <w:t xml:space="preserve"> and foster </w:t>
      </w:r>
      <w:proofErr w:type="spellStart"/>
      <w:r>
        <w:rPr>
          <w:sz w:val="17"/>
          <w:szCs w:val="17"/>
        </w:rPr>
        <w:t>innovation</w:t>
      </w:r>
      <w:proofErr w:type="spellEnd"/>
    </w:p>
  </w:footnote>
  <w:footnote w:id="24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 xml:space="preserve">Better </w:t>
      </w:r>
      <w:proofErr w:type="spellStart"/>
      <w:r>
        <w:rPr>
          <w:rStyle w:val="kursiv"/>
          <w:sz w:val="17"/>
          <w:szCs w:val="17"/>
        </w:rPr>
        <w:t>growth</w:t>
      </w:r>
      <w:proofErr w:type="spellEnd"/>
      <w:r>
        <w:rPr>
          <w:rStyle w:val="kursiv"/>
          <w:sz w:val="17"/>
          <w:szCs w:val="17"/>
        </w:rPr>
        <w:t xml:space="preserve">, </w:t>
      </w:r>
      <w:proofErr w:type="spellStart"/>
      <w:r>
        <w:rPr>
          <w:rStyle w:val="kursiv"/>
          <w:sz w:val="17"/>
          <w:szCs w:val="17"/>
        </w:rPr>
        <w:t>lower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emissions</w:t>
      </w:r>
      <w:proofErr w:type="spellEnd"/>
      <w:r>
        <w:rPr>
          <w:rStyle w:val="kursiv"/>
          <w:sz w:val="17"/>
          <w:szCs w:val="17"/>
        </w:rPr>
        <w:t xml:space="preserve"> –</w:t>
      </w:r>
      <w:r>
        <w:rPr>
          <w:sz w:val="17"/>
          <w:szCs w:val="17"/>
        </w:rPr>
        <w:t xml:space="preserve"> The </w:t>
      </w:r>
      <w:proofErr w:type="spellStart"/>
      <w:r>
        <w:rPr>
          <w:sz w:val="17"/>
          <w:szCs w:val="17"/>
        </w:rPr>
        <w:t>Government's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strategy</w:t>
      </w:r>
      <w:proofErr w:type="spellEnd"/>
      <w:r>
        <w:rPr>
          <w:sz w:val="17"/>
          <w:szCs w:val="17"/>
        </w:rPr>
        <w:t xml:space="preserve"> for green </w:t>
      </w:r>
      <w:proofErr w:type="spellStart"/>
      <w:r>
        <w:rPr>
          <w:sz w:val="17"/>
          <w:szCs w:val="17"/>
        </w:rPr>
        <w:t>competitiveness</w:t>
      </w:r>
      <w:proofErr w:type="spellEnd"/>
      <w:r>
        <w:rPr>
          <w:sz w:val="17"/>
          <w:szCs w:val="17"/>
        </w:rPr>
        <w:t>. 2017</w:t>
      </w:r>
    </w:p>
  </w:footnote>
  <w:footnote w:id="25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Meld. St. 16 (2016–2017) </w:t>
      </w:r>
      <w:proofErr w:type="spellStart"/>
      <w:r>
        <w:rPr>
          <w:rStyle w:val="kursiv"/>
          <w:sz w:val="17"/>
          <w:szCs w:val="17"/>
        </w:rPr>
        <w:t>Quality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Culture</w:t>
      </w:r>
      <w:proofErr w:type="spellEnd"/>
      <w:r>
        <w:rPr>
          <w:rStyle w:val="kursiv"/>
          <w:sz w:val="17"/>
          <w:szCs w:val="17"/>
        </w:rPr>
        <w:t xml:space="preserve"> in </w:t>
      </w:r>
      <w:proofErr w:type="spellStart"/>
      <w:r>
        <w:rPr>
          <w:rStyle w:val="kursiv"/>
          <w:sz w:val="17"/>
          <w:szCs w:val="17"/>
        </w:rPr>
        <w:t>Higher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Education</w:t>
      </w:r>
      <w:proofErr w:type="spellEnd"/>
    </w:p>
  </w:footnote>
  <w:footnote w:id="26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proofErr w:type="spellStart"/>
      <w:r>
        <w:rPr>
          <w:sz w:val="17"/>
          <w:szCs w:val="17"/>
        </w:rPr>
        <w:t>Official</w:t>
      </w:r>
      <w:proofErr w:type="spellEnd"/>
      <w:r>
        <w:rPr>
          <w:sz w:val="17"/>
          <w:szCs w:val="17"/>
        </w:rPr>
        <w:t xml:space="preserve"> Norwegian Reports 2015: 1 </w:t>
      </w:r>
      <w:r>
        <w:rPr>
          <w:rStyle w:val="kursiv"/>
          <w:sz w:val="17"/>
          <w:szCs w:val="17"/>
        </w:rPr>
        <w:t xml:space="preserve">Produktivitet – Grunnlag for vekst og velferd [Productivity – Foundation for </w:t>
      </w:r>
      <w:proofErr w:type="spellStart"/>
      <w:r>
        <w:rPr>
          <w:rStyle w:val="kursiv"/>
          <w:sz w:val="17"/>
          <w:szCs w:val="17"/>
        </w:rPr>
        <w:t>growth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prosperity</w:t>
      </w:r>
      <w:proofErr w:type="spellEnd"/>
      <w:r>
        <w:rPr>
          <w:rStyle w:val="kursiv"/>
          <w:sz w:val="17"/>
          <w:szCs w:val="17"/>
        </w:rPr>
        <w:t>]</w:t>
      </w:r>
      <w:r>
        <w:rPr>
          <w:sz w:val="17"/>
          <w:szCs w:val="17"/>
        </w:rPr>
        <w:t xml:space="preserve"> </w:t>
      </w:r>
    </w:p>
  </w:footnote>
  <w:footnote w:id="27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European Environment </w:t>
      </w:r>
      <w:proofErr w:type="spellStart"/>
      <w:r>
        <w:rPr>
          <w:sz w:val="17"/>
          <w:szCs w:val="17"/>
        </w:rPr>
        <w:t>Agency</w:t>
      </w:r>
      <w:proofErr w:type="spellEnd"/>
      <w:r>
        <w:rPr>
          <w:sz w:val="17"/>
          <w:szCs w:val="17"/>
        </w:rPr>
        <w:t xml:space="preserve"> report SOER2015, </w:t>
      </w:r>
      <w:r>
        <w:rPr>
          <w:rStyle w:val="kursiv"/>
          <w:sz w:val="17"/>
          <w:szCs w:val="17"/>
        </w:rPr>
        <w:t xml:space="preserve">Global Megatrends, </w:t>
      </w:r>
      <w:r>
        <w:rPr>
          <w:sz w:val="17"/>
          <w:szCs w:val="17"/>
        </w:rPr>
        <w:t>https://www.eea.europe.the eu/publications/global-megatrends-assessment-extended-background-analysis</w:t>
      </w:r>
    </w:p>
  </w:footnote>
  <w:footnote w:id="28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Meld. St. 25 (2016–2017) </w:t>
      </w:r>
      <w:r>
        <w:rPr>
          <w:rStyle w:val="kursiv"/>
          <w:sz w:val="17"/>
          <w:szCs w:val="17"/>
        </w:rPr>
        <w:t xml:space="preserve">The </w:t>
      </w:r>
      <w:proofErr w:type="spellStart"/>
      <w:r>
        <w:rPr>
          <w:rStyle w:val="kursiv"/>
          <w:sz w:val="17"/>
          <w:szCs w:val="17"/>
        </w:rPr>
        <w:t>Humanities</w:t>
      </w:r>
      <w:proofErr w:type="spellEnd"/>
      <w:r>
        <w:rPr>
          <w:rStyle w:val="kursiv"/>
          <w:sz w:val="17"/>
          <w:szCs w:val="17"/>
        </w:rPr>
        <w:t xml:space="preserve"> in Norway</w:t>
      </w:r>
    </w:p>
  </w:footnote>
  <w:footnote w:id="29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For a </w:t>
      </w:r>
      <w:proofErr w:type="spellStart"/>
      <w:r>
        <w:rPr>
          <w:sz w:val="17"/>
          <w:szCs w:val="17"/>
        </w:rPr>
        <w:t>broader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review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status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Norwegian </w:t>
      </w:r>
      <w:proofErr w:type="spellStart"/>
      <w:r>
        <w:rPr>
          <w:sz w:val="17"/>
          <w:szCs w:val="17"/>
        </w:rPr>
        <w:t>higher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education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research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please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see</w:t>
      </w:r>
      <w:proofErr w:type="spellEnd"/>
      <w:r>
        <w:rPr>
          <w:sz w:val="17"/>
          <w:szCs w:val="17"/>
        </w:rPr>
        <w:t xml:space="preserve"> </w:t>
      </w:r>
      <w:r>
        <w:rPr>
          <w:rStyle w:val="kursiv"/>
          <w:sz w:val="17"/>
          <w:szCs w:val="17"/>
        </w:rPr>
        <w:t xml:space="preserve">Tilstandsrapport for høyere utdanning 2018 [Status Report for </w:t>
      </w:r>
      <w:proofErr w:type="spellStart"/>
      <w:r>
        <w:rPr>
          <w:rStyle w:val="kursiv"/>
          <w:sz w:val="17"/>
          <w:szCs w:val="17"/>
        </w:rPr>
        <w:t>Higher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Education</w:t>
      </w:r>
      <w:proofErr w:type="spellEnd"/>
      <w:r>
        <w:rPr>
          <w:rStyle w:val="kursiv"/>
          <w:sz w:val="17"/>
          <w:szCs w:val="17"/>
        </w:rPr>
        <w:t xml:space="preserve"> 2018]</w:t>
      </w:r>
      <w:r>
        <w:rPr>
          <w:sz w:val="17"/>
          <w:szCs w:val="17"/>
        </w:rPr>
        <w:t xml:space="preserve">, </w:t>
      </w:r>
      <w:r>
        <w:rPr>
          <w:rStyle w:val="kursiv"/>
          <w:sz w:val="17"/>
          <w:szCs w:val="17"/>
        </w:rPr>
        <w:t>Forskningsbarometeret 2018 [Research Barometer 2018]</w:t>
      </w:r>
      <w:r>
        <w:rPr>
          <w:sz w:val="17"/>
          <w:szCs w:val="17"/>
        </w:rPr>
        <w:t xml:space="preserve"> and </w:t>
      </w:r>
      <w:r>
        <w:rPr>
          <w:rStyle w:val="kursiv"/>
          <w:sz w:val="17"/>
          <w:szCs w:val="17"/>
        </w:rPr>
        <w:t>Indikatorrapporten 2018</w:t>
      </w:r>
      <w:r>
        <w:rPr>
          <w:sz w:val="17"/>
          <w:szCs w:val="17"/>
        </w:rPr>
        <w:t xml:space="preserve"> </w:t>
      </w:r>
      <w:r>
        <w:rPr>
          <w:rStyle w:val="kursiv"/>
          <w:sz w:val="17"/>
          <w:szCs w:val="17"/>
        </w:rPr>
        <w:t xml:space="preserve">[The Norwegian </w:t>
      </w:r>
      <w:proofErr w:type="spellStart"/>
      <w:r>
        <w:rPr>
          <w:rStyle w:val="kursiv"/>
          <w:sz w:val="17"/>
          <w:szCs w:val="17"/>
        </w:rPr>
        <w:t>research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innovation</w:t>
      </w:r>
      <w:proofErr w:type="spellEnd"/>
      <w:r>
        <w:rPr>
          <w:rStyle w:val="kursiv"/>
          <w:sz w:val="17"/>
          <w:szCs w:val="17"/>
        </w:rPr>
        <w:t xml:space="preserve"> system: </w:t>
      </w:r>
      <w:proofErr w:type="spellStart"/>
      <w:r>
        <w:rPr>
          <w:rStyle w:val="kursiv"/>
          <w:sz w:val="17"/>
          <w:szCs w:val="17"/>
        </w:rPr>
        <w:t>Statistics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indicators</w:t>
      </w:r>
      <w:proofErr w:type="spellEnd"/>
      <w:r>
        <w:rPr>
          <w:rStyle w:val="kursiv"/>
          <w:sz w:val="17"/>
          <w:szCs w:val="17"/>
        </w:rPr>
        <w:t xml:space="preserve"> 2018]</w:t>
      </w:r>
      <w:r>
        <w:rPr>
          <w:sz w:val="17"/>
          <w:szCs w:val="17"/>
        </w:rPr>
        <w:t>.</w:t>
      </w:r>
    </w:p>
  </w:footnote>
  <w:footnote w:id="30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The lab is a </w:t>
      </w:r>
      <w:proofErr w:type="spellStart"/>
      <w:r>
        <w:rPr>
          <w:sz w:val="17"/>
          <w:szCs w:val="17"/>
        </w:rPr>
        <w:t>national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centre</w:t>
      </w:r>
      <w:proofErr w:type="spellEnd"/>
      <w:r>
        <w:rPr>
          <w:sz w:val="17"/>
          <w:szCs w:val="17"/>
        </w:rPr>
        <w:t xml:space="preserve"> for </w:t>
      </w:r>
      <w:proofErr w:type="spellStart"/>
      <w:r>
        <w:rPr>
          <w:sz w:val="17"/>
          <w:szCs w:val="17"/>
        </w:rPr>
        <w:t>innovation</w:t>
      </w:r>
      <w:proofErr w:type="spellEnd"/>
      <w:r>
        <w:rPr>
          <w:sz w:val="17"/>
          <w:szCs w:val="17"/>
        </w:rPr>
        <w:t xml:space="preserve">, pilot testing and </w:t>
      </w:r>
      <w:proofErr w:type="spellStart"/>
      <w:r>
        <w:rPr>
          <w:sz w:val="17"/>
          <w:szCs w:val="17"/>
        </w:rPr>
        <w:t>technology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qualification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within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mechatronics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related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disciplines</w:t>
      </w:r>
      <w:proofErr w:type="spellEnd"/>
    </w:p>
  </w:footnote>
  <w:footnote w:id="31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Sølvi Lillejord et al. </w:t>
      </w:r>
      <w:r>
        <w:rPr>
          <w:rStyle w:val="kursiv"/>
          <w:sz w:val="17"/>
          <w:szCs w:val="17"/>
        </w:rPr>
        <w:t xml:space="preserve">Campusutforming for undervisning, forskning, samarbeid og læring: En systematisk kunnskapsoversikt. </w:t>
      </w:r>
      <w:r>
        <w:rPr>
          <w:sz w:val="17"/>
          <w:szCs w:val="17"/>
        </w:rPr>
        <w:t xml:space="preserve">[Campus design for </w:t>
      </w:r>
      <w:proofErr w:type="spellStart"/>
      <w:r>
        <w:rPr>
          <w:sz w:val="17"/>
          <w:szCs w:val="17"/>
        </w:rPr>
        <w:t>teaching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research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cooperation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learning</w:t>
      </w:r>
      <w:proofErr w:type="spellEnd"/>
      <w:r>
        <w:rPr>
          <w:sz w:val="17"/>
          <w:szCs w:val="17"/>
        </w:rPr>
        <w:t xml:space="preserve">: a </w:t>
      </w:r>
      <w:proofErr w:type="spellStart"/>
      <w:r>
        <w:rPr>
          <w:sz w:val="17"/>
          <w:szCs w:val="17"/>
        </w:rPr>
        <w:t>systematic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overview</w:t>
      </w:r>
      <w:proofErr w:type="spellEnd"/>
      <w:r>
        <w:rPr>
          <w:sz w:val="17"/>
          <w:szCs w:val="17"/>
        </w:rPr>
        <w:t>] 2017</w:t>
      </w:r>
    </w:p>
  </w:footnote>
  <w:footnote w:id="32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Statsbygg. </w:t>
      </w:r>
      <w:r>
        <w:rPr>
          <w:rStyle w:val="kursiv"/>
          <w:sz w:val="17"/>
          <w:szCs w:val="17"/>
        </w:rPr>
        <w:t xml:space="preserve">Kunnskapsgrunnlag for universitets- og høgskolesektoren, </w:t>
      </w:r>
      <w:r>
        <w:rPr>
          <w:sz w:val="17"/>
          <w:szCs w:val="17"/>
        </w:rPr>
        <w:t xml:space="preserve">rapport A. B, C og D [Knowledge base for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university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university</w:t>
      </w:r>
      <w:proofErr w:type="spellEnd"/>
      <w:r>
        <w:rPr>
          <w:sz w:val="17"/>
          <w:szCs w:val="17"/>
        </w:rPr>
        <w:t xml:space="preserve"> college </w:t>
      </w:r>
      <w:proofErr w:type="spellStart"/>
      <w:r>
        <w:rPr>
          <w:sz w:val="17"/>
          <w:szCs w:val="17"/>
        </w:rPr>
        <w:t>sector</w:t>
      </w:r>
      <w:proofErr w:type="spellEnd"/>
      <w:r>
        <w:rPr>
          <w:sz w:val="17"/>
          <w:szCs w:val="17"/>
        </w:rPr>
        <w:t>, reports A. B, C and D]. 2018</w:t>
      </w:r>
    </w:p>
  </w:footnote>
  <w:footnote w:id="33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Den </w:t>
      </w:r>
      <w:proofErr w:type="spellStart"/>
      <w:r>
        <w:rPr>
          <w:sz w:val="17"/>
          <w:szCs w:val="17"/>
        </w:rPr>
        <w:t>Heijer</w:t>
      </w:r>
      <w:proofErr w:type="spellEnd"/>
      <w:r>
        <w:rPr>
          <w:sz w:val="17"/>
          <w:szCs w:val="17"/>
        </w:rPr>
        <w:t xml:space="preserve">. </w:t>
      </w:r>
      <w:proofErr w:type="spellStart"/>
      <w:r>
        <w:rPr>
          <w:rStyle w:val="kursiv"/>
          <w:sz w:val="17"/>
          <w:szCs w:val="17"/>
        </w:rPr>
        <w:t>Managing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campus: Information to support real </w:t>
      </w:r>
      <w:proofErr w:type="spellStart"/>
      <w:r>
        <w:rPr>
          <w:rStyle w:val="kursiv"/>
          <w:sz w:val="17"/>
          <w:szCs w:val="17"/>
        </w:rPr>
        <w:t>estate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decisions</w:t>
      </w:r>
      <w:proofErr w:type="spellEnd"/>
      <w:r>
        <w:rPr>
          <w:rStyle w:val="kursiv"/>
          <w:sz w:val="17"/>
          <w:szCs w:val="17"/>
        </w:rPr>
        <w:t xml:space="preserve">. </w:t>
      </w:r>
      <w:proofErr w:type="spellStart"/>
      <w:r>
        <w:rPr>
          <w:sz w:val="17"/>
          <w:szCs w:val="17"/>
        </w:rPr>
        <w:t>Eburon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Academic</w:t>
      </w:r>
      <w:proofErr w:type="spellEnd"/>
      <w:r>
        <w:rPr>
          <w:sz w:val="17"/>
          <w:szCs w:val="17"/>
        </w:rPr>
        <w:t xml:space="preserve"> Publishers. 2011 </w:t>
      </w:r>
    </w:p>
  </w:footnote>
  <w:footnote w:id="34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The </w:t>
      </w:r>
      <w:proofErr w:type="spellStart"/>
      <w:r>
        <w:rPr>
          <w:sz w:val="17"/>
          <w:szCs w:val="17"/>
        </w:rPr>
        <w:t>budget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proposal</w:t>
      </w:r>
      <w:proofErr w:type="spellEnd"/>
      <w:r>
        <w:rPr>
          <w:sz w:val="17"/>
          <w:szCs w:val="17"/>
        </w:rPr>
        <w:t xml:space="preserve"> for 2019 (</w:t>
      </w:r>
      <w:proofErr w:type="spellStart"/>
      <w:r>
        <w:rPr>
          <w:sz w:val="17"/>
          <w:szCs w:val="17"/>
        </w:rPr>
        <w:t>Prop</w:t>
      </w:r>
      <w:proofErr w:type="spellEnd"/>
      <w:r>
        <w:rPr>
          <w:sz w:val="17"/>
          <w:szCs w:val="17"/>
        </w:rPr>
        <w:t xml:space="preserve">. 1 S (2018–2019)) from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Ministry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Education</w:t>
      </w:r>
      <w:proofErr w:type="spellEnd"/>
      <w:r>
        <w:rPr>
          <w:sz w:val="17"/>
          <w:szCs w:val="17"/>
        </w:rPr>
        <w:t xml:space="preserve"> and Research proposes </w:t>
      </w:r>
      <w:proofErr w:type="spellStart"/>
      <w:r>
        <w:rPr>
          <w:sz w:val="17"/>
          <w:szCs w:val="17"/>
        </w:rPr>
        <w:t>that</w:t>
      </w:r>
      <w:proofErr w:type="spellEnd"/>
      <w:r>
        <w:rPr>
          <w:sz w:val="17"/>
          <w:szCs w:val="17"/>
        </w:rPr>
        <w:t xml:space="preserve"> management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NHH </w:t>
      </w:r>
      <w:proofErr w:type="spellStart"/>
      <w:r>
        <w:rPr>
          <w:sz w:val="17"/>
          <w:szCs w:val="17"/>
        </w:rPr>
        <w:t>properties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should</w:t>
      </w:r>
      <w:proofErr w:type="spellEnd"/>
      <w:r>
        <w:rPr>
          <w:sz w:val="17"/>
          <w:szCs w:val="17"/>
        </w:rPr>
        <w:t xml:space="preserve"> be </w:t>
      </w:r>
      <w:proofErr w:type="spellStart"/>
      <w:r>
        <w:rPr>
          <w:sz w:val="17"/>
          <w:szCs w:val="17"/>
        </w:rPr>
        <w:t>transferred</w:t>
      </w:r>
      <w:proofErr w:type="spellEnd"/>
      <w:r>
        <w:rPr>
          <w:sz w:val="17"/>
          <w:szCs w:val="17"/>
        </w:rPr>
        <w:t xml:space="preserve"> to Statsbygg</w:t>
      </w:r>
    </w:p>
  </w:footnote>
  <w:footnote w:id="35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>Utredningsinstruksen 2016 [</w:t>
      </w:r>
      <w:proofErr w:type="spellStart"/>
      <w:r>
        <w:rPr>
          <w:rStyle w:val="kursiv"/>
          <w:sz w:val="17"/>
          <w:szCs w:val="17"/>
        </w:rPr>
        <w:t>Instructions</w:t>
      </w:r>
      <w:proofErr w:type="spellEnd"/>
      <w:r>
        <w:rPr>
          <w:rStyle w:val="kursiv"/>
          <w:sz w:val="17"/>
          <w:szCs w:val="17"/>
        </w:rPr>
        <w:t xml:space="preserve"> for planning and management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central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government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programmes</w:t>
      </w:r>
      <w:proofErr w:type="spellEnd"/>
      <w:r>
        <w:rPr>
          <w:sz w:val="17"/>
          <w:szCs w:val="17"/>
        </w:rPr>
        <w:t xml:space="preserve"> </w:t>
      </w:r>
      <w:r>
        <w:rPr>
          <w:rStyle w:val="kursiv"/>
          <w:sz w:val="17"/>
          <w:szCs w:val="17"/>
        </w:rPr>
        <w:t xml:space="preserve">and </w:t>
      </w:r>
      <w:proofErr w:type="spellStart"/>
      <w:r>
        <w:rPr>
          <w:rStyle w:val="kursiv"/>
          <w:sz w:val="17"/>
          <w:szCs w:val="17"/>
        </w:rPr>
        <w:t>projects</w:t>
      </w:r>
      <w:proofErr w:type="spellEnd"/>
      <w:r>
        <w:rPr>
          <w:rStyle w:val="kursiv"/>
          <w:sz w:val="17"/>
          <w:szCs w:val="17"/>
        </w:rPr>
        <w:t>].</w:t>
      </w:r>
      <w:r>
        <w:rPr>
          <w:sz w:val="17"/>
          <w:szCs w:val="17"/>
        </w:rPr>
        <w:t xml:space="preserve"> Ministry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Finance. </w:t>
      </w:r>
      <w:r>
        <w:rPr>
          <w:rStyle w:val="kursiv"/>
          <w:sz w:val="17"/>
          <w:szCs w:val="17"/>
        </w:rPr>
        <w:t>Instruks om håndtering av bygge- og leiesaker i statlig sivil sektor</w:t>
      </w:r>
      <w:r>
        <w:rPr>
          <w:sz w:val="17"/>
          <w:szCs w:val="17"/>
        </w:rPr>
        <w:t xml:space="preserve"> 2017 </w:t>
      </w:r>
      <w:r>
        <w:rPr>
          <w:rStyle w:val="kursiv"/>
          <w:sz w:val="17"/>
          <w:szCs w:val="17"/>
        </w:rPr>
        <w:t>[</w:t>
      </w:r>
      <w:proofErr w:type="spellStart"/>
      <w:r>
        <w:rPr>
          <w:rStyle w:val="kursiv"/>
          <w:sz w:val="17"/>
          <w:szCs w:val="17"/>
        </w:rPr>
        <w:t>Instructions</w:t>
      </w:r>
      <w:proofErr w:type="spellEnd"/>
      <w:r>
        <w:rPr>
          <w:rStyle w:val="kursiv"/>
          <w:sz w:val="17"/>
          <w:szCs w:val="17"/>
        </w:rPr>
        <w:t xml:space="preserve"> for </w:t>
      </w:r>
      <w:proofErr w:type="spellStart"/>
      <w:r>
        <w:rPr>
          <w:rStyle w:val="kursiv"/>
          <w:sz w:val="17"/>
          <w:szCs w:val="17"/>
        </w:rPr>
        <w:t>construction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projects</w:t>
      </w:r>
      <w:proofErr w:type="spellEnd"/>
      <w:r>
        <w:rPr>
          <w:rStyle w:val="kursiv"/>
          <w:sz w:val="17"/>
          <w:szCs w:val="17"/>
        </w:rPr>
        <w:t xml:space="preserve"> and leasing in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central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government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civilian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sector</w:t>
      </w:r>
      <w:proofErr w:type="spellEnd"/>
      <w:r>
        <w:rPr>
          <w:rStyle w:val="kursiv"/>
          <w:sz w:val="17"/>
          <w:szCs w:val="17"/>
        </w:rPr>
        <w:t>]</w:t>
      </w:r>
      <w:r>
        <w:rPr>
          <w:sz w:val="17"/>
          <w:szCs w:val="17"/>
        </w:rPr>
        <w:t xml:space="preserve">, Ministry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Local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Government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Modernisation</w:t>
      </w:r>
      <w:proofErr w:type="spellEnd"/>
    </w:p>
  </w:footnote>
  <w:footnote w:id="36">
    <w:p w:rsidR="007D3CA2" w:rsidRPr="000B60C1" w:rsidRDefault="007D3CA2">
      <w:pPr>
        <w:pStyle w:val="Fotnotetekst"/>
        <w:rPr>
          <w:i/>
          <w:sz w:val="17"/>
          <w:szCs w:val="17"/>
        </w:rPr>
      </w:pPr>
      <w:r>
        <w:rPr>
          <w:vertAlign w:val="superscript"/>
        </w:rPr>
        <w:footnoteRef/>
      </w:r>
      <w:r>
        <w:rPr>
          <w:rStyle w:val="kursiv"/>
          <w:sz w:val="17"/>
          <w:szCs w:val="17"/>
        </w:rPr>
        <w:t>Samordning mellom universiteter og helseforetak. Identifikasjon av utfordringsbilder med forslag til løsninger [</w:t>
      </w:r>
      <w:proofErr w:type="spellStart"/>
      <w:r>
        <w:rPr>
          <w:rStyle w:val="kursiv"/>
          <w:sz w:val="17"/>
          <w:szCs w:val="17"/>
        </w:rPr>
        <w:t>Coordination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between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universities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health</w:t>
      </w:r>
      <w:proofErr w:type="spellEnd"/>
      <w:r>
        <w:rPr>
          <w:rStyle w:val="kursiv"/>
          <w:sz w:val="17"/>
          <w:szCs w:val="17"/>
        </w:rPr>
        <w:t xml:space="preserve"> trusts. </w:t>
      </w:r>
      <w:proofErr w:type="spellStart"/>
      <w:r>
        <w:rPr>
          <w:rStyle w:val="kursiv"/>
          <w:sz w:val="17"/>
          <w:szCs w:val="17"/>
        </w:rPr>
        <w:t>Identification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barriers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proposed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solutions</w:t>
      </w:r>
      <w:proofErr w:type="spellEnd"/>
      <w:r>
        <w:rPr>
          <w:rStyle w:val="kursiv"/>
          <w:sz w:val="17"/>
          <w:szCs w:val="17"/>
        </w:rPr>
        <w:t>]</w:t>
      </w:r>
      <w:r>
        <w:rPr>
          <w:sz w:val="17"/>
          <w:szCs w:val="17"/>
        </w:rPr>
        <w:t xml:space="preserve"> Report from a </w:t>
      </w:r>
      <w:proofErr w:type="spellStart"/>
      <w:r>
        <w:rPr>
          <w:sz w:val="17"/>
          <w:szCs w:val="17"/>
        </w:rPr>
        <w:t>national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working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group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appointed</w:t>
      </w:r>
      <w:proofErr w:type="spellEnd"/>
      <w:r>
        <w:rPr>
          <w:sz w:val="17"/>
          <w:szCs w:val="17"/>
        </w:rPr>
        <w:t xml:space="preserve"> by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Ministry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Education</w:t>
      </w:r>
      <w:proofErr w:type="spellEnd"/>
      <w:r>
        <w:rPr>
          <w:sz w:val="17"/>
          <w:szCs w:val="17"/>
        </w:rPr>
        <w:t xml:space="preserve"> and Research and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Ministry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Health and Care Services. 2016</w:t>
      </w:r>
    </w:p>
  </w:footnote>
  <w:footnote w:id="37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Sølvi Lillejord et al. </w:t>
      </w:r>
      <w:r>
        <w:rPr>
          <w:rStyle w:val="kursiv"/>
          <w:sz w:val="17"/>
          <w:szCs w:val="17"/>
        </w:rPr>
        <w:t xml:space="preserve">Campusutforming for undervisning, forskning, samarbeid og læring: En systematisk kunnskapsoversikt [Campus design for </w:t>
      </w:r>
      <w:proofErr w:type="spellStart"/>
      <w:r>
        <w:rPr>
          <w:rStyle w:val="kursiv"/>
          <w:sz w:val="17"/>
          <w:szCs w:val="17"/>
        </w:rPr>
        <w:t>teaching</w:t>
      </w:r>
      <w:proofErr w:type="spellEnd"/>
      <w:r>
        <w:rPr>
          <w:rStyle w:val="kursiv"/>
          <w:sz w:val="17"/>
          <w:szCs w:val="17"/>
        </w:rPr>
        <w:t xml:space="preserve">, </w:t>
      </w:r>
      <w:proofErr w:type="spellStart"/>
      <w:r>
        <w:rPr>
          <w:rStyle w:val="kursiv"/>
          <w:sz w:val="17"/>
          <w:szCs w:val="17"/>
        </w:rPr>
        <w:t>research</w:t>
      </w:r>
      <w:proofErr w:type="spellEnd"/>
      <w:r>
        <w:rPr>
          <w:rStyle w:val="kursiv"/>
          <w:sz w:val="17"/>
          <w:szCs w:val="17"/>
        </w:rPr>
        <w:t xml:space="preserve">, </w:t>
      </w:r>
      <w:proofErr w:type="spellStart"/>
      <w:r>
        <w:rPr>
          <w:rStyle w:val="kursiv"/>
          <w:sz w:val="17"/>
          <w:szCs w:val="17"/>
        </w:rPr>
        <w:t>cooperation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learning</w:t>
      </w:r>
      <w:proofErr w:type="spellEnd"/>
      <w:r>
        <w:rPr>
          <w:rStyle w:val="kursiv"/>
          <w:sz w:val="17"/>
          <w:szCs w:val="17"/>
        </w:rPr>
        <w:t xml:space="preserve">: a </w:t>
      </w:r>
      <w:proofErr w:type="spellStart"/>
      <w:r>
        <w:rPr>
          <w:rStyle w:val="kursiv"/>
          <w:sz w:val="17"/>
          <w:szCs w:val="17"/>
        </w:rPr>
        <w:t>systematic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overview</w:t>
      </w:r>
      <w:proofErr w:type="spellEnd"/>
      <w:r>
        <w:rPr>
          <w:rStyle w:val="kursiv"/>
          <w:sz w:val="17"/>
          <w:szCs w:val="17"/>
        </w:rPr>
        <w:t>]</w:t>
      </w:r>
      <w:r>
        <w:rPr>
          <w:sz w:val="17"/>
          <w:szCs w:val="17"/>
        </w:rPr>
        <w:t>. 2017</w:t>
      </w:r>
    </w:p>
  </w:footnote>
  <w:footnote w:id="38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Norwegian Centre for Research Data (NSD), </w:t>
      </w:r>
      <w:proofErr w:type="spellStart"/>
      <w:r>
        <w:rPr>
          <w:sz w:val="17"/>
          <w:szCs w:val="17"/>
        </w:rPr>
        <w:t>self-financed</w:t>
      </w:r>
      <w:proofErr w:type="spellEnd"/>
      <w:r>
        <w:rPr>
          <w:sz w:val="17"/>
          <w:szCs w:val="17"/>
        </w:rPr>
        <w:t xml:space="preserve"> students, </w:t>
      </w:r>
      <w:proofErr w:type="spellStart"/>
      <w:r>
        <w:rPr>
          <w:sz w:val="17"/>
          <w:szCs w:val="17"/>
        </w:rPr>
        <w:t>autumn</w:t>
      </w:r>
      <w:proofErr w:type="spellEnd"/>
      <w:r>
        <w:rPr>
          <w:sz w:val="17"/>
          <w:szCs w:val="17"/>
        </w:rPr>
        <w:t xml:space="preserve"> 2017</w:t>
      </w:r>
    </w:p>
  </w:footnote>
  <w:footnote w:id="39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Statsbygg. </w:t>
      </w:r>
      <w:r>
        <w:rPr>
          <w:rStyle w:val="kursiv"/>
          <w:sz w:val="17"/>
          <w:szCs w:val="17"/>
        </w:rPr>
        <w:t xml:space="preserve">Kunnskapsgrunnlag for universitets- og høgskolesektoren, rapport B [(Knowledge base for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college </w:t>
      </w:r>
      <w:proofErr w:type="spellStart"/>
      <w:r>
        <w:rPr>
          <w:rStyle w:val="kursiv"/>
          <w:sz w:val="17"/>
          <w:szCs w:val="17"/>
        </w:rPr>
        <w:t>sector</w:t>
      </w:r>
      <w:proofErr w:type="spellEnd"/>
      <w:r>
        <w:rPr>
          <w:sz w:val="17"/>
          <w:szCs w:val="17"/>
        </w:rPr>
        <w:t>, report B]. 2018</w:t>
      </w:r>
    </w:p>
  </w:footnote>
  <w:footnote w:id="40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The </w:t>
      </w:r>
      <w:proofErr w:type="spellStart"/>
      <w:r>
        <w:rPr>
          <w:sz w:val="17"/>
          <w:szCs w:val="17"/>
        </w:rPr>
        <w:t>number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campuses</w:t>
      </w:r>
      <w:proofErr w:type="spellEnd"/>
      <w:r>
        <w:rPr>
          <w:sz w:val="17"/>
          <w:szCs w:val="17"/>
        </w:rPr>
        <w:t xml:space="preserve"> is </w:t>
      </w:r>
      <w:proofErr w:type="spellStart"/>
      <w:r>
        <w:rPr>
          <w:sz w:val="17"/>
          <w:szCs w:val="17"/>
        </w:rPr>
        <w:t>based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on</w:t>
      </w:r>
      <w:proofErr w:type="spellEnd"/>
      <w:r>
        <w:rPr>
          <w:sz w:val="17"/>
          <w:szCs w:val="17"/>
        </w:rPr>
        <w:t xml:space="preserve"> Statsbygg, </w:t>
      </w:r>
      <w:r>
        <w:rPr>
          <w:rStyle w:val="kursiv"/>
          <w:sz w:val="17"/>
          <w:szCs w:val="17"/>
        </w:rPr>
        <w:t xml:space="preserve">Kunnskapsgrunnlag for universitets- og høgskolesektoren Rapport A [Knowledge base for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college </w:t>
      </w:r>
      <w:proofErr w:type="spellStart"/>
      <w:r>
        <w:rPr>
          <w:rStyle w:val="kursiv"/>
          <w:sz w:val="17"/>
          <w:szCs w:val="17"/>
        </w:rPr>
        <w:t>sector</w:t>
      </w:r>
      <w:proofErr w:type="spellEnd"/>
      <w:r>
        <w:rPr>
          <w:sz w:val="17"/>
          <w:szCs w:val="17"/>
        </w:rPr>
        <w:t xml:space="preserve"> Report A]. 2018. </w:t>
      </w:r>
      <w:proofErr w:type="spellStart"/>
      <w:r>
        <w:rPr>
          <w:sz w:val="17"/>
          <w:szCs w:val="17"/>
        </w:rPr>
        <w:t>According</w:t>
      </w:r>
      <w:proofErr w:type="spellEnd"/>
      <w:r>
        <w:rPr>
          <w:sz w:val="17"/>
          <w:szCs w:val="17"/>
        </w:rPr>
        <w:t xml:space="preserve"> to an </w:t>
      </w:r>
      <w:proofErr w:type="spellStart"/>
      <w:r>
        <w:rPr>
          <w:sz w:val="17"/>
          <w:szCs w:val="17"/>
        </w:rPr>
        <w:t>Official</w:t>
      </w:r>
      <w:proofErr w:type="spellEnd"/>
      <w:r>
        <w:rPr>
          <w:sz w:val="17"/>
          <w:szCs w:val="17"/>
        </w:rPr>
        <w:t xml:space="preserve"> Norwegian Report (NOU 2008:3), </w:t>
      </w:r>
      <w:proofErr w:type="spellStart"/>
      <w:r>
        <w:rPr>
          <w:sz w:val="17"/>
          <w:szCs w:val="17"/>
        </w:rPr>
        <w:t>there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were</w:t>
      </w:r>
      <w:proofErr w:type="spellEnd"/>
      <w:r>
        <w:rPr>
          <w:sz w:val="17"/>
          <w:szCs w:val="17"/>
        </w:rPr>
        <w:t xml:space="preserve"> 57 </w:t>
      </w:r>
      <w:proofErr w:type="spellStart"/>
      <w:r>
        <w:rPr>
          <w:sz w:val="17"/>
          <w:szCs w:val="17"/>
        </w:rPr>
        <w:t>campuses</w:t>
      </w:r>
      <w:proofErr w:type="spellEnd"/>
      <w:r>
        <w:rPr>
          <w:sz w:val="17"/>
          <w:szCs w:val="17"/>
        </w:rPr>
        <w:t xml:space="preserve"> at </w:t>
      </w:r>
      <w:proofErr w:type="spellStart"/>
      <w:r>
        <w:rPr>
          <w:sz w:val="17"/>
          <w:szCs w:val="17"/>
        </w:rPr>
        <w:t>public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universities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university</w:t>
      </w:r>
      <w:proofErr w:type="spellEnd"/>
      <w:r>
        <w:rPr>
          <w:sz w:val="17"/>
          <w:szCs w:val="17"/>
        </w:rPr>
        <w:t xml:space="preserve"> colleges in Norway at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time. The </w:t>
      </w:r>
      <w:proofErr w:type="spellStart"/>
      <w:r>
        <w:rPr>
          <w:sz w:val="17"/>
          <w:szCs w:val="17"/>
        </w:rPr>
        <w:t>discrepancy</w:t>
      </w:r>
      <w:proofErr w:type="spellEnd"/>
      <w:r>
        <w:rPr>
          <w:sz w:val="17"/>
          <w:szCs w:val="17"/>
        </w:rPr>
        <w:t xml:space="preserve"> is </w:t>
      </w:r>
      <w:proofErr w:type="spellStart"/>
      <w:r>
        <w:rPr>
          <w:sz w:val="17"/>
          <w:szCs w:val="17"/>
        </w:rPr>
        <w:t>largely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explained</w:t>
      </w:r>
      <w:proofErr w:type="spellEnd"/>
      <w:r>
        <w:rPr>
          <w:sz w:val="17"/>
          <w:szCs w:val="17"/>
        </w:rPr>
        <w:t xml:space="preserve"> by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methodology</w:t>
      </w:r>
      <w:proofErr w:type="spellEnd"/>
      <w:r>
        <w:rPr>
          <w:sz w:val="17"/>
          <w:szCs w:val="17"/>
        </w:rPr>
        <w:t xml:space="preserve">; Statsbygg </w:t>
      </w:r>
      <w:proofErr w:type="spellStart"/>
      <w:r>
        <w:rPr>
          <w:sz w:val="17"/>
          <w:szCs w:val="17"/>
        </w:rPr>
        <w:t>counts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each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site</w:t>
      </w:r>
      <w:proofErr w:type="spellEnd"/>
      <w:r>
        <w:rPr>
          <w:sz w:val="17"/>
          <w:szCs w:val="17"/>
        </w:rPr>
        <w:t xml:space="preserve"> used by an </w:t>
      </w:r>
      <w:proofErr w:type="spellStart"/>
      <w:r>
        <w:rPr>
          <w:sz w:val="17"/>
          <w:szCs w:val="17"/>
        </w:rPr>
        <w:t>institution</w:t>
      </w:r>
      <w:proofErr w:type="spellEnd"/>
      <w:r>
        <w:rPr>
          <w:sz w:val="17"/>
          <w:szCs w:val="17"/>
        </w:rPr>
        <w:t xml:space="preserve"> in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same </w:t>
      </w:r>
      <w:proofErr w:type="spellStart"/>
      <w:r>
        <w:rPr>
          <w:sz w:val="17"/>
          <w:szCs w:val="17"/>
        </w:rPr>
        <w:t>town</w:t>
      </w:r>
      <w:proofErr w:type="spellEnd"/>
      <w:r>
        <w:rPr>
          <w:sz w:val="17"/>
          <w:szCs w:val="17"/>
        </w:rPr>
        <w:t xml:space="preserve"> as a separate campus, </w:t>
      </w:r>
      <w:proofErr w:type="spellStart"/>
      <w:r>
        <w:rPr>
          <w:sz w:val="17"/>
          <w:szCs w:val="17"/>
        </w:rPr>
        <w:t>whereas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2008 report </w:t>
      </w:r>
      <w:proofErr w:type="spellStart"/>
      <w:r>
        <w:rPr>
          <w:sz w:val="17"/>
          <w:szCs w:val="17"/>
        </w:rPr>
        <w:t>did</w:t>
      </w:r>
      <w:proofErr w:type="spellEnd"/>
      <w:r>
        <w:rPr>
          <w:sz w:val="17"/>
          <w:szCs w:val="17"/>
        </w:rPr>
        <w:t xml:space="preserve"> not. For </w:t>
      </w:r>
      <w:proofErr w:type="spellStart"/>
      <w:r>
        <w:rPr>
          <w:sz w:val="17"/>
          <w:szCs w:val="17"/>
        </w:rPr>
        <w:t>instance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current</w:t>
      </w:r>
      <w:proofErr w:type="spellEnd"/>
      <w:r>
        <w:rPr>
          <w:sz w:val="17"/>
          <w:szCs w:val="17"/>
        </w:rPr>
        <w:t xml:space="preserve"> NTNU has 14 </w:t>
      </w:r>
      <w:proofErr w:type="spellStart"/>
      <w:r>
        <w:rPr>
          <w:sz w:val="17"/>
          <w:szCs w:val="17"/>
        </w:rPr>
        <w:t>campuses</w:t>
      </w:r>
      <w:proofErr w:type="spellEnd"/>
      <w:r>
        <w:rPr>
          <w:sz w:val="17"/>
          <w:szCs w:val="17"/>
        </w:rPr>
        <w:t xml:space="preserve"> in Trondheim </w:t>
      </w:r>
      <w:proofErr w:type="spellStart"/>
      <w:r>
        <w:rPr>
          <w:sz w:val="17"/>
          <w:szCs w:val="17"/>
        </w:rPr>
        <w:t>according</w:t>
      </w:r>
      <w:proofErr w:type="spellEnd"/>
      <w:r>
        <w:rPr>
          <w:sz w:val="17"/>
          <w:szCs w:val="17"/>
        </w:rPr>
        <w:t xml:space="preserve"> to Statsbygg, </w:t>
      </w:r>
      <w:proofErr w:type="spellStart"/>
      <w:r>
        <w:rPr>
          <w:sz w:val="17"/>
          <w:szCs w:val="17"/>
        </w:rPr>
        <w:t>while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2008 report </w:t>
      </w:r>
      <w:proofErr w:type="spellStart"/>
      <w:r>
        <w:rPr>
          <w:sz w:val="17"/>
          <w:szCs w:val="17"/>
        </w:rPr>
        <w:t>only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counted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two</w:t>
      </w:r>
      <w:proofErr w:type="spellEnd"/>
      <w:r>
        <w:rPr>
          <w:sz w:val="17"/>
          <w:szCs w:val="17"/>
        </w:rPr>
        <w:t xml:space="preserve">,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main</w:t>
      </w:r>
      <w:proofErr w:type="spellEnd"/>
      <w:r>
        <w:rPr>
          <w:sz w:val="17"/>
          <w:szCs w:val="17"/>
        </w:rPr>
        <w:t xml:space="preserve"> NTNU campus and Sør-Trøndelag </w:t>
      </w:r>
      <w:proofErr w:type="spellStart"/>
      <w:r>
        <w:rPr>
          <w:sz w:val="17"/>
          <w:szCs w:val="17"/>
        </w:rPr>
        <w:t>University</w:t>
      </w:r>
      <w:proofErr w:type="spellEnd"/>
      <w:r>
        <w:rPr>
          <w:sz w:val="17"/>
          <w:szCs w:val="17"/>
        </w:rPr>
        <w:t xml:space="preserve"> College (</w:t>
      </w:r>
      <w:proofErr w:type="spellStart"/>
      <w:r>
        <w:rPr>
          <w:sz w:val="17"/>
          <w:szCs w:val="17"/>
        </w:rPr>
        <w:t>now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merged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with</w:t>
      </w:r>
      <w:proofErr w:type="spellEnd"/>
      <w:r>
        <w:rPr>
          <w:sz w:val="17"/>
          <w:szCs w:val="17"/>
        </w:rPr>
        <w:t xml:space="preserve"> NTNU).</w:t>
      </w:r>
    </w:p>
  </w:footnote>
  <w:footnote w:id="41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Statsbygg. </w:t>
      </w:r>
      <w:r>
        <w:rPr>
          <w:rStyle w:val="kursiv"/>
          <w:sz w:val="17"/>
          <w:szCs w:val="17"/>
        </w:rPr>
        <w:t xml:space="preserve">Kunnskapsgrunnlag for universitets- og høgskolesektoren, Rapport A [Knowledge base for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college </w:t>
      </w:r>
      <w:proofErr w:type="spellStart"/>
      <w:r>
        <w:rPr>
          <w:rStyle w:val="kursiv"/>
          <w:sz w:val="17"/>
          <w:szCs w:val="17"/>
        </w:rPr>
        <w:t>sector</w:t>
      </w:r>
      <w:proofErr w:type="spellEnd"/>
      <w:r>
        <w:rPr>
          <w:sz w:val="17"/>
          <w:szCs w:val="17"/>
        </w:rPr>
        <w:t>, Report A]. 2018</w:t>
      </w:r>
    </w:p>
  </w:footnote>
  <w:footnote w:id="42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OECD, </w:t>
      </w:r>
      <w:proofErr w:type="spellStart"/>
      <w:r>
        <w:rPr>
          <w:rStyle w:val="kursiv"/>
          <w:sz w:val="17"/>
          <w:szCs w:val="17"/>
        </w:rPr>
        <w:t>Higher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Education</w:t>
      </w:r>
      <w:proofErr w:type="spellEnd"/>
      <w:r>
        <w:rPr>
          <w:rStyle w:val="kursiv"/>
          <w:sz w:val="17"/>
          <w:szCs w:val="17"/>
        </w:rPr>
        <w:t xml:space="preserve"> in Norway. Labour Market </w:t>
      </w:r>
      <w:proofErr w:type="spellStart"/>
      <w:r>
        <w:rPr>
          <w:rStyle w:val="kursiv"/>
          <w:sz w:val="17"/>
          <w:szCs w:val="17"/>
        </w:rPr>
        <w:t>Relevance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Outcomes</w:t>
      </w:r>
      <w:proofErr w:type="spellEnd"/>
      <w:r>
        <w:rPr>
          <w:rStyle w:val="kursiv"/>
          <w:sz w:val="17"/>
          <w:szCs w:val="17"/>
        </w:rPr>
        <w:t xml:space="preserve">. </w:t>
      </w:r>
      <w:r>
        <w:rPr>
          <w:sz w:val="17"/>
          <w:szCs w:val="17"/>
        </w:rPr>
        <w:t>2018</w:t>
      </w:r>
    </w:p>
  </w:footnote>
  <w:footnote w:id="43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Doc. no. 3:4 (2012–2013). </w:t>
      </w:r>
      <w:r>
        <w:rPr>
          <w:rStyle w:val="kursiv"/>
          <w:sz w:val="17"/>
          <w:szCs w:val="17"/>
        </w:rPr>
        <w:t>Riksrevisjonens undersøkelse om statens forvaltning av eiendomsmasse i universitets- og høgskolesektoren [</w:t>
      </w:r>
      <w:proofErr w:type="spellStart"/>
      <w:r>
        <w:rPr>
          <w:rStyle w:val="kursiv"/>
          <w:sz w:val="17"/>
          <w:szCs w:val="17"/>
        </w:rPr>
        <w:t>Investigation</w:t>
      </w:r>
      <w:proofErr w:type="spellEnd"/>
      <w:r>
        <w:rPr>
          <w:rStyle w:val="kursiv"/>
          <w:sz w:val="17"/>
          <w:szCs w:val="17"/>
        </w:rPr>
        <w:t xml:space="preserve"> by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Office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Auditor</w:t>
      </w:r>
      <w:proofErr w:type="spellEnd"/>
      <w:r>
        <w:rPr>
          <w:rStyle w:val="kursiv"/>
          <w:sz w:val="17"/>
          <w:szCs w:val="17"/>
        </w:rPr>
        <w:t xml:space="preserve"> General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central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governement</w:t>
      </w:r>
      <w:proofErr w:type="spellEnd"/>
      <w:r>
        <w:rPr>
          <w:rStyle w:val="kursiv"/>
          <w:sz w:val="17"/>
          <w:szCs w:val="17"/>
        </w:rPr>
        <w:t xml:space="preserve"> management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and </w:t>
      </w:r>
      <w:proofErr w:type="spellStart"/>
      <w:r>
        <w:rPr>
          <w:rStyle w:val="kursiv"/>
          <w:sz w:val="17"/>
          <w:szCs w:val="17"/>
        </w:rPr>
        <w:t>university</w:t>
      </w:r>
      <w:proofErr w:type="spellEnd"/>
      <w:r>
        <w:rPr>
          <w:rStyle w:val="kursiv"/>
          <w:sz w:val="17"/>
          <w:szCs w:val="17"/>
        </w:rPr>
        <w:t xml:space="preserve"> college </w:t>
      </w:r>
      <w:proofErr w:type="spellStart"/>
      <w:r>
        <w:rPr>
          <w:rStyle w:val="kursiv"/>
          <w:sz w:val="17"/>
          <w:szCs w:val="17"/>
        </w:rPr>
        <w:t>estates</w:t>
      </w:r>
      <w:proofErr w:type="spellEnd"/>
      <w:r>
        <w:rPr>
          <w:rStyle w:val="kursiv"/>
          <w:sz w:val="17"/>
          <w:szCs w:val="17"/>
        </w:rPr>
        <w:t>]</w:t>
      </w:r>
    </w:p>
  </w:footnote>
  <w:footnote w:id="44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Statsbygg. </w:t>
      </w:r>
      <w:r>
        <w:rPr>
          <w:rStyle w:val="kursiv"/>
          <w:sz w:val="17"/>
          <w:szCs w:val="17"/>
        </w:rPr>
        <w:t>Kunnskapsgrunnlag for universitets- og høgskolesektoren, Rapport B [</w:t>
      </w:r>
      <w:r>
        <w:rPr>
          <w:sz w:val="17"/>
          <w:szCs w:val="17"/>
        </w:rPr>
        <w:t xml:space="preserve">Knowledge base for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university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university</w:t>
      </w:r>
      <w:proofErr w:type="spellEnd"/>
      <w:r>
        <w:rPr>
          <w:sz w:val="17"/>
          <w:szCs w:val="17"/>
        </w:rPr>
        <w:t xml:space="preserve"> college </w:t>
      </w:r>
      <w:proofErr w:type="spellStart"/>
      <w:r>
        <w:rPr>
          <w:sz w:val="17"/>
          <w:szCs w:val="17"/>
        </w:rPr>
        <w:t>sector</w:t>
      </w:r>
      <w:proofErr w:type="spellEnd"/>
      <w:r>
        <w:rPr>
          <w:sz w:val="17"/>
          <w:szCs w:val="17"/>
        </w:rPr>
        <w:t>, Report B]. 2018</w:t>
      </w:r>
    </w:p>
  </w:footnote>
  <w:footnote w:id="45">
    <w:p w:rsidR="007D3CA2" w:rsidRPr="000B60C1" w:rsidRDefault="007D3CA2">
      <w:pPr>
        <w:pStyle w:val="Fotnotetekst"/>
        <w:rPr>
          <w:sz w:val="17"/>
          <w:szCs w:val="17"/>
        </w:rPr>
      </w:pPr>
      <w:r>
        <w:rPr>
          <w:vertAlign w:val="superscript"/>
        </w:rPr>
        <w:footnoteRef/>
      </w:r>
      <w:r>
        <w:rPr>
          <w:sz w:val="17"/>
          <w:szCs w:val="17"/>
        </w:rPr>
        <w:t xml:space="preserve"> The </w:t>
      </w:r>
      <w:proofErr w:type="spellStart"/>
      <w:r>
        <w:rPr>
          <w:sz w:val="17"/>
          <w:szCs w:val="17"/>
        </w:rPr>
        <w:t>two</w:t>
      </w:r>
      <w:proofErr w:type="spellEnd"/>
      <w:r>
        <w:rPr>
          <w:sz w:val="17"/>
          <w:szCs w:val="17"/>
        </w:rPr>
        <w:t xml:space="preserve"> reports </w:t>
      </w:r>
      <w:proofErr w:type="spellStart"/>
      <w:r>
        <w:rPr>
          <w:sz w:val="17"/>
          <w:szCs w:val="17"/>
        </w:rPr>
        <w:t>are</w:t>
      </w:r>
      <w:proofErr w:type="spellEnd"/>
      <w:r>
        <w:rPr>
          <w:sz w:val="17"/>
          <w:szCs w:val="17"/>
        </w:rPr>
        <w:t xml:space="preserve"> Doc. no. 3:9 (2002–2003). </w:t>
      </w:r>
      <w:r>
        <w:rPr>
          <w:rStyle w:val="kursiv"/>
          <w:sz w:val="17"/>
          <w:szCs w:val="17"/>
        </w:rPr>
        <w:t xml:space="preserve">Riksrevisjonens undersøkelse av bevaringen og sikringen av samlingene ved fem statlige museer. </w:t>
      </w:r>
      <w:r>
        <w:rPr>
          <w:sz w:val="17"/>
          <w:szCs w:val="17"/>
        </w:rPr>
        <w:t>[</w:t>
      </w:r>
      <w:proofErr w:type="spellStart"/>
      <w:r>
        <w:rPr>
          <w:rStyle w:val="kursiv"/>
          <w:sz w:val="17"/>
          <w:szCs w:val="17"/>
        </w:rPr>
        <w:t>Investigation</w:t>
      </w:r>
      <w:proofErr w:type="spellEnd"/>
      <w:r>
        <w:rPr>
          <w:rStyle w:val="kursiv"/>
          <w:sz w:val="17"/>
          <w:szCs w:val="17"/>
        </w:rPr>
        <w:t xml:space="preserve"> by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Office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Auditor</w:t>
      </w:r>
      <w:proofErr w:type="spellEnd"/>
      <w:r>
        <w:rPr>
          <w:rStyle w:val="kursiv"/>
          <w:sz w:val="17"/>
          <w:szCs w:val="17"/>
        </w:rPr>
        <w:t xml:space="preserve"> General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conservation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safeguarding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collections</w:t>
      </w:r>
      <w:proofErr w:type="spellEnd"/>
      <w:r>
        <w:rPr>
          <w:sz w:val="17"/>
          <w:szCs w:val="17"/>
        </w:rPr>
        <w:t xml:space="preserve"> at </w:t>
      </w:r>
      <w:proofErr w:type="spellStart"/>
      <w:r>
        <w:rPr>
          <w:sz w:val="17"/>
          <w:szCs w:val="17"/>
        </w:rPr>
        <w:t>five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public</w:t>
      </w:r>
      <w:proofErr w:type="spellEnd"/>
      <w:r>
        <w:rPr>
          <w:sz w:val="17"/>
          <w:szCs w:val="17"/>
        </w:rPr>
        <w:t xml:space="preserve"> museums] and Doc. no. 3:10 (2007–2008). </w:t>
      </w:r>
      <w:r>
        <w:rPr>
          <w:rStyle w:val="kursiv"/>
          <w:sz w:val="17"/>
          <w:szCs w:val="17"/>
        </w:rPr>
        <w:t>Riksrevisjonens undersøkelse av bevaringen og sikringen av samlingene ved statlige museer [</w:t>
      </w:r>
      <w:proofErr w:type="spellStart"/>
      <w:r>
        <w:rPr>
          <w:rStyle w:val="kursiv"/>
          <w:sz w:val="17"/>
          <w:szCs w:val="17"/>
        </w:rPr>
        <w:t>Investigation</w:t>
      </w:r>
      <w:proofErr w:type="spellEnd"/>
      <w:r>
        <w:rPr>
          <w:rStyle w:val="kursiv"/>
          <w:sz w:val="17"/>
          <w:szCs w:val="17"/>
        </w:rPr>
        <w:t xml:space="preserve"> by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Office </w:t>
      </w:r>
      <w:proofErr w:type="spellStart"/>
      <w:r>
        <w:rPr>
          <w:rStyle w:val="kursiv"/>
          <w:sz w:val="17"/>
          <w:szCs w:val="17"/>
        </w:rPr>
        <w:t>of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the</w:t>
      </w:r>
      <w:proofErr w:type="spellEnd"/>
      <w:r>
        <w:rPr>
          <w:rStyle w:val="kursiv"/>
          <w:sz w:val="17"/>
          <w:szCs w:val="17"/>
        </w:rPr>
        <w:t xml:space="preserve"> </w:t>
      </w:r>
      <w:proofErr w:type="spellStart"/>
      <w:r>
        <w:rPr>
          <w:rStyle w:val="kursiv"/>
          <w:sz w:val="17"/>
          <w:szCs w:val="17"/>
        </w:rPr>
        <w:t>Auditor</w:t>
      </w:r>
      <w:proofErr w:type="spellEnd"/>
      <w:r>
        <w:rPr>
          <w:rStyle w:val="kursiv"/>
          <w:sz w:val="17"/>
          <w:szCs w:val="17"/>
        </w:rPr>
        <w:t xml:space="preserve"> General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the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conservation</w:t>
      </w:r>
      <w:proofErr w:type="spellEnd"/>
      <w:r>
        <w:rPr>
          <w:sz w:val="17"/>
          <w:szCs w:val="17"/>
        </w:rPr>
        <w:t xml:space="preserve"> and </w:t>
      </w:r>
      <w:proofErr w:type="spellStart"/>
      <w:r>
        <w:rPr>
          <w:sz w:val="17"/>
          <w:szCs w:val="17"/>
        </w:rPr>
        <w:t>safeguarding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of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collections</w:t>
      </w:r>
      <w:proofErr w:type="spellEnd"/>
      <w:r>
        <w:rPr>
          <w:sz w:val="17"/>
          <w:szCs w:val="17"/>
        </w:rPr>
        <w:t xml:space="preserve"> at </w:t>
      </w:r>
      <w:proofErr w:type="spellStart"/>
      <w:r>
        <w:rPr>
          <w:sz w:val="17"/>
          <w:szCs w:val="17"/>
        </w:rPr>
        <w:t>public</w:t>
      </w:r>
      <w:proofErr w:type="spellEnd"/>
      <w:r>
        <w:rPr>
          <w:sz w:val="17"/>
          <w:szCs w:val="17"/>
        </w:rPr>
        <w:t xml:space="preserve"> museums]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A2" w:rsidRDefault="007D3CA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A2" w:rsidRDefault="007D3CA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CA2" w:rsidRDefault="007D3CA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3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4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6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0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1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3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4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5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66E64"/>
    <w:multiLevelType w:val="multilevel"/>
    <w:tmpl w:val="CD340002"/>
    <w:numStyleLink w:val="OverskrifterListeStil"/>
  </w:abstractNum>
  <w:abstractNum w:abstractNumId="19" w15:restartNumberingAfterBreak="0">
    <w:nsid w:val="62A6542F"/>
    <w:multiLevelType w:val="multilevel"/>
    <w:tmpl w:val="EF66E114"/>
    <w:numStyleLink w:val="RomListeStil"/>
  </w:abstractNum>
  <w:abstractNum w:abstractNumId="2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2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14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4"/>
  </w:num>
  <w:num w:numId="15">
    <w:abstractNumId w:val="12"/>
  </w:num>
  <w:num w:numId="16">
    <w:abstractNumId w:val="16"/>
  </w:num>
  <w:num w:numId="17">
    <w:abstractNumId w:val="19"/>
  </w:num>
  <w:num w:numId="18">
    <w:abstractNumId w:val="6"/>
  </w:num>
  <w:num w:numId="19">
    <w:abstractNumId w:val="15"/>
  </w:num>
  <w:num w:numId="20">
    <w:abstractNumId w:val="20"/>
  </w:num>
  <w:num w:numId="21">
    <w:abstractNumId w:val="9"/>
  </w:num>
  <w:num w:numId="22">
    <w:abstractNumId w:val="10"/>
  </w:num>
  <w:num w:numId="23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8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Meld.St mal"/>
    <w:docVar w:name="PMPmalkonvensjon" w:val="MeldSt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7D3CA2"/>
    <w:rsid w:val="000B60C1"/>
    <w:rsid w:val="0024174B"/>
    <w:rsid w:val="00570410"/>
    <w:rsid w:val="006E6F2E"/>
    <w:rsid w:val="007D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EABD0"/>
  <w14:defaultImageDpi w14:val="0"/>
  <w15:docId w15:val="{7AF238D0-899E-45BF-B13D-132F01ED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CA2"/>
    <w:pPr>
      <w:spacing w:after="120" w:line="276" w:lineRule="auto"/>
    </w:pPr>
    <w:rPr>
      <w:rFonts w:ascii="Times New Roman" w:eastAsia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7D3CA2"/>
    <w:pPr>
      <w:keepNext/>
      <w:keepLines/>
      <w:numPr>
        <w:numId w:val="23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7D3CA2"/>
    <w:pPr>
      <w:keepNext/>
      <w:keepLines/>
      <w:numPr>
        <w:ilvl w:val="1"/>
        <w:numId w:val="23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7D3CA2"/>
    <w:pPr>
      <w:keepNext/>
      <w:keepLines/>
      <w:numPr>
        <w:ilvl w:val="2"/>
        <w:numId w:val="23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7D3CA2"/>
    <w:pPr>
      <w:keepNext/>
      <w:keepLines/>
      <w:numPr>
        <w:ilvl w:val="3"/>
        <w:numId w:val="23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7D3CA2"/>
    <w:pPr>
      <w:keepNext/>
      <w:numPr>
        <w:ilvl w:val="4"/>
        <w:numId w:val="23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7D3CA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7D3CA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7D3CA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7D3CA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7D3CA2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7D3CA2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uiPriority w:val="99"/>
    <w:pPr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dep">
    <w:name w:val="a-tilraar-dep"/>
    <w:basedOn w:val="Normal"/>
    <w:next w:val="Normal"/>
    <w:rsid w:val="007D3CA2"/>
    <w:pPr>
      <w:keepNext/>
      <w:spacing w:before="240" w:after="240"/>
    </w:pPr>
    <w:rPr>
      <w:spacing w:val="4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7D3CA2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7D3CA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Times New Roman" w:hAnsi="Times New Roman" w:cs="Times New Roman"/>
      <w:b/>
      <w:bCs/>
      <w:color w:val="000000"/>
      <w:w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Def">
    <w:name w:val="Def"/>
    <w:basedOn w:val="Normal"/>
    <w:qFormat/>
    <w:rsid w:val="007D3CA2"/>
  </w:style>
  <w:style w:type="paragraph" w:customStyle="1" w:styleId="del-nr">
    <w:name w:val="del-nr"/>
    <w:basedOn w:val="Normal"/>
    <w:qFormat/>
    <w:rsid w:val="007D3CA2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7D3CA2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7D3CA2"/>
    <w:rPr>
      <w:spacing w:val="4"/>
    </w:rPr>
  </w:style>
  <w:style w:type="paragraph" w:customStyle="1" w:styleId="figur-noter">
    <w:name w:val="figur-noter"/>
    <w:basedOn w:val="Normal"/>
    <w:next w:val="Normal"/>
    <w:rsid w:val="007D3CA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7D3CA2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7D3CA2"/>
    <w:rPr>
      <w:spacing w:val="4"/>
    </w:rPr>
  </w:style>
  <w:style w:type="character" w:customStyle="1" w:styleId="FotnotetekstTegn">
    <w:name w:val="Fotnotetekst Tegn"/>
    <w:link w:val="Fotnotetekst"/>
    <w:rsid w:val="007D3CA2"/>
    <w:rPr>
      <w:rFonts w:ascii="Times New Roman" w:eastAsia="Times New Roman" w:hAnsi="Times New Roman"/>
      <w:spacing w:val="4"/>
      <w:sz w:val="24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7D3CA2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i-dep">
    <w:name w:val="i-dep"/>
    <w:basedOn w:val="Normal"/>
    <w:next w:val="Normal"/>
    <w:rsid w:val="007D3CA2"/>
    <w:pPr>
      <w:jc w:val="right"/>
    </w:pPr>
    <w:rPr>
      <w:rFonts w:ascii="Times" w:hAnsi="Times"/>
      <w:b/>
      <w:noProof/>
      <w:spacing w:val="4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7D3CA2"/>
    <w:pPr>
      <w:keepNext/>
      <w:keepLines/>
      <w:spacing w:before="360"/>
      <w:jc w:val="center"/>
    </w:pPr>
    <w:rPr>
      <w:rFonts w:ascii="Times" w:hAnsi="Times"/>
      <w:b/>
      <w:noProof/>
      <w:spacing w:val="4"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7D3CA2"/>
    <w:pPr>
      <w:ind w:left="1701" w:hanging="1701"/>
    </w:pPr>
  </w:style>
  <w:style w:type="paragraph" w:customStyle="1" w:styleId="i-statsrdato">
    <w:name w:val="i-statsr.dato"/>
    <w:basedOn w:val="Normal"/>
    <w:next w:val="Normal"/>
    <w:rsid w:val="007D3CA2"/>
    <w:pPr>
      <w:jc w:val="center"/>
    </w:pPr>
    <w:rPr>
      <w:rFonts w:ascii="Times" w:hAnsi="Times"/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UniMyriad Bold" w:hAnsi="UniMyriad Bold" w:cs="UniMyriad Bold"/>
      <w:caps/>
      <w:color w:val="000000"/>
      <w:w w:val="0"/>
      <w:sz w:val="24"/>
      <w:szCs w:val="24"/>
    </w:rPr>
  </w:style>
  <w:style w:type="paragraph" w:customStyle="1" w:styleId="i-tit">
    <w:name w:val="i-tit"/>
    <w:basedOn w:val="Normal"/>
    <w:next w:val="i-statsrdato"/>
    <w:rsid w:val="007D3CA2"/>
    <w:pPr>
      <w:spacing w:before="360" w:after="240"/>
      <w:jc w:val="center"/>
    </w:pPr>
    <w:rPr>
      <w:rFonts w:ascii="Times" w:hAnsi="Times"/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7D3CA2"/>
    <w:pPr>
      <w:spacing w:line="240" w:lineRule="auto"/>
    </w:pPr>
    <w:rPr>
      <w:szCs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7D3CA2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7D3CA2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7D3CA2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7D3CA2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7D3CA2"/>
    <w:pPr>
      <w:spacing w:after="0"/>
    </w:pPr>
    <w:rPr>
      <w:spacing w:val="4"/>
    </w:rPr>
  </w:style>
  <w:style w:type="paragraph" w:customStyle="1" w:styleId="l-tit-endr-avsnitt">
    <w:name w:val="l-tit-endr-avsnitt"/>
    <w:basedOn w:val="l-tit-endr-lovkap"/>
    <w:qFormat/>
    <w:rsid w:val="007D3CA2"/>
  </w:style>
  <w:style w:type="paragraph" w:customStyle="1" w:styleId="l-tit-endr-ledd">
    <w:name w:val="l-tit-endr-ledd"/>
    <w:basedOn w:val="Normal"/>
    <w:qFormat/>
    <w:rsid w:val="007D3CA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7D3CA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7D3CA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7D3CA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7D3CA2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7D3CA2"/>
    <w:pPr>
      <w:spacing w:before="60" w:after="0"/>
      <w:ind w:left="397"/>
    </w:pPr>
  </w:style>
  <w:style w:type="paragraph" w:customStyle="1" w:styleId="Listeavsnitt2">
    <w:name w:val="Listeavsnitt 2"/>
    <w:basedOn w:val="Normal"/>
    <w:qFormat/>
    <w:rsid w:val="007D3CA2"/>
    <w:pPr>
      <w:spacing w:before="60" w:after="0"/>
      <w:ind w:left="794"/>
    </w:pPr>
  </w:style>
  <w:style w:type="paragraph" w:customStyle="1" w:styleId="Listeavsnitt3">
    <w:name w:val="Listeavsnitt 3"/>
    <w:basedOn w:val="Normal"/>
    <w:qFormat/>
    <w:rsid w:val="007D3CA2"/>
    <w:pPr>
      <w:spacing w:before="60" w:after="0"/>
      <w:ind w:left="1191"/>
    </w:pPr>
  </w:style>
  <w:style w:type="paragraph" w:customStyle="1" w:styleId="Listeavsnitt4">
    <w:name w:val="Listeavsnitt 4"/>
    <w:basedOn w:val="Normal"/>
    <w:qFormat/>
    <w:rsid w:val="007D3CA2"/>
    <w:pPr>
      <w:spacing w:before="60" w:after="0"/>
      <w:ind w:left="1588"/>
    </w:pPr>
  </w:style>
  <w:style w:type="paragraph" w:customStyle="1" w:styleId="Listeavsnitt5">
    <w:name w:val="Listeavsnitt 5"/>
    <w:basedOn w:val="Normal"/>
    <w:qFormat/>
    <w:rsid w:val="007D3CA2"/>
    <w:pPr>
      <w:spacing w:before="60" w:after="0"/>
      <w:ind w:left="1985"/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7D3CA2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7D3CA2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7D3CA2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7D3CA2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7D3CA2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7D3CA2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Web"/>
    <w:qFormat/>
    <w:rsid w:val="007D3CA2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7D3CA2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Web"/>
    <w:qFormat/>
    <w:rsid w:val="007D3CA2"/>
    <w:rPr>
      <w:rFonts w:ascii="Times" w:hAnsi="Times"/>
      <w:vanish/>
      <w:color w:val="00B050"/>
    </w:rPr>
  </w:style>
  <w:style w:type="paragraph" w:customStyle="1" w:styleId="Tabellnavn-kode">
    <w:name w:val="Tabellnavn-kode"/>
    <w:basedOn w:val="Tabellnavn"/>
    <w:qFormat/>
    <w:rsid w:val="007D3CA2"/>
    <w:pPr>
      <w:spacing w:line="240" w:lineRule="auto"/>
    </w:pPr>
    <w:rPr>
      <w:rFonts w:eastAsia="Batang"/>
      <w:vanish w:val="0"/>
      <w:color w:val="FF0000"/>
    </w:rPr>
  </w:style>
  <w:style w:type="paragraph" w:customStyle="1" w:styleId="Term">
    <w:name w:val="Term"/>
    <w:basedOn w:val="Normal"/>
    <w:qFormat/>
    <w:rsid w:val="007D3CA2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7D3CA2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7D3CA2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7D3CA2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7D3CA2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7D3CA2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7D3CA2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7D3CA2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7D3CA2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7D3CA2"/>
    <w:pPr>
      <w:keepNext/>
      <w:keepLines/>
      <w:numPr>
        <w:numId w:val="7"/>
      </w:numPr>
    </w:pPr>
    <w:rPr>
      <w:rFonts w:ascii="Arial" w:hAnsi="Arial"/>
      <w:b/>
      <w:spacing w:val="4"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7D3CA2"/>
    <w:pPr>
      <w:keepNext/>
      <w:keepLines/>
      <w:spacing w:before="360" w:after="80"/>
      <w:jc w:val="center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7D3CA2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7D3CA2"/>
    <w:pPr>
      <w:keepNext/>
      <w:keepLines/>
      <w:spacing w:before="720"/>
      <w:jc w:val="center"/>
    </w:pPr>
    <w:rPr>
      <w:rFonts w:ascii="Times" w:hAnsi="Times"/>
      <w:b/>
      <w:noProof/>
      <w:spacing w:val="4"/>
      <w:sz w:val="56"/>
    </w:rPr>
  </w:style>
  <w:style w:type="paragraph" w:customStyle="1" w:styleId="i-sesjon">
    <w:name w:val="i-sesjon"/>
    <w:basedOn w:val="Normal"/>
    <w:next w:val="Normal"/>
    <w:rsid w:val="007D3CA2"/>
    <w:pPr>
      <w:jc w:val="center"/>
    </w:pPr>
    <w:rPr>
      <w:rFonts w:ascii="Times" w:hAnsi="Times"/>
      <w:b/>
      <w:noProof/>
      <w:spacing w:val="4"/>
      <w:sz w:val="28"/>
    </w:rPr>
  </w:style>
  <w:style w:type="paragraph" w:customStyle="1" w:styleId="i-mtit">
    <w:name w:val="i-mtit"/>
    <w:basedOn w:val="Normal"/>
    <w:next w:val="Normal"/>
    <w:rsid w:val="007D3CA2"/>
    <w:pPr>
      <w:keepNext/>
      <w:keepLines/>
      <w:spacing w:before="360"/>
      <w:jc w:val="center"/>
    </w:pPr>
    <w:rPr>
      <w:rFonts w:ascii="Times" w:hAnsi="Times"/>
      <w:b/>
      <w:noProof/>
      <w:spacing w:val="4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7D3CA2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7D3CA2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7D3CA2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7D3CA2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7D3CA2"/>
    <w:pPr>
      <w:numPr>
        <w:numId w:val="16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7D3CA2"/>
    <w:pPr>
      <w:numPr>
        <w:ilvl w:val="1"/>
        <w:numId w:val="16"/>
      </w:numPr>
      <w:spacing w:after="0"/>
    </w:pPr>
    <w:rPr>
      <w:spacing w:val="4"/>
    </w:rPr>
  </w:style>
  <w:style w:type="paragraph" w:styleId="Liste3">
    <w:name w:val="List 3"/>
    <w:basedOn w:val="Normal"/>
    <w:rsid w:val="007D3CA2"/>
    <w:pPr>
      <w:numPr>
        <w:ilvl w:val="2"/>
        <w:numId w:val="16"/>
      </w:numPr>
      <w:spacing w:after="0"/>
    </w:pPr>
  </w:style>
  <w:style w:type="paragraph" w:styleId="Liste4">
    <w:name w:val="List 4"/>
    <w:basedOn w:val="Normal"/>
    <w:rsid w:val="007D3CA2"/>
    <w:pPr>
      <w:numPr>
        <w:ilvl w:val="3"/>
        <w:numId w:val="16"/>
      </w:numPr>
      <w:spacing w:after="0"/>
    </w:pPr>
  </w:style>
  <w:style w:type="paragraph" w:styleId="Liste5">
    <w:name w:val="List 5"/>
    <w:basedOn w:val="Normal"/>
    <w:rsid w:val="007D3CA2"/>
    <w:pPr>
      <w:numPr>
        <w:ilvl w:val="4"/>
        <w:numId w:val="16"/>
      </w:numPr>
      <w:spacing w:after="0"/>
    </w:p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7D3CA2"/>
    <w:pPr>
      <w:numPr>
        <w:numId w:val="12"/>
      </w:numPr>
      <w:spacing w:after="0"/>
    </w:pPr>
    <w:rPr>
      <w:rFonts w:ascii="Times" w:eastAsia="Batang" w:hAnsi="Times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7D3CA2"/>
    <w:pPr>
      <w:numPr>
        <w:ilvl w:val="1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7D3CA2"/>
    <w:pPr>
      <w:numPr>
        <w:ilvl w:val="2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7D3CA2"/>
    <w:pPr>
      <w:numPr>
        <w:ilvl w:val="3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7D3CA2"/>
    <w:pPr>
      <w:numPr>
        <w:ilvl w:val="4"/>
        <w:numId w:val="12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Listebombe">
    <w:name w:val="Liste bombe"/>
    <w:basedOn w:val="Liste"/>
    <w:qFormat/>
    <w:rsid w:val="007D3CA2"/>
    <w:pPr>
      <w:numPr>
        <w:numId w:val="18"/>
      </w:numPr>
    </w:pPr>
  </w:style>
  <w:style w:type="paragraph" w:customStyle="1" w:styleId="Listebombe2">
    <w:name w:val="Liste bombe 2"/>
    <w:basedOn w:val="Liste2"/>
    <w:qFormat/>
    <w:rsid w:val="007D3CA2"/>
    <w:pPr>
      <w:numPr>
        <w:ilvl w:val="0"/>
        <w:numId w:val="19"/>
      </w:numPr>
    </w:pPr>
  </w:style>
  <w:style w:type="paragraph" w:customStyle="1" w:styleId="Listebombe3">
    <w:name w:val="Liste bombe 3"/>
    <w:basedOn w:val="Liste3"/>
    <w:qFormat/>
    <w:rsid w:val="007D3CA2"/>
    <w:pPr>
      <w:numPr>
        <w:ilvl w:val="0"/>
        <w:numId w:val="20"/>
      </w:numPr>
    </w:pPr>
  </w:style>
  <w:style w:type="paragraph" w:customStyle="1" w:styleId="Listebombe4">
    <w:name w:val="Liste bombe 4"/>
    <w:basedOn w:val="Liste4"/>
    <w:qFormat/>
    <w:rsid w:val="007D3CA2"/>
    <w:pPr>
      <w:numPr>
        <w:ilvl w:val="0"/>
        <w:numId w:val="21"/>
      </w:numPr>
    </w:pPr>
  </w:style>
  <w:style w:type="paragraph" w:customStyle="1" w:styleId="Listebombe5">
    <w:name w:val="Liste bombe 5"/>
    <w:basedOn w:val="Liste5"/>
    <w:qFormat/>
    <w:rsid w:val="007D3CA2"/>
    <w:pPr>
      <w:numPr>
        <w:ilvl w:val="0"/>
        <w:numId w:val="22"/>
      </w:numPr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7D3CA2"/>
    <w:pPr>
      <w:numPr>
        <w:numId w:val="9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Normal"/>
    <w:rsid w:val="007D3CA2"/>
    <w:pPr>
      <w:numPr>
        <w:ilvl w:val="1"/>
        <w:numId w:val="9"/>
      </w:numPr>
      <w:spacing w:after="0"/>
    </w:pPr>
    <w:rPr>
      <w:spacing w:val="4"/>
    </w:r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7D3CA2"/>
    <w:pPr>
      <w:numPr>
        <w:ilvl w:val="2"/>
        <w:numId w:val="9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7D3CA2"/>
    <w:pPr>
      <w:numPr>
        <w:ilvl w:val="3"/>
        <w:numId w:val="9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7D3CA2"/>
    <w:pPr>
      <w:numPr>
        <w:ilvl w:val="4"/>
        <w:numId w:val="9"/>
      </w:numPr>
      <w:spacing w:after="0"/>
    </w:p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7D3CA2"/>
    <w:pPr>
      <w:numPr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7D3CA2"/>
    <w:pPr>
      <w:numPr>
        <w:ilvl w:val="1"/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7D3CA2"/>
    <w:pPr>
      <w:numPr>
        <w:ilvl w:val="2"/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7D3CA2"/>
    <w:pPr>
      <w:numPr>
        <w:ilvl w:val="3"/>
        <w:numId w:val="17"/>
      </w:numPr>
      <w:spacing w:after="0" w:line="240" w:lineRule="auto"/>
    </w:pPr>
    <w:rPr>
      <w:rFonts w:ascii="Times" w:eastAsia="Batang" w:hAnsi="Times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7D3CA2"/>
    <w:pPr>
      <w:numPr>
        <w:ilvl w:val="4"/>
        <w:numId w:val="17"/>
      </w:numPr>
      <w:spacing w:after="0"/>
    </w:pPr>
    <w:rPr>
      <w:spacing w:val="4"/>
    </w:rPr>
  </w:style>
  <w:style w:type="paragraph" w:customStyle="1" w:styleId="opplisting">
    <w:name w:val="opplisting"/>
    <w:basedOn w:val="Normal"/>
    <w:rsid w:val="007D3CA2"/>
    <w:pPr>
      <w:spacing w:after="0"/>
    </w:pPr>
    <w:rPr>
      <w:rFonts w:ascii="Times" w:hAnsi="Times" w:cs="Times New Roman"/>
    </w:rPr>
  </w:style>
  <w:style w:type="paragraph" w:customStyle="1" w:styleId="opplisting2">
    <w:name w:val="opplisting 2"/>
    <w:basedOn w:val="Normal"/>
    <w:qFormat/>
    <w:rsid w:val="007D3CA2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7D3CA2"/>
    <w:pPr>
      <w:spacing w:after="0"/>
      <w:ind w:left="794"/>
    </w:pPr>
  </w:style>
  <w:style w:type="paragraph" w:customStyle="1" w:styleId="opplisting4">
    <w:name w:val="opplisting 4"/>
    <w:basedOn w:val="Normal"/>
    <w:qFormat/>
    <w:rsid w:val="007D3CA2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7D3CA2"/>
    <w:pPr>
      <w:spacing w:after="0"/>
      <w:ind w:left="1588"/>
    </w:pPr>
  </w:style>
  <w:style w:type="paragraph" w:customStyle="1" w:styleId="friliste">
    <w:name w:val="friliste"/>
    <w:basedOn w:val="Normal"/>
    <w:qFormat/>
    <w:rsid w:val="007D3CA2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7D3CA2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7D3CA2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7D3CA2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7D3CA2"/>
    <w:pPr>
      <w:tabs>
        <w:tab w:val="left" w:pos="1985"/>
      </w:tabs>
      <w:spacing w:after="0"/>
      <w:ind w:left="1985" w:hanging="397"/>
    </w:p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7D3CA2"/>
    <w:pPr>
      <w:numPr>
        <w:numId w:val="10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7D3CA2"/>
    <w:pPr>
      <w:numPr>
        <w:numId w:val="10"/>
      </w:numPr>
    </w:pPr>
  </w:style>
  <w:style w:type="paragraph" w:customStyle="1" w:styleId="avsnitt-undertittel">
    <w:name w:val="avsnitt-undertittel"/>
    <w:basedOn w:val="Normal"/>
    <w:next w:val="Normal"/>
    <w:rsid w:val="007D3CA2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7D3CA2"/>
    <w:pPr>
      <w:numPr>
        <w:numId w:val="10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7D3CA2"/>
    <w:pPr>
      <w:numPr>
        <w:numId w:val="10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7D3CA2"/>
    <w:pPr>
      <w:numPr>
        <w:numId w:val="10"/>
      </w:numPr>
    </w:pPr>
  </w:style>
  <w:style w:type="paragraph" w:customStyle="1" w:styleId="avsnitt-under-undertittel">
    <w:name w:val="avsnitt-under-undertittel"/>
    <w:basedOn w:val="Normal"/>
    <w:next w:val="Normal"/>
    <w:rsid w:val="007D3CA2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blokksit">
    <w:name w:val="blokksit"/>
    <w:basedOn w:val="Normal"/>
    <w:qFormat/>
    <w:rsid w:val="007D3CA2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7D3CA2"/>
    <w:pPr>
      <w:spacing w:before="180" w:after="0"/>
    </w:pPr>
    <w:rPr>
      <w:rFonts w:ascii="Times" w:hAnsi="Times"/>
      <w:i/>
      <w:spacing w:val="4"/>
    </w:rPr>
  </w:style>
  <w:style w:type="paragraph" w:customStyle="1" w:styleId="l-ledd">
    <w:name w:val="l-ledd"/>
    <w:basedOn w:val="Normal"/>
    <w:qFormat/>
    <w:rsid w:val="007D3CA2"/>
    <w:pPr>
      <w:spacing w:after="0"/>
      <w:ind w:firstLine="397"/>
    </w:pPr>
    <w:rPr>
      <w:rFonts w:ascii="Times" w:hAnsi="Times"/>
      <w:spacing w:val="4"/>
    </w:rPr>
  </w:style>
  <w:style w:type="paragraph" w:customStyle="1" w:styleId="l-tit-endr-paragraf">
    <w:name w:val="l-tit-endr-paragraf"/>
    <w:basedOn w:val="Normal"/>
    <w:qFormat/>
    <w:rsid w:val="007D3CA2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7D3CA2"/>
    <w:pPr>
      <w:keepNext/>
      <w:keepLines/>
      <w:numPr>
        <w:ilvl w:val="7"/>
        <w:numId w:val="23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7D3CA2"/>
    <w:pPr>
      <w:numPr>
        <w:ilvl w:val="5"/>
        <w:numId w:val="23"/>
      </w:numPr>
    </w:pPr>
    <w:rPr>
      <w:rFonts w:ascii="Arial" w:hAnsi="Arial"/>
      <w:spacing w:val="4"/>
    </w:rPr>
  </w:style>
  <w:style w:type="paragraph" w:customStyle="1" w:styleId="Kilde">
    <w:name w:val="Kilde"/>
    <w:basedOn w:val="Normal"/>
    <w:next w:val="Normal"/>
    <w:rsid w:val="007D3CA2"/>
    <w:pPr>
      <w:spacing w:after="240"/>
    </w:pPr>
    <w:rPr>
      <w:spacing w:val="4"/>
      <w:sz w:val="20"/>
    </w:rPr>
  </w:style>
  <w:style w:type="paragraph" w:customStyle="1" w:styleId="tabell-tittel">
    <w:name w:val="tabell-tittel"/>
    <w:basedOn w:val="Normal"/>
    <w:next w:val="Normal"/>
    <w:rsid w:val="007D3CA2"/>
    <w:pPr>
      <w:keepNext/>
      <w:keepLines/>
      <w:numPr>
        <w:ilvl w:val="6"/>
        <w:numId w:val="23"/>
      </w:numPr>
      <w:spacing w:before="240"/>
    </w:pPr>
    <w:rPr>
      <w:rFonts w:ascii="Arial" w:hAnsi="Arial"/>
      <w:spacing w:val="4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uiPriority w:val="99"/>
    <w:rsid w:val="007D3CA2"/>
    <w:rPr>
      <w:rFonts w:ascii="Times New Roman" w:eastAsia="Times New Roman" w:hAnsi="Times New Roman"/>
      <w:spacing w:val="4"/>
      <w:sz w:val="24"/>
    </w:rPr>
  </w:style>
  <w:style w:type="character" w:customStyle="1" w:styleId="DatoTegn">
    <w:name w:val="Dato Tegn"/>
    <w:link w:val="Dato0"/>
    <w:uiPriority w:val="99"/>
    <w:rsid w:val="007D3CA2"/>
    <w:rPr>
      <w:rFonts w:ascii="Times New Roman" w:eastAsia="Times New Roman" w:hAnsi="Times New Roman"/>
      <w:sz w:val="24"/>
    </w:rPr>
  </w:style>
  <w:style w:type="character" w:styleId="Fotnotereferanse">
    <w:name w:val="footnote reference"/>
    <w:rsid w:val="007D3CA2"/>
    <w:rPr>
      <w:vertAlign w:val="superscript"/>
    </w:rPr>
  </w:style>
  <w:style w:type="character" w:customStyle="1" w:styleId="gjennomstreket">
    <w:name w:val="gjennomstreket"/>
    <w:uiPriority w:val="1"/>
    <w:rsid w:val="007D3CA2"/>
    <w:rPr>
      <w:strike/>
      <w:dstrike w:val="0"/>
    </w:rPr>
  </w:style>
  <w:style w:type="character" w:customStyle="1" w:styleId="halvfet0">
    <w:name w:val="halvfet"/>
    <w:rsid w:val="007D3CA2"/>
    <w:rPr>
      <w:b/>
    </w:rPr>
  </w:style>
  <w:style w:type="character" w:styleId="Hyperkobling">
    <w:name w:val="Hyperlink"/>
    <w:uiPriority w:val="99"/>
    <w:unhideWhenUsed/>
    <w:rsid w:val="007D3CA2"/>
    <w:rPr>
      <w:color w:val="0000FF"/>
      <w:u w:val="single"/>
    </w:rPr>
  </w:style>
  <w:style w:type="character" w:customStyle="1" w:styleId="kursiv">
    <w:name w:val="kursiv"/>
    <w:rsid w:val="007D3CA2"/>
    <w:rPr>
      <w:i/>
    </w:rPr>
  </w:style>
  <w:style w:type="character" w:customStyle="1" w:styleId="l-endring">
    <w:name w:val="l-endring"/>
    <w:rsid w:val="007D3CA2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7D3CA2"/>
  </w:style>
  <w:style w:type="character" w:styleId="Plassholdertekst">
    <w:name w:val="Placeholder Text"/>
    <w:uiPriority w:val="99"/>
    <w:rsid w:val="007D3CA2"/>
    <w:rPr>
      <w:color w:val="808080"/>
    </w:rPr>
  </w:style>
  <w:style w:type="character" w:customStyle="1" w:styleId="regular">
    <w:name w:val="regular"/>
    <w:uiPriority w:val="1"/>
    <w:qFormat/>
    <w:rsid w:val="007D3CA2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7D3CA2"/>
    <w:rPr>
      <w:sz w:val="20"/>
      <w:vertAlign w:val="superscript"/>
    </w:rPr>
  </w:style>
  <w:style w:type="character" w:customStyle="1" w:styleId="skrift-senket">
    <w:name w:val="skrift-senket"/>
    <w:rsid w:val="007D3CA2"/>
    <w:rPr>
      <w:sz w:val="20"/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7D3CA2"/>
    <w:rPr>
      <w:rFonts w:ascii="Times New Roman" w:eastAsia="Times New Roman" w:hAnsi="Times New Roman"/>
      <w:sz w:val="20"/>
      <w:szCs w:val="20"/>
    </w:rPr>
  </w:style>
  <w:style w:type="character" w:customStyle="1" w:styleId="sperret0">
    <w:name w:val="sperret"/>
    <w:rsid w:val="007D3CA2"/>
    <w:rPr>
      <w:spacing w:val="30"/>
    </w:rPr>
  </w:style>
  <w:style w:type="character" w:customStyle="1" w:styleId="SterktsitatTegn">
    <w:name w:val="Sterkt sitat Tegn"/>
    <w:link w:val="Sterktsitat"/>
    <w:uiPriority w:val="30"/>
    <w:rsid w:val="007D3CA2"/>
    <w:rPr>
      <w:rFonts w:ascii="Times New Roman" w:eastAsia="Times New Roman" w:hAnsi="Times New Roman"/>
      <w:b/>
      <w:bCs/>
      <w:i/>
      <w:iCs/>
      <w:color w:val="4F81BD"/>
      <w:sz w:val="24"/>
    </w:rPr>
  </w:style>
  <w:style w:type="character" w:customStyle="1" w:styleId="Stikkord">
    <w:name w:val="Stikkord"/>
    <w:rsid w:val="007D3CA2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7D3CA2"/>
    <w:rPr>
      <w:b/>
      <w:bCs/>
    </w:rPr>
  </w:style>
  <w:style w:type="character" w:customStyle="1" w:styleId="TopptekstTegn">
    <w:name w:val="Topptekst Tegn"/>
    <w:link w:val="Topptekst"/>
    <w:rsid w:val="007D3CA2"/>
    <w:rPr>
      <w:rFonts w:ascii="Times New Roman" w:eastAsia="Times New Roman" w:hAnsi="Times New Roman"/>
      <w:sz w:val="24"/>
    </w:rPr>
  </w:style>
  <w:style w:type="character" w:customStyle="1" w:styleId="UnderskriftTegn">
    <w:name w:val="Underskrift Tegn"/>
    <w:link w:val="Underskrift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Topptekst">
    <w:name w:val="header"/>
    <w:basedOn w:val="Normal"/>
    <w:link w:val="TopptekstTegn"/>
    <w:rsid w:val="007D3C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rsid w:val="007D3CA2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7D3CA2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rsid w:val="007D3CA2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7D3CA2"/>
    <w:rPr>
      <w:rFonts w:ascii="Arial" w:eastAsia="Times New Roman" w:hAnsi="Arial"/>
      <w:i/>
    </w:rPr>
  </w:style>
  <w:style w:type="character" w:customStyle="1" w:styleId="Overskrift7Tegn">
    <w:name w:val="Overskrift 7 Tegn"/>
    <w:link w:val="Overskrift7"/>
    <w:rsid w:val="007D3CA2"/>
    <w:rPr>
      <w:rFonts w:ascii="Arial" w:eastAsia="Times New Roman" w:hAnsi="Arial"/>
      <w:sz w:val="24"/>
    </w:rPr>
  </w:style>
  <w:style w:type="character" w:customStyle="1" w:styleId="Overskrift8Tegn">
    <w:name w:val="Overskrift 8 Tegn"/>
    <w:link w:val="Overskrift8"/>
    <w:rsid w:val="007D3CA2"/>
    <w:rPr>
      <w:rFonts w:ascii="Arial" w:eastAsia="Times New Roman" w:hAnsi="Arial"/>
      <w:i/>
      <w:sz w:val="24"/>
    </w:rPr>
  </w:style>
  <w:style w:type="character" w:customStyle="1" w:styleId="Overskrift9Tegn">
    <w:name w:val="Overskrift 9 Tegn"/>
    <w:link w:val="Overskrift9"/>
    <w:rsid w:val="007D3CA2"/>
    <w:rPr>
      <w:rFonts w:ascii="Arial" w:eastAsia="Times New Roman" w:hAnsi="Arial"/>
      <w:b/>
      <w:i/>
      <w:sz w:val="18"/>
    </w:rPr>
  </w:style>
  <w:style w:type="table" w:styleId="Tabelltemaer">
    <w:name w:val="Table Theme"/>
    <w:basedOn w:val="Vanligtabell"/>
    <w:uiPriority w:val="99"/>
    <w:semiHidden/>
    <w:unhideWhenUsed/>
    <w:rsid w:val="007D3CA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D3CA2"/>
    <w:rPr>
      <w:szCs w:val="24"/>
    </w:rPr>
  </w:style>
  <w:style w:type="paragraph" w:styleId="INNH1">
    <w:name w:val="toc 1"/>
    <w:basedOn w:val="Normal"/>
    <w:next w:val="Normal"/>
    <w:semiHidden/>
    <w:rsid w:val="007D3CA2"/>
    <w:pPr>
      <w:tabs>
        <w:tab w:val="right" w:leader="dot" w:pos="8306"/>
      </w:tabs>
    </w:pPr>
  </w:style>
  <w:style w:type="paragraph" w:styleId="INNH2">
    <w:name w:val="toc 2"/>
    <w:basedOn w:val="Normal"/>
    <w:next w:val="Normal"/>
    <w:semiHidden/>
    <w:rsid w:val="007D3CA2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semiHidden/>
    <w:rsid w:val="007D3CA2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7D3CA2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7D3CA2"/>
    <w:pPr>
      <w:tabs>
        <w:tab w:val="right" w:leader="dot" w:pos="8306"/>
      </w:tabs>
      <w:ind w:left="800"/>
    </w:pPr>
  </w:style>
  <w:style w:type="character" w:styleId="Merknadsreferanse">
    <w:name w:val="annotation reference"/>
    <w:semiHidden/>
    <w:rsid w:val="007D3CA2"/>
    <w:rPr>
      <w:sz w:val="16"/>
    </w:rPr>
  </w:style>
  <w:style w:type="paragraph" w:styleId="Merknadstekst">
    <w:name w:val="annotation text"/>
    <w:basedOn w:val="Normal"/>
    <w:link w:val="MerknadstekstTegn"/>
    <w:semiHidden/>
    <w:rsid w:val="007D3CA2"/>
  </w:style>
  <w:style w:type="character" w:customStyle="1" w:styleId="MerknadstekstTegn">
    <w:name w:val="Merknadstekst Tegn"/>
    <w:link w:val="Merknadstekst"/>
    <w:semiHidden/>
    <w:rsid w:val="007D3CA2"/>
    <w:rPr>
      <w:rFonts w:ascii="Times New Roman" w:eastAsia="Times New Roman" w:hAnsi="Times New Roman"/>
      <w:sz w:val="24"/>
    </w:rPr>
  </w:style>
  <w:style w:type="paragraph" w:styleId="Punktliste">
    <w:name w:val="List Bullet"/>
    <w:basedOn w:val="Normal"/>
    <w:rsid w:val="007D3CA2"/>
    <w:pPr>
      <w:numPr>
        <w:numId w:val="2"/>
      </w:numPr>
      <w:spacing w:after="0"/>
    </w:pPr>
    <w:rPr>
      <w:spacing w:val="4"/>
    </w:rPr>
  </w:style>
  <w:style w:type="paragraph" w:styleId="Punktliste2">
    <w:name w:val="List Bullet 2"/>
    <w:basedOn w:val="Normal"/>
    <w:rsid w:val="007D3CA2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7D3CA2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7D3CA2"/>
    <w:pPr>
      <w:numPr>
        <w:numId w:val="5"/>
      </w:numPr>
      <w:spacing w:after="0"/>
    </w:pPr>
  </w:style>
  <w:style w:type="paragraph" w:styleId="Punktliste5">
    <w:name w:val="List Bullet 5"/>
    <w:basedOn w:val="Normal"/>
    <w:rsid w:val="007D3CA2"/>
    <w:pPr>
      <w:numPr>
        <w:numId w:val="6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7D3CA2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7D3CA2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7D3CA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7D3CA2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7D3CA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7D3CA2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7D3CA2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7D3CA2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7D3CA2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7D3CA2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7D3CA2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7D3CA2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7D3CA2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D3CA2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7D3CA2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7D3CA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7D3CA2"/>
    <w:pPr>
      <w:spacing w:after="0" w:line="240" w:lineRule="auto"/>
    </w:pPr>
    <w:rPr>
      <w:rFonts w:ascii="Cambria" w:hAnsi="Cambria" w:cs="Times New Roman"/>
      <w:sz w:val="20"/>
      <w:szCs w:val="20"/>
    </w:rPr>
  </w:style>
  <w:style w:type="character" w:styleId="Linjenummer">
    <w:name w:val="line number"/>
    <w:uiPriority w:val="99"/>
    <w:semiHidden/>
    <w:unhideWhenUsed/>
    <w:rsid w:val="007D3CA2"/>
  </w:style>
  <w:style w:type="character" w:styleId="Sluttnotereferanse">
    <w:name w:val="endnote reference"/>
    <w:uiPriority w:val="99"/>
    <w:semiHidden/>
    <w:unhideWhenUsed/>
    <w:rsid w:val="007D3CA2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7D3CA2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7D3CA2"/>
    <w:rPr>
      <w:rFonts w:ascii="Times New Roman" w:eastAsia="Times New Roman" w:hAnsi="Times New Roman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7D3CA2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7D3C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7D3CA2"/>
    <w:rPr>
      <w:rFonts w:ascii="Consolas" w:eastAsia="Times New Roman" w:hAnsi="Consolas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7D3CA2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7D3CA2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7D3CA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7D3CA2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7D3CA2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Brdtekst">
    <w:name w:val="Body Text"/>
    <w:basedOn w:val="Normal"/>
    <w:link w:val="BrdtekstTegn"/>
    <w:uiPriority w:val="99"/>
    <w:semiHidden/>
    <w:unhideWhenUsed/>
    <w:rsid w:val="007D3CA2"/>
  </w:style>
  <w:style w:type="character" w:customStyle="1" w:styleId="BrdtekstTegn">
    <w:name w:val="Brødtekst Tegn"/>
    <w:link w:val="Brdtekst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7D3CA2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7D3CA2"/>
    <w:rPr>
      <w:rFonts w:ascii="Times New Roman" w:eastAsia="Times New Roman" w:hAnsi="Times New Roman"/>
      <w:sz w:val="24"/>
    </w:rPr>
  </w:style>
  <w:style w:type="numbering" w:customStyle="1" w:styleId="l-ListeStilMal">
    <w:name w:val="l-ListeStilMal"/>
    <w:uiPriority w:val="99"/>
    <w:rsid w:val="007D3CA2"/>
    <w:pPr>
      <w:numPr>
        <w:numId w:val="8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7D3C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7D3CA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7D3CA2"/>
  </w:style>
  <w:style w:type="character" w:customStyle="1" w:styleId="InnledendehilsenTegn">
    <w:name w:val="Innledende hilsen Tegn"/>
    <w:link w:val="Innledendehilsen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Dato0">
    <w:name w:val="Date"/>
    <w:basedOn w:val="Normal"/>
    <w:next w:val="Normal"/>
    <w:link w:val="DatoTegn"/>
    <w:uiPriority w:val="99"/>
    <w:unhideWhenUsed/>
    <w:rsid w:val="007D3CA2"/>
  </w:style>
  <w:style w:type="character" w:customStyle="1" w:styleId="DatoTegn1">
    <w:name w:val="Dato Tegn1"/>
    <w:basedOn w:val="Standardskriftforavsnitt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7D3CA2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7D3CA2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7D3CA2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7D3CA2"/>
    <w:rPr>
      <w:rFonts w:ascii="Times New Roman" w:eastAsia="Times New Roman" w:hAnsi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7D3CA2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7D3CA2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7D3CA2"/>
    <w:rPr>
      <w:rFonts w:ascii="Times New Roman" w:eastAsia="Times New Roman" w:hAnsi="Times New Roman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7D3CA2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7D3CA2"/>
    <w:rPr>
      <w:color w:val="800080"/>
      <w:u w:val="single"/>
    </w:rPr>
  </w:style>
  <w:style w:type="character" w:styleId="Utheving">
    <w:name w:val="Emphasis"/>
    <w:uiPriority w:val="20"/>
    <w:qFormat/>
    <w:rsid w:val="007D3CA2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7D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7D3CA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7D3C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7D3CA2"/>
    <w:rPr>
      <w:rFonts w:ascii="Consolas" w:eastAsia="Times New Roman" w:hAnsi="Consolas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7D3CA2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7D3CA2"/>
    <w:rPr>
      <w:rFonts w:ascii="Times New Roman" w:eastAsia="Times New Roman" w:hAnsi="Times New Roman"/>
      <w:sz w:val="24"/>
    </w:rPr>
  </w:style>
  <w:style w:type="character" w:styleId="HTML-akronym">
    <w:name w:val="HTML Acronym"/>
    <w:uiPriority w:val="99"/>
    <w:semiHidden/>
    <w:unhideWhenUsed/>
    <w:rsid w:val="007D3CA2"/>
  </w:style>
  <w:style w:type="paragraph" w:styleId="HTML-adresse">
    <w:name w:val="HTML Address"/>
    <w:basedOn w:val="Normal"/>
    <w:link w:val="HTML-adresseTegn"/>
    <w:uiPriority w:val="99"/>
    <w:semiHidden/>
    <w:unhideWhenUsed/>
    <w:rsid w:val="007D3CA2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7D3CA2"/>
    <w:rPr>
      <w:rFonts w:ascii="Times New Roman" w:eastAsia="Times New Roman" w:hAnsi="Times New Roman"/>
      <w:i/>
      <w:iCs/>
      <w:sz w:val="24"/>
    </w:rPr>
  </w:style>
  <w:style w:type="character" w:styleId="HTML-sitat">
    <w:name w:val="HTML Cite"/>
    <w:uiPriority w:val="99"/>
    <w:semiHidden/>
    <w:unhideWhenUsed/>
    <w:rsid w:val="007D3CA2"/>
    <w:rPr>
      <w:i/>
      <w:iCs/>
    </w:rPr>
  </w:style>
  <w:style w:type="character" w:styleId="HTML-kode">
    <w:name w:val="HTML Code"/>
    <w:uiPriority w:val="99"/>
    <w:semiHidden/>
    <w:unhideWhenUsed/>
    <w:rsid w:val="007D3CA2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7D3CA2"/>
    <w:rPr>
      <w:i/>
      <w:iCs/>
    </w:rPr>
  </w:style>
  <w:style w:type="character" w:styleId="HTML-tastatur">
    <w:name w:val="HTML Keyboard"/>
    <w:uiPriority w:val="99"/>
    <w:semiHidden/>
    <w:unhideWhenUsed/>
    <w:rsid w:val="007D3CA2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7D3C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7D3CA2"/>
    <w:rPr>
      <w:rFonts w:ascii="Consolas" w:eastAsia="Times New Roman" w:hAnsi="Consolas"/>
      <w:sz w:val="20"/>
      <w:szCs w:val="20"/>
    </w:rPr>
  </w:style>
  <w:style w:type="character" w:styleId="HTML-eksempel">
    <w:name w:val="HTML Sample"/>
    <w:uiPriority w:val="99"/>
    <w:semiHidden/>
    <w:unhideWhenUsed/>
    <w:rsid w:val="007D3CA2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7D3CA2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7D3CA2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D3CA2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7D3CA2"/>
    <w:rPr>
      <w:rFonts w:ascii="Times New Roman" w:eastAsia="Times New Roman" w:hAnsi="Times New Roman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D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D3CA2"/>
    <w:rPr>
      <w:rFonts w:ascii="Tahoma" w:eastAsia="Times New Roman" w:hAnsi="Tahoma" w:cs="Tahoma"/>
      <w:sz w:val="16"/>
      <w:szCs w:val="16"/>
    </w:rPr>
  </w:style>
  <w:style w:type="paragraph" w:styleId="Ingenmellomrom">
    <w:name w:val="No Spacing"/>
    <w:uiPriority w:val="1"/>
    <w:qFormat/>
    <w:rsid w:val="007D3CA2"/>
    <w:pPr>
      <w:spacing w:after="0" w:line="240" w:lineRule="auto"/>
    </w:pPr>
    <w:rPr>
      <w:rFonts w:ascii="Calibri" w:eastAsia="Times New Roman" w:hAnsi="Calibri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3CA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7D3CA2"/>
    <w:rPr>
      <w:rFonts w:ascii="Times New Roman" w:eastAsia="Times New Roman" w:hAnsi="Times New Roman"/>
      <w:i/>
      <w:iCs/>
      <w:color w:val="4472C4" w:themeColor="accent1"/>
      <w:sz w:val="24"/>
    </w:rPr>
  </w:style>
  <w:style w:type="character" w:styleId="Svakutheving">
    <w:name w:val="Subtle Emphasis"/>
    <w:uiPriority w:val="19"/>
    <w:qFormat/>
    <w:rsid w:val="007D3CA2"/>
    <w:rPr>
      <w:i/>
      <w:iCs/>
      <w:color w:val="808080"/>
    </w:rPr>
  </w:style>
  <w:style w:type="character" w:styleId="Sterkutheving">
    <w:name w:val="Intense Emphasis"/>
    <w:uiPriority w:val="21"/>
    <w:qFormat/>
    <w:rsid w:val="007D3CA2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7D3CA2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7D3CA2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7D3CA2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7D3CA2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D3CA2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kern w:val="0"/>
      <w:sz w:val="28"/>
      <w:szCs w:val="28"/>
    </w:rPr>
  </w:style>
  <w:style w:type="paragraph" w:customStyle="1" w:styleId="Figur">
    <w:name w:val="Figur"/>
    <w:basedOn w:val="Normal"/>
    <w:rsid w:val="007D3CA2"/>
    <w:pPr>
      <w:suppressAutoHyphens/>
      <w:spacing w:before="400" w:after="200" w:line="240" w:lineRule="exact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7D3CA2"/>
    <w:pPr>
      <w:numPr>
        <w:numId w:val="9"/>
      </w:numPr>
    </w:pPr>
  </w:style>
  <w:style w:type="numbering" w:customStyle="1" w:styleId="l-AlfaListeStil">
    <w:name w:val="l-AlfaListeStil"/>
    <w:uiPriority w:val="99"/>
    <w:rsid w:val="007D3CA2"/>
    <w:pPr>
      <w:numPr>
        <w:numId w:val="10"/>
      </w:numPr>
    </w:pPr>
  </w:style>
  <w:style w:type="numbering" w:customStyle="1" w:styleId="l-NummerertListeStil">
    <w:name w:val="l-NummerertListeStil"/>
    <w:uiPriority w:val="99"/>
    <w:rsid w:val="007D3CA2"/>
    <w:pPr>
      <w:numPr>
        <w:numId w:val="11"/>
      </w:numPr>
    </w:pPr>
  </w:style>
  <w:style w:type="numbering" w:customStyle="1" w:styleId="NrListeStil">
    <w:name w:val="NrListeStil"/>
    <w:uiPriority w:val="99"/>
    <w:rsid w:val="007D3CA2"/>
    <w:pPr>
      <w:numPr>
        <w:numId w:val="12"/>
      </w:numPr>
    </w:pPr>
  </w:style>
  <w:style w:type="numbering" w:customStyle="1" w:styleId="OpplistingListeStil">
    <w:name w:val="OpplistingListeStil"/>
    <w:uiPriority w:val="99"/>
    <w:rsid w:val="007D3CA2"/>
    <w:pPr>
      <w:numPr>
        <w:numId w:val="13"/>
      </w:numPr>
    </w:pPr>
  </w:style>
  <w:style w:type="numbering" w:customStyle="1" w:styleId="OverskrifterListeStil">
    <w:name w:val="OverskrifterListeStil"/>
    <w:uiPriority w:val="99"/>
    <w:rsid w:val="007D3CA2"/>
    <w:pPr>
      <w:numPr>
        <w:numId w:val="14"/>
      </w:numPr>
    </w:pPr>
  </w:style>
  <w:style w:type="numbering" w:customStyle="1" w:styleId="RomListeStil">
    <w:name w:val="RomListeStil"/>
    <w:uiPriority w:val="99"/>
    <w:rsid w:val="007D3CA2"/>
    <w:pPr>
      <w:numPr>
        <w:numId w:val="15"/>
      </w:numPr>
    </w:pPr>
  </w:style>
  <w:style w:type="numbering" w:customStyle="1" w:styleId="StrekListeStil">
    <w:name w:val="StrekListeStil"/>
    <w:uiPriority w:val="99"/>
    <w:rsid w:val="007D3CA2"/>
    <w:pPr>
      <w:numPr>
        <w:numId w:val="16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7D3CA2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7D3CA2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7D3CA2"/>
    <w:rPr>
      <w:rFonts w:ascii="Times New Roman" w:eastAsia="Times New Roman" w:hAnsi="Times New Roman"/>
      <w:sz w:val="24"/>
    </w:rPr>
  </w:style>
  <w:style w:type="paragraph" w:styleId="Liste-forts">
    <w:name w:val="List Continue"/>
    <w:basedOn w:val="Normal"/>
    <w:uiPriority w:val="99"/>
    <w:semiHidden/>
    <w:unhideWhenUsed/>
    <w:rsid w:val="007D3CA2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7D3CA2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7D3CA2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7D3CA2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7D3CA2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7D3CA2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7D3CA2"/>
    <w:pPr>
      <w:spacing w:before="60"/>
    </w:pPr>
    <w:rPr>
      <w:rFonts w:ascii="Arial" w:hAnsi="Arial"/>
      <w:color w:val="943634"/>
      <w:spacing w:val="4"/>
      <w:sz w:val="26"/>
    </w:rPr>
  </w:style>
  <w:style w:type="table" w:styleId="Tabellrutenett">
    <w:name w:val="Table Grid"/>
    <w:basedOn w:val="Vanligtabell"/>
    <w:uiPriority w:val="59"/>
    <w:rsid w:val="007D3CA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tel-litteraturlist">
    <w:name w:val="tittel-litteraturlist"/>
    <w:basedOn w:val="Normal"/>
    <w:next w:val="Normal"/>
    <w:rsid w:val="007D3CA2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7D3CA2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7D3CA2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7D3CA2"/>
  </w:style>
  <w:style w:type="paragraph" w:customStyle="1" w:styleId="tbl2LinjeSumBold">
    <w:name w:val="tbl2LinjeSumBold"/>
    <w:basedOn w:val="tblRad"/>
    <w:rsid w:val="007D3CA2"/>
    <w:rPr>
      <w:b/>
    </w:rPr>
  </w:style>
  <w:style w:type="paragraph" w:customStyle="1" w:styleId="tblDelsum1">
    <w:name w:val="tblDelsum1"/>
    <w:basedOn w:val="tblRad"/>
    <w:rsid w:val="007D3CA2"/>
    <w:rPr>
      <w:i/>
    </w:rPr>
  </w:style>
  <w:style w:type="paragraph" w:customStyle="1" w:styleId="tblDelsum1-Kapittel">
    <w:name w:val="tblDelsum1 - Kapittel"/>
    <w:basedOn w:val="tblDelsum1"/>
    <w:rsid w:val="007D3CA2"/>
    <w:pPr>
      <w:keepNext w:val="0"/>
    </w:pPr>
  </w:style>
  <w:style w:type="paragraph" w:customStyle="1" w:styleId="tblDelsum2">
    <w:name w:val="tblDelsum2"/>
    <w:basedOn w:val="tblRad"/>
    <w:rsid w:val="007D3CA2"/>
    <w:rPr>
      <w:b/>
      <w:i/>
    </w:rPr>
  </w:style>
  <w:style w:type="paragraph" w:customStyle="1" w:styleId="tblDelsum2-Kapittel">
    <w:name w:val="tblDelsum2 - Kapittel"/>
    <w:basedOn w:val="tblDelsum2"/>
    <w:rsid w:val="007D3CA2"/>
    <w:pPr>
      <w:keepNext w:val="0"/>
    </w:pPr>
  </w:style>
  <w:style w:type="paragraph" w:customStyle="1" w:styleId="tblTabelloverskrift">
    <w:name w:val="tblTabelloverskrift"/>
    <w:rsid w:val="007D3CA2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7D3CA2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7D3CA2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7D3CA2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7D3CA2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7D3CA2"/>
    <w:pPr>
      <w:spacing w:after="0"/>
    </w:pPr>
  </w:style>
  <w:style w:type="paragraph" w:customStyle="1" w:styleId="tblOverskrift-Vedtak">
    <w:name w:val="tblOverskrift - Vedtak"/>
    <w:basedOn w:val="tblRad"/>
    <w:rsid w:val="007D3CA2"/>
    <w:pPr>
      <w:spacing w:before="360"/>
      <w:jc w:val="center"/>
    </w:pPr>
  </w:style>
  <w:style w:type="paragraph" w:customStyle="1" w:styleId="tblRadBold">
    <w:name w:val="tblRadBold"/>
    <w:basedOn w:val="tblRad"/>
    <w:rsid w:val="007D3CA2"/>
    <w:rPr>
      <w:b/>
    </w:rPr>
  </w:style>
  <w:style w:type="paragraph" w:customStyle="1" w:styleId="tblRadItalic">
    <w:name w:val="tblRadItalic"/>
    <w:basedOn w:val="tblRad"/>
    <w:rsid w:val="007D3CA2"/>
    <w:rPr>
      <w:i/>
    </w:rPr>
  </w:style>
  <w:style w:type="paragraph" w:customStyle="1" w:styleId="tblRadItalicSiste">
    <w:name w:val="tblRadItalicSiste"/>
    <w:basedOn w:val="tblRadItalic"/>
    <w:rsid w:val="007D3CA2"/>
  </w:style>
  <w:style w:type="paragraph" w:customStyle="1" w:styleId="tblRadMedLuft">
    <w:name w:val="tblRadMedLuft"/>
    <w:basedOn w:val="tblRad"/>
    <w:rsid w:val="007D3CA2"/>
    <w:pPr>
      <w:spacing w:before="120"/>
    </w:pPr>
  </w:style>
  <w:style w:type="paragraph" w:customStyle="1" w:styleId="tblRadMedLuftSiste">
    <w:name w:val="tblRadMedLuftSiste"/>
    <w:basedOn w:val="tblRadMedLuft"/>
    <w:rsid w:val="007D3CA2"/>
    <w:pPr>
      <w:spacing w:after="120"/>
    </w:pPr>
  </w:style>
  <w:style w:type="paragraph" w:customStyle="1" w:styleId="tblRadMedLuftSiste-Vedtak">
    <w:name w:val="tblRadMedLuftSiste - Vedtak"/>
    <w:basedOn w:val="tblRadMedLuftSiste"/>
    <w:rsid w:val="007D3CA2"/>
    <w:pPr>
      <w:keepNext w:val="0"/>
    </w:pPr>
  </w:style>
  <w:style w:type="paragraph" w:customStyle="1" w:styleId="tblRadSiste">
    <w:name w:val="tblRadSiste"/>
    <w:basedOn w:val="tblRad"/>
    <w:rsid w:val="007D3CA2"/>
  </w:style>
  <w:style w:type="paragraph" w:customStyle="1" w:styleId="tblSluttsum">
    <w:name w:val="tblSluttsum"/>
    <w:basedOn w:val="tblRad"/>
    <w:rsid w:val="007D3CA2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7D3CA2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7D3CA2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7D3CA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7D3CA2"/>
    <w:rPr>
      <w:rFonts w:ascii="Times New Roman" w:eastAsia="Times New Roman" w:hAnsi="Times New Roman"/>
      <w:i/>
      <w:iCs/>
      <w:color w:val="404040" w:themeColor="text1" w:themeTint="BF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7D3CA2"/>
    <w:rPr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7D3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Meld-St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0C4D7-4EB6-4C81-89A9-B48AA9D4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Meld-St-mal-V11.dotx</Template>
  <TotalTime>0</TotalTime>
  <Pages>47</Pages>
  <Words>20818</Words>
  <Characters>110338</Characters>
  <Application>Microsoft Office Word</Application>
  <DocSecurity>0</DocSecurity>
  <Lines>919</Lines>
  <Paragraphs>261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maywp</dc:creator>
  <cp:keywords/>
  <dc:description/>
  <cp:lastModifiedBy>maywp</cp:lastModifiedBy>
  <cp:revision>2</cp:revision>
  <dcterms:created xsi:type="dcterms:W3CDTF">2019-10-03T10:44:00Z</dcterms:created>
  <dcterms:modified xsi:type="dcterms:W3CDTF">2019-10-03T10:44:00Z</dcterms:modified>
</cp:coreProperties>
</file>